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NAC公链ACC-1400/1410协议规范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——基于GNACS数字基因的证券型与部分同质化资产协议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：NAC资产协议工作组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：ACC-20规范、GNACS Pro V2.0规范、宪法层规范、AI层规范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引言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ERC1400和ERC1410是以太坊生态中为证券型代币设计的标准，其核心创新在于</w:t>
      </w:r>
      <w:r>
        <w:rPr>
          <w:rFonts w:eastAsia="等线" w:ascii="Arial" w:cs="Arial" w:hAnsi="Arial"/>
          <w:b w:val="true"/>
          <w:sz w:val="22"/>
        </w:rPr>
        <w:t>分区余额（Partition/Tranche）</w:t>
      </w:r>
      <w:r>
        <w:rPr>
          <w:rFonts w:eastAsia="等线" w:ascii="Arial" w:cs="Arial" w:hAnsi="Arial"/>
          <w:sz w:val="22"/>
        </w:rPr>
        <w:t>概念，允许将同一资产发行人的代币余额划分为不同部分，每部分可附加独立元数据和转移规则。这一设计解决了证券型资产中常见的</w:t>
      </w:r>
      <w:r>
        <w:rPr>
          <w:rFonts w:eastAsia="等线" w:ascii="Arial" w:cs="Arial" w:hAnsi="Arial"/>
          <w:b w:val="true"/>
          <w:sz w:val="22"/>
        </w:rPr>
        <w:t>锁定期、投资人类别、股东权利分级</w:t>
      </w:r>
      <w:r>
        <w:rPr>
          <w:rFonts w:eastAsia="等线" w:ascii="Arial" w:cs="Arial" w:hAnsi="Arial"/>
          <w:sz w:val="22"/>
        </w:rPr>
        <w:t>等复杂场景需求。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然而，ERC1400/1410在设计上存在根本局限：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 </w:t>
      </w:r>
      <w:r>
        <w:rPr>
          <w:rFonts w:eastAsia="等线" w:ascii="Arial" w:cs="Arial" w:hAnsi="Arial"/>
          <w:b w:val="true"/>
          <w:sz w:val="22"/>
        </w:rPr>
        <w:t>合规逻辑碎片化</w:t>
      </w:r>
      <w:r>
        <w:rPr>
          <w:rFonts w:eastAsia="等线" w:ascii="Arial" w:cs="Arial" w:hAnsi="Arial"/>
          <w:sz w:val="22"/>
        </w:rPr>
        <w:t>：KYC/AML检查需依赖外部合规模块或白名单，无原生身份层。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等线" w:ascii="Arial" w:cs="Arial" w:hAnsi="Arial"/>
          <w:b w:val="true"/>
          <w:sz w:val="22"/>
        </w:rPr>
        <w:t>元数据标准缺失</w:t>
      </w:r>
      <w:r>
        <w:rPr>
          <w:rFonts w:eastAsia="等线" w:ascii="Arial" w:cs="Arial" w:hAnsi="Arial"/>
          <w:sz w:val="22"/>
        </w:rPr>
        <w:t>：分区仅以</w:t>
      </w:r>
      <w:r>
        <w:rPr>
          <w:rFonts w:eastAsia="Consolas" w:ascii="Consolas" w:cs="Consolas" w:hAnsi="Consolas"/>
          <w:sz w:val="22"/>
          <w:shd w:fill="EFF0F1"/>
        </w:rPr>
        <w:t>bytes32</w:t>
      </w:r>
      <w:r>
        <w:rPr>
          <w:rFonts w:eastAsia="等线" w:ascii="Arial" w:cs="Arial" w:hAnsi="Arial"/>
          <w:sz w:val="22"/>
        </w:rPr>
        <w:t>标识，其含义需链下解释，无法被智能合约自动解析。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3.  </w:t>
      </w:r>
      <w:r>
        <w:rPr>
          <w:rFonts w:eastAsia="等线" w:ascii="Arial" w:cs="Arial" w:hAnsi="Arial"/>
          <w:b w:val="true"/>
          <w:sz w:val="22"/>
        </w:rPr>
        <w:t>监管接口模糊</w:t>
      </w:r>
      <w:r>
        <w:rPr>
          <w:rFonts w:eastAsia="等线" w:ascii="Arial" w:cs="Arial" w:hAnsi="Arial"/>
          <w:sz w:val="22"/>
        </w:rPr>
        <w:t>：强制转移、冻结等操作未明确定义权限来源，易产生法律争议。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4.  </w:t>
      </w:r>
      <w:r>
        <w:rPr>
          <w:rFonts w:eastAsia="等线" w:ascii="Arial" w:cs="Arial" w:hAnsi="Arial"/>
          <w:b w:val="true"/>
          <w:sz w:val="22"/>
        </w:rPr>
        <w:t>无宪法级约束</w:t>
      </w:r>
      <w:r>
        <w:rPr>
          <w:rFonts w:eastAsia="等线" w:ascii="Arial" w:cs="Arial" w:hAnsi="Arial"/>
          <w:sz w:val="22"/>
        </w:rPr>
        <w:t>：规则可被合约所有者随意修改，缺乏最高层级的法律保障。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</w:t>
      </w:r>
      <w:r>
        <w:rPr>
          <w:rFonts w:eastAsia="等线" w:ascii="Arial" w:cs="Arial" w:hAnsi="Arial"/>
          <w:b w:val="true"/>
          <w:sz w:val="22"/>
        </w:rPr>
        <w:t>ACC-1400</w:t>
      </w:r>
      <w:r>
        <w:rPr>
          <w:rFonts w:eastAsia="等线" w:ascii="Arial" w:cs="Arial" w:hAnsi="Arial"/>
          <w:sz w:val="22"/>
        </w:rPr>
        <w:t>与</w:t>
      </w:r>
      <w:r>
        <w:rPr>
          <w:rFonts w:eastAsia="等线" w:ascii="Arial" w:cs="Arial" w:hAnsi="Arial"/>
          <w:b w:val="true"/>
          <w:sz w:val="22"/>
        </w:rPr>
        <w:t>ACC-1410</w:t>
      </w:r>
      <w:r>
        <w:rPr>
          <w:rFonts w:eastAsia="等线" w:ascii="Arial" w:cs="Arial" w:hAnsi="Arial"/>
          <w:sz w:val="22"/>
        </w:rPr>
        <w:t>协议，在继承ERC系列分区思想的基础上，进行了</w:t>
      </w:r>
      <w:r>
        <w:rPr>
          <w:rFonts w:eastAsia="等线" w:ascii="Arial" w:cs="Arial" w:hAnsi="Arial"/>
          <w:b w:val="true"/>
          <w:sz w:val="22"/>
        </w:rPr>
        <w:t>根本性重构</w:t>
      </w:r>
      <w:r>
        <w:rPr>
          <w:rFonts w:eastAsia="等线" w:ascii="Arial" w:cs="Arial" w:hAnsi="Arial"/>
          <w:sz w:val="22"/>
        </w:rPr>
        <w:t>，使其完全融入NAC的宪法治理、GNACS数字基因和AI合规执行体系。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一、核心概念重构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分区（Partition）的重新定义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在ERC1410中，分区仅是</w:t>
      </w:r>
      <w:r>
        <w:rPr>
          <w:rFonts w:eastAsia="Consolas" w:ascii="Consolas" w:cs="Consolas" w:hAnsi="Consolas"/>
          <w:sz w:val="22"/>
          <w:shd w:fill="EFF0F1"/>
        </w:rPr>
        <w:t>bytes32</w:t>
      </w:r>
      <w:r>
        <w:rPr>
          <w:rFonts w:eastAsia="等线" w:ascii="Arial" w:cs="Arial" w:hAnsi="Arial"/>
          <w:sz w:val="22"/>
        </w:rPr>
        <w:t>标识符，其含义依赖链下约定。ACC-1410将分区定义为</w:t>
      </w:r>
      <w:r>
        <w:rPr>
          <w:rFonts w:eastAsia="等线" w:ascii="Arial" w:cs="Arial" w:hAnsi="Arial"/>
          <w:b w:val="true"/>
          <w:sz w:val="22"/>
        </w:rPr>
        <w:t>GNACS编码的延伸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struct Partition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id;                     // 分区唯一标识（自动生成）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GNACS base_gnacs;               // 基础资产GNACS（继承自主资产）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GNACSExtension extension;        // 分区特定GNACS扩展字段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string name;                     // 人类可读名称（如"普通股"）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PartitionType type;              // 分区类型枚举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uint256 totalSupply;             // 分区发行总量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mapping(Address =&gt; uint256) balances; // 分区内余额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enum PartitionType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CommonStock,      // 普通股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PreferredStock,   // 优先股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RestrictedStock,  // 限制性股票（锁定期）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EmployeeOption,   // 员工期权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IncomeRight,      // 收益权（无投票权）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VotingRight       // 投票权（无收益权）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关键创新</w:t>
      </w:r>
      <w:r>
        <w:rPr>
          <w:rFonts w:eastAsia="等线" w:ascii="Arial" w:cs="Arial" w:hAnsi="Arial"/>
          <w:sz w:val="22"/>
        </w:rPr>
        <w:t>：分区自身携带</w:t>
      </w:r>
      <w:r>
        <w:rPr>
          <w:rFonts w:eastAsia="等线" w:ascii="Arial" w:cs="Arial" w:hAnsi="Arial"/>
          <w:b w:val="true"/>
          <w:sz w:val="22"/>
        </w:rPr>
        <w:t>GNACS扩展字段</w:t>
      </w:r>
      <w:r>
        <w:rPr>
          <w:rFonts w:eastAsia="等线" w:ascii="Arial" w:cs="Arial" w:hAnsi="Arial"/>
          <w:sz w:val="22"/>
        </w:rPr>
        <w:t>，完整描述该分区的法律与经济属性，可被AI合规引擎直接解析。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GNACS扩展编码规范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分区GNACS在基础资产48位编码后附加16位扩展，形成</w:t>
      </w:r>
      <w:r>
        <w:rPr>
          <w:rFonts w:eastAsia="等线" w:ascii="Arial" w:cs="Arial" w:hAnsi="Arial"/>
          <w:b w:val="true"/>
          <w:sz w:val="22"/>
        </w:rPr>
        <w:t>64位完整编码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00"/>
        <w:gridCol w:w="1500"/>
        <w:gridCol w:w="1500"/>
        <w:gridCol w:w="3000"/>
      </w:tblGrid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位置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字段名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长度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语义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1-48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base_gnacs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48位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继承自主资产的完整GNACS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49-52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partition_type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4位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分区类型（映射PartitionType）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53-56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vesting_years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4位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锁定期限（年，0表示无锁定期）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57-60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voting_multiplier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4位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投票权倍数（1-10倍）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61-64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dividend_priority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4位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分红优先级（1最高，15最低）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：普通股分区编码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940100 04 02 01 03 01 03 03 03 00 CUST BNK1 00 02 0001 V1 1A3F NC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0001 0000 0001 0001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扩展字段含义：分区类型=普通股(0001)，锁定期=0年，投票权=1倍，分红优先级=1级。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二、ACC-1410：部分同质化资产协议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ACC-1410定义了</w:t>
      </w:r>
      <w:r>
        <w:rPr>
          <w:rFonts w:eastAsia="等线" w:ascii="Arial" w:cs="Arial" w:hAnsi="Arial"/>
          <w:b w:val="true"/>
          <w:sz w:val="22"/>
        </w:rPr>
        <w:t>分区管理的基础接口</w:t>
      </w:r>
      <w:r>
        <w:rPr>
          <w:rFonts w:eastAsia="等线" w:ascii="Arial" w:cs="Arial" w:hAnsi="Arial"/>
          <w:sz w:val="22"/>
        </w:rPr>
        <w:t>，是ACC-1400的底层构件。它不预设任何合规规则，仅提供分区的创建、查询、转账能力。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2.1 核心数据结构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ACC-1410 合约接口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contract interface IACC1410 {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分区查询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获取账户在指定分区的余额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balanceOfByPartition(partitionId: bytes32, account: Address) -&gt; uint256;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获取账户拥有的所有分区ID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partitionsOf(account: Address) -&gt; bytes32[];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获取分区详细信息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getPartitionInfo(partitionId: bytes32) -&gt; PartitionInfo;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struct PartitionInfo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id;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GNACS extendedGnacs;      // 64位扩展GNACS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string name;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PartitionType type;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totalSupply;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createdAt;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bool isActive;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分区转账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从指定分区转账（调用者必须是发送方）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  // 需宪法收据验证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transferByPartition(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to: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data: bytes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 -&gt; bytes32 returns (destinationPartitionId);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操作员代表发送方从指定分区转账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operatorTransferByPartition(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from: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to: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data: bytes,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operatorData: bytes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 -&gt; bytes32 returns (destinationPartitionId);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预检查分区转账是否可行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canTransferByPartition(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from: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to: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data: bytes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 -&gt; (byte status, bytes32 reason, bytes32 destPartition);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分区操作员授权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授权操作员管理所有分区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authorizeOperator(operator: Address);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撤销操作员对所有分区的管理权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revokeOperator(operator: Address);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检查地址是否为账户的操作员（所有分区）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isOperatorFor(operator: Address, tokenHolder: Address) -&gt; bool;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授权操作员管理特定分区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authorizeOperatorByPartition(partitionId: bytes32, operator: Address);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撤销操作员对特定分区的管理权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revokeOperatorByPartition(partitionId: bytes32, operator: Address);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检查地址是否为账户在特定分区的操作员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isOperatorForPartition(partitionId: bytes32, operator: Address, tokenHolder: Address) -&gt; bool;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事件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TransferByPartition(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indexed fromPartition,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indexed operator,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indexed from,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to,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value,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bytes data,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 operatorData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ChangedPartition(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indexed fromPartition,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indexed toPartition,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value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PartitionCreated(bytes32 indexed partitionId, string name, PartitionType type);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PartitionClosed(bytes32 indexed partitionId);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2.2 与ERC1410的关键差异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3000"/>
        <w:gridCol w:w="300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维度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ERC1410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ACC-1410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分区标识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bytes32无结构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64位扩展GNACS，机器可解析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转账返回值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返回目标分区ID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返回目标分区ID + 内置合规检查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操作员授权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分区级和全局两级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三层权限：全局/分区/宪法级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宪法收据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强制：所有状态修改需CR验证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三、ACC-1400：证券型资产协议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ACC-1400继承自ACC-1410，并叠加证券业务所需的高级功能：</w:t>
      </w:r>
      <w:r>
        <w:rPr>
          <w:rFonts w:eastAsia="等线" w:ascii="Arial" w:cs="Arial" w:hAnsi="Arial"/>
          <w:b w:val="true"/>
          <w:sz w:val="22"/>
        </w:rPr>
        <w:t>强制转移、文档绑定、发行与赎回、合规查询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3.1 接口定义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ACC-1400 证券型资产协议（继承ACC-1410）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contract interface IACC1400 is IACC1410 {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发行与赎回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发行新代币到指定分区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@Role("ISSUER")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issueByPartition(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tokenHolder: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data: bytes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赎回（销毁）指定分区代币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redeemByPartition(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data: bytes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操作员代表持有者赎回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operatorRedeemByPartition(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tokenHolder: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operatorData: bytes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查询是否可继续发行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isIssuable() -&gt; bool;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强制转移（监管接口）----------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强制转移（仅限宪法授权实体）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@Role("REGULATOR")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forceTransferByPartition(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from: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to: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reason: bytes,          // 法律依据（如法院令哈希）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evidence: bytes         // 证据哈希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 returns (bytes32 destPartition);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查询合约是否允许强制转移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isControllable() -&gt; bool;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获取当前授权的监管方列表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controllers() -&gt; Address[];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文档绑定（法律披露）----------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绑定法律文件（如招股书、审计报告）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@Role("ISSUER")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setDocument(docId: bytes32, uri: string, documentHash: bytes32);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获取文档信息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getDocument(docId: bytes32) -&gt; (string uri, bytes32 documentHash, uint256 updatedAt);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查询所有文档ID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getAllDocuments() -&gt; bytes32[];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合规查询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检查地址是否具备持有某分区资产的资格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canHoldByPartition(partitionId: bytes32, account: Address) -&gt; bool;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获取分区当前有效的合规规则（从GNACS扩展解析）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getComplianceRulesByPartition(partitionId: bytes32) -&gt; ComplianceRule[];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事件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IssuedByPartition(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indexed partition,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indexed operator,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indexed to,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value,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 data,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 operatorData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RedeemedByPartition(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indexed partition,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address indexed operator,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indexed from,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value,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 data,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 operatorData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DocumentUpdated(bytes32 indexed docId, string uri, bytes32 documentHash);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ForceTransferExecuted(bytes32 indexed partition, address from, address to, uint256 amount, bytes32 courtOrderHash);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3.2 与ERC1400的关键差异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3000"/>
        <w:gridCol w:w="300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维度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ERC1400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ACC-1400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合规检查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外部合规模块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GNACS原生解析 + AI引擎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强制转移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权限模糊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宪法授权：仅REGULATOR角色可执行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文档绑定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仅存储哈希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版本化：每次更新保留历史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分区合规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无统一标准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GNACS扩展：所有规则编码在链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四、与NAC架构的深度集成</w:t>
      </w:r>
      <w:bookmarkEnd w:id="1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4.1 宪法收据强制验证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ACC-1400/1410中所有</w:t>
      </w:r>
      <w:r>
        <w:rPr>
          <w:rFonts w:eastAsia="等线" w:ascii="Arial" w:cs="Arial" w:hAnsi="Arial"/>
          <w:b w:val="true"/>
          <w:sz w:val="22"/>
        </w:rPr>
        <w:t>修改状态</w:t>
      </w:r>
      <w:r>
        <w:rPr>
          <w:rFonts w:eastAsia="等线" w:ascii="Arial" w:cs="Arial" w:hAnsi="Arial"/>
          <w:sz w:val="22"/>
        </w:rPr>
        <w:t>的函数（转账、发行、赎回、强制转移）均标注</w:t>
      </w:r>
      <w:r>
        <w:rPr>
          <w:rFonts w:eastAsia="Consolas" w:ascii="Consolas" w:cs="Consolas" w:hAnsi="Consolas"/>
          <w:sz w:val="22"/>
          <w:shd w:fill="EFF0F1"/>
        </w:rPr>
        <w:t>@RequiresConstitutionalReceipt</w:t>
      </w:r>
      <w:r>
        <w:rPr>
          <w:rFonts w:eastAsia="等线" w:ascii="Arial" w:cs="Arial" w:hAnsi="Arial"/>
          <w:sz w:val="22"/>
        </w:rPr>
        <w:t>，意味着：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调用前必须获取宪法执行引擎（CEE）签发的收据。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CEE验证：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发送方和接收方KYC等级（从结构化地址读取）。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资产GNACS状态（</w:t>
      </w:r>
      <w:r>
        <w:rPr>
          <w:rFonts w:eastAsia="Consolas" w:ascii="Consolas" w:cs="Consolas" w:hAnsi="Consolas"/>
          <w:sz w:val="22"/>
          <w:shd w:fill="EFF0F1"/>
        </w:rPr>
        <w:t>status</w:t>
      </w:r>
      <w:r>
        <w:rPr>
          <w:rFonts w:eastAsia="等线" w:ascii="Arial" w:cs="Arial" w:hAnsi="Arial"/>
          <w:sz w:val="22"/>
        </w:rPr>
        <w:t>字段）是否为</w:t>
      </w:r>
      <w:r>
        <w:rPr>
          <w:rFonts w:eastAsia="Consolas" w:ascii="Consolas" w:cs="Consolas" w:hAnsi="Consolas"/>
          <w:sz w:val="22"/>
          <w:shd w:fill="EFF0F1"/>
        </w:rPr>
        <w:t>Active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交易是否符合分区GNACS扩展中的规则（如锁定期、投资人类别）。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发送方当日交易额是否超过宪法</w:t>
      </w:r>
      <w:r>
        <w:rPr>
          <w:rFonts w:eastAsia="Consolas" w:ascii="Consolas" w:cs="Consolas" w:hAnsi="Consolas"/>
          <w:sz w:val="22"/>
          <w:shd w:fill="EFF0F1"/>
        </w:rPr>
        <w:t>MAX_DAILY_TRADE</w:t>
      </w:r>
      <w:r>
        <w:rPr>
          <w:rFonts w:eastAsia="等线" w:ascii="Arial" w:cs="Arial" w:hAnsi="Arial"/>
          <w:sz w:val="22"/>
        </w:rPr>
        <w:t>限制。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无有效CR的交易</w:t>
      </w:r>
      <w:r>
        <w:rPr>
          <w:rFonts w:eastAsia="等线" w:ascii="Arial" w:cs="Arial" w:hAnsi="Arial"/>
          <w:b w:val="true"/>
          <w:sz w:val="22"/>
        </w:rPr>
        <w:t>无法被打包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4.2 GNACS原生合规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每个分区均携带64位扩展GNACS，AI合规引擎可</w:t>
      </w:r>
      <w:r>
        <w:rPr>
          <w:rFonts w:eastAsia="等线" w:ascii="Arial" w:cs="Arial" w:hAnsi="Arial"/>
          <w:b w:val="true"/>
          <w:sz w:val="22"/>
        </w:rPr>
        <w:t>直接解析</w:t>
      </w:r>
      <w:r>
        <w:rPr>
          <w:rFonts w:eastAsia="等线" w:ascii="Arial" w:cs="Arial" w:hAnsi="Arial"/>
          <w:sz w:val="22"/>
        </w:rPr>
        <w:t>出：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AI合规引擎内部逻辑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func validateTransferByPartition(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from: Address,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to: Address,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partitionId: bytes32,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amount: uint256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 -&gt; bool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partition = getPartitionInfo(partitionId);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gnacs = partition.extendedGnacs;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从GNACS解析分区规则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vestingYears = gnacs.getVestingYears();      // 锁定期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investorType = gnacs.getInvestorType();      // 投资者类型要求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votingMultiplier = gnacs.getVotingMultiplier(); // 投票权倍数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从结构化地址解析用户属性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fromKYC = from.kycLevel();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toKYC = to.kycLevel();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let toRegion = to.region();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自动合规检查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if vestingYears &gt; 0 &amp;&amp; !isVestingExpired(from, partitionId)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return false;  // 锁定期未过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if investorType == 0x01 &amp;&amp; !to.accredited()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return false;  // 要求合格投资者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区域限制检查（从GNACS解析allowedRegions）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if !gnacs.allowedRegions().contains(toRegion)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return false;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return true;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4.3 角色与权限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ACC-1400中的角色权限</w:t>
      </w:r>
      <w:r>
        <w:rPr>
          <w:rFonts w:eastAsia="等线" w:ascii="Arial" w:cs="Arial" w:hAnsi="Arial"/>
          <w:b w:val="true"/>
          <w:sz w:val="22"/>
        </w:rPr>
        <w:t>直接映射宪法法院定义的角色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角色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来源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权限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ISSUER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资产发行方DID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发行新代币、设置文档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REGULATOR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宪法法院授权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强制转移、冻结资产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OPERATOR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用户授权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代理转账（如交易所）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角色由宪法状态文件统一管理，**不可在合约层面随意修改**。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五、完整示例：股权代币发行</w:t>
      </w:r>
      <w:bookmarkEnd w:id="14"/>
    </w:p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5" w:id="15"/>
      <w:r>
        <w:rPr>
          <w:rFonts w:eastAsia="等线" w:ascii="Arial" w:cs="Arial" w:hAnsi="Arial"/>
          <w:b w:val="true"/>
          <w:sz w:val="30"/>
        </w:rPr>
        <w:t>5.1 创建分区</w:t>
      </w:r>
      <w:bookmarkEnd w:id="15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部署ACC-1400合约</w:t>
              <w:br/>
              <w:t>contract CompanyShares is ACC1400 {</w:t>
              <w:br/>
              <w:t xml:space="preserve">    </w:t>
              <w:br/>
              <w:t xml:space="preserve">    constructor() {</w:t>
              <w:br/>
              <w:t xml:space="preserve">        // 基础资产GNACS（假设为私募股权）</w:t>
              <w:br/>
              <w:t xml:space="preserve">        baseGNACS = GNACS("800001 04 02 01 03 01 03 03 03 00 CUST BNK1 00 02 0001 V1 1A3F NC");</w:t>
              <w:br/>
              <w:t xml:space="preserve">        </w:t>
              <w:br/>
              <w:t xml:space="preserve">        // 创建三个分区</w:t>
              <w:br/>
              <w:t xml:space="preserve">        createPartition(</w:t>
              <w:br/>
              <w:t xml:space="preserve">            "Common Stock",                    // 名称</w:t>
              <w:br/>
              <w:t xml:space="preserve">            PartitionType.CommonStock,         // 类型</w:t>
              <w:br/>
              <w:t xml:space="preserve">            GNACSExtension(                     // 扩展</w:t>
              <w:br/>
              <w:t xml:space="preserve">                partitionType: 0x0001,          // 普通股</w:t>
              <w:br/>
              <w:t xml:space="preserve">                vestingYears: 0,                // 无锁定期</w:t>
              <w:br/>
              <w:t xml:space="preserve">                votingMultiplier: 1,             // 1倍投票权</w:t>
              <w:br/>
              <w:t xml:space="preserve">                dividendPriority: 1              // 优先分红</w:t>
              <w:br/>
              <w:t xml:space="preserve">            )</w:t>
              <w:br/>
              <w:t xml:space="preserve">        );</w:t>
              <w:br/>
              <w:t xml:space="preserve">        </w:t>
              <w:br/>
              <w:t xml:space="preserve">        createPartition(</w:t>
              <w:br/>
              <w:t xml:space="preserve">            "Employee Options",</w:t>
              <w:br/>
              <w:t xml:space="preserve">            PartitionType.EmployeeOption,</w:t>
              <w:br/>
              <w:t xml:space="preserve">            GNACSExtension(</w:t>
              <w:br/>
              <w:t xml:space="preserve">                partitionType: 0x0003,</w:t>
              <w:br/>
              <w:t xml:space="preserve">                vestingYears: 4,                 // 4年锁定期</w:t>
              <w:br/>
              <w:t xml:space="preserve">                votingMultiplier: 0,              // 无投票权</w:t>
              <w:br/>
              <w:t xml:space="preserve">                dividendPriority: 3               // 次级分红</w:t>
              <w:br/>
              <w:t xml:space="preserve">            )</w:t>
              <w:br/>
              <w:t xml:space="preserve">        );</w:t>
              <w:br/>
              <w:t xml:space="preserve">        </w:t>
              <w:br/>
              <w:t xml:space="preserve">        createPartition(</w:t>
              <w:br/>
              <w:t xml:space="preserve">            "Founder Lock-up",</w:t>
              <w:br/>
              <w:t xml:space="preserve">            PartitionType.RestrictedStock,</w:t>
              <w:br/>
              <w:t xml:space="preserve">            GNACSExtension(</w:t>
              <w:br/>
              <w:t xml:space="preserve">                partitionType: 0x0002,</w:t>
              <w:br/>
              <w:t xml:space="preserve">                vestingYears: 2,                 // 2年锁定期</w:t>
              <w:br/>
              <w:t xml:space="preserve">                votingMultiplier: 1,               // 1倍投票权</w:t>
              <w:br/>
              <w:t xml:space="preserve">                dividendPriority: 2                // 中级分红</w:t>
              <w:br/>
              <w:t xml:space="preserve">            )</w:t>
              <w:br/>
              <w:t xml:space="preserve">        );</w:t>
              <w:br/>
              <w:t xml:space="preserve">    }</w:t>
              <w:br/>
            </w:r>
            <w:r>
              <w:rPr>
                <w:rFonts w:eastAsia="Consolas" w:ascii="Consolas" w:cs="Consolas" w:hAnsi="Consolas"/>
                <w:sz w:val="22"/>
              </w:rPr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5.2 发行与转账</w:t>
      </w:r>
      <w:bookmarkEnd w:id="16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向创始人发行锁定股</w:t>
              <w:br/>
              <w:t>let founderAddr = Address("0x1234...");</w:t>
              <w:br/>
              <w:t>let lockPartition = getPartitionId("Founder Lock-up");</w:t>
              <w:br/>
              <w:br/>
              <w:t>// 获取宪法收据（证明创始人KYC合格、符合持股上限）</w:t>
              <w:br/>
              <w:t>let cr = cee.issueReceipt(</w:t>
              <w:br/>
              <w:t xml:space="preserve">    txHash, </w:t>
              <w:br/>
              <w:t xml:space="preserve">    [founderAddr, lockPartition, amount]</w:t>
              <w:br/>
              <w:t>);</w:t>
              <w:br/>
              <w:br/>
              <w:t>// 发行（带CR）</w:t>
              <w:br/>
              <w:t>issueByPartition(lockPartition, founderAddr, 1000000, "", cr);</w:t>
              <w:br/>
              <w:br/>
              <w:t>// 两年后，创始人尝试转账</w:t>
              <w:br/>
              <w:t>// transferByPartition 会自动检查锁定期</w:t>
              <w:br/>
              <w:t>let destPartition = transferByPartition(</w:t>
              <w:br/>
              <w:t xml:space="preserve">    lockPartition,</w:t>
              <w:br/>
              <w:t xml:space="preserve">    investorAddr,</w:t>
              <w:br/>
              <w:t xml:space="preserve">    500000,</w:t>
              <w:br/>
              <w:t xml:space="preserve">    "",</w:t>
              <w:br/>
              <w:t xml:space="preserve">    getCurrentCR()</w:t>
              <w:br/>
              <w:t>);  // 若锁定期未过，CEE将拒绝签发CR，交易失败</w:t>
              <w:br/>
              <w:br/>
              <w:t>// 成功时返回目标分区（可能是普通股分区）</w:t>
              <w:br/>
            </w:r>
            <w:r>
              <w:rPr>
                <w:rFonts w:eastAsia="Consolas" w:ascii="Consolas" w:cs="Consolas" w:hAnsi="Consolas"/>
                <w:sz w:val="22"/>
              </w:rPr>
              <w:t>assert(destPartition == getPartitionId("Common Stock"));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5.3 监管强制转移</w:t>
      </w:r>
      <w:bookmarkEnd w:id="17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法院判决：将某地址的股份强制转让</w:t>
              <w:br/>
              <w:t>let courtOrderHash = sha3_384("Court Order #2026-001");</w:t>
              <w:br/>
              <w:t>forceTransferByPartition(</w:t>
              <w:br/>
              <w:t xml:space="preserve">    lockPartition,</w:t>
              <w:br/>
              <w:t xml:space="preserve">    fromAddr,</w:t>
              <w:br/>
              <w:t xml:space="preserve">    toAddr,</w:t>
              <w:br/>
              <w:t xml:space="preserve">    100000,</w:t>
              <w:br/>
              <w:t xml:space="preserve">    courtOrderHash,</w:t>
              <w:br/>
              <w:t xml:space="preserve">    evidenceHash</w:t>
              <w:br/>
            </w:r>
            <w:r>
              <w:rPr>
                <w:rFonts w:eastAsia="Consolas" w:ascii="Consolas" w:cs="Consolas" w:hAnsi="Consolas"/>
                <w:sz w:val="22"/>
              </w:rPr>
              <w:t>);  // 仅 REGULATOR 角色可调用，且需CR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六、与ERC标准的对比总结</w:t>
      </w:r>
      <w:bookmarkEnd w:id="18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ERC-20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ERC-1400/1410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 ACC-1400/1410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合规检查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外部合规模块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GNACS原生编码 + 宪法收据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分区管理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bytes32</w:t>
            </w:r>
            <w:r>
              <w:rPr>
                <w:rFonts w:eastAsia="等线" w:ascii="Arial" w:cs="Arial" w:hAnsi="Arial"/>
                <w:sz w:val="22"/>
              </w:rPr>
              <w:t>标识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64位GNACS扩展</w:t>
            </w:r>
            <w:r>
              <w:rPr>
                <w:rFonts w:eastAsia="等线" w:ascii="Arial" w:cs="Arial" w:hAnsi="Arial"/>
                <w:sz w:val="22"/>
              </w:rPr>
              <w:t>，机器可解析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强制转移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存在但权限模糊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宪法授权角色</w:t>
            </w:r>
            <w:r>
              <w:rPr>
                <w:rFonts w:eastAsia="等线" w:ascii="Arial" w:cs="Arial" w:hAnsi="Arial"/>
                <w:sz w:val="22"/>
              </w:rPr>
              <w:t>，可追溯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文档绑定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存储哈希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版本化文档</w:t>
            </w:r>
            <w:r>
              <w:rPr>
                <w:rFonts w:eastAsia="等线" w:ascii="Arial" w:cs="Arial" w:hAnsi="Arial"/>
                <w:sz w:val="22"/>
              </w:rPr>
              <w:t>，支持更新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法律依据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链下约定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宪法条款</w:t>
            </w:r>
            <w:r>
              <w:rPr>
                <w:rFonts w:eastAsia="等线" w:ascii="Arial" w:cs="Arial" w:hAnsi="Arial"/>
                <w:sz w:val="22"/>
              </w:rPr>
              <w:t>，不可篡改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跨链互操作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通过桥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依赖外部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CSNP原生支持</w:t>
            </w:r>
            <w:r>
              <w:rPr>
                <w:rFonts w:eastAsia="等线" w:ascii="Arial" w:cs="Arial" w:hAnsi="Arial"/>
                <w:sz w:val="22"/>
              </w:rPr>
              <w:t>，GNACS驱动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七、结语</w:t>
      </w:r>
      <w:bookmarkEnd w:id="19"/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CC-1400和ACC-1410不是ERC标准的简单克隆，而是**在NAC宪政框架下的彻底重构**。它们将证券型资产所需的复杂规则编码为**GNACS数字基因**，通过**宪法执行引擎（CEE）******自动验证每笔交易，最终由******宪法法院**授权的角色执行监管操作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这是NAC“完美中心化框架下的去中心化”理念在资产协议层的完整体现——**规则由宪法定义，执行由AI完成，监管由宪法授权，交易由节点去中心化验证**。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 xml:space="preserve">：NAC资产协议工作组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 xml:space="preserve">：2026年2月14日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角色由宪法状态文件统一管理，</w:t>
      </w:r>
      <w:r>
        <w:rPr>
          <w:rFonts w:eastAsia="等线" w:ascii="Arial" w:cs="Arial" w:hAnsi="Arial"/>
          <w:b w:val="true"/>
          <w:sz w:val="22"/>
        </w:rPr>
        <w:t>不可在合约层面随意修改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五、完整示例：股权代币发行</w:t>
      </w:r>
      <w:bookmarkEnd w:id="2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5.1 创建分区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部署ACC-1400合约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contract CompanyShares is ACC1400 {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constructor()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// 基础资产GNACS（假设为私募股权）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baseGNACS = GNACS("800001 04 02 01 03 01 03 03 03 00 CUST BNK1 00 02 0001 V1 1A3F NC");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// 创建三个分区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createPartition(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"Common Stock",                    // 名称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PartitionType.CommonStock,         // 类型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GNACSExtension(                     // 扩展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partitionType: 0x0001,          // 普通股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vestingYears: 0,                // 无锁定期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votingMultiplier: 1,             // 1倍投票权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dividendPriority: 1              // 优先分红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createPartition(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"Employee Options",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PartitionType.EmployeeOption,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GNACSExtension(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partitionType: 0x0003,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vestingYears: 4,                 // 4年锁定期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votingMultiplier: 0,              // 无投票权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dividendPriority: 3               // 次级分红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createPartition(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"Founder Lock-up",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PartitionType.RestrictedStock,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GNACSExtension(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partitionType: 0x0002,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vestingYears: 2,                 // 2年锁定期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votingMultiplier: 1,               // 1倍投票权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dividendPriority: 2                // 中级分红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5.2 发行与转账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向创始人发行锁定股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founderAddr = Address("0x1234...");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lockPartition = getPartitionId("Founder Lock-up");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获取宪法收据（证明创始人KYC合格、符合持股上限）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cr = cee.issueReceipt(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txHash,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[founderAddr, lockPartition, amount]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发行（带CR）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issueByPartition(lockPartition, founderAddr, 1000000, "", cr);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两年后，创始人尝试转账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transferByPartition 会自动检查锁定期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destPartition = transferByPartition(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lockPartition,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investorAddr,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500000,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getCurrentCR()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);  // 若锁定期未过，CEE将拒绝签发CR，交易失败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成功时返回目标分区（可能是普通股分区）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assert(destPartition == getPartitionId("Common Stock"));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5.3 监管强制转移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法院判决：将某地址的股份强制转让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courtOrderHash = sha3_384("Court Order #2026-001");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forceTransferByPartition(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lockPartition,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fromAddr,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toAddr,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100000,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courtOrderHash,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evidenceHash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);  // 仅 REGULATOR 角色可调用，且需CR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4" w:id="24"/>
      <w:r>
        <w:rPr>
          <w:rFonts w:eastAsia="等线" w:ascii="Arial" w:cs="Arial" w:hAnsi="Arial"/>
          <w:b w:val="true"/>
          <w:sz w:val="36"/>
        </w:rPr>
        <w:t>六、与ERC标准的对比总结</w:t>
      </w:r>
      <w:bookmarkEnd w:id="2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特性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2026-02-14T16:47:54Z</dcterms:created>
  <dc:creator>Apache POI</dc:creator>
</cp:coreProperties>
</file>