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776FC6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40" w:afterAutospacing="0" w:line="510" w:lineRule="atLeast"/>
        <w:ind w:left="0" w:right="0" w:firstLine="0"/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6"/>
          <w:szCs w:val="36"/>
          <w:shd w:val="clear" w:fill="FFFFFF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6"/>
          <w:szCs w:val="36"/>
          <w:shd w:val="clear" w:fill="FFFFFF"/>
        </w:rPr>
        <w:t>NAC公链XTZH铸造与跨链质押细则法典（完整版）</w:t>
      </w:r>
    </w:p>
    <w:p w14:paraId="4D52D672"/>
    <w:p w14:paraId="21838EE6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3"/>
          <w:szCs w:val="33"/>
          <w:shd w:val="clear" w:fill="FFFFFF"/>
        </w:rPr>
        <w:t>第一章：总纲——XTZH的宪法地位与铸造原则</w:t>
      </w:r>
    </w:p>
    <w:p w14:paraId="4CFC223E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1.1 XTZH的宪法定义</w:t>
      </w:r>
    </w:p>
    <w:p w14:paraId="1B25DA94">
      <w:pPr>
        <w:rPr>
          <w:rFonts w:hint="eastAsia"/>
        </w:rPr>
      </w:pPr>
      <w:r>
        <w:rPr>
          <w:rFonts w:hint="eastAsia"/>
        </w:rPr>
        <w:t>XTZH（X-Token ZH）是NAC公链的链上法币，具有以下宪法地位：</w:t>
      </w:r>
    </w:p>
    <w:p w14:paraId="1C190085">
      <w:pPr>
        <w:rPr>
          <w:rFonts w:hint="eastAsia"/>
        </w:rPr>
      </w:pPr>
    </w:p>
    <w:p w14:paraId="050CB28C">
      <w:pPr>
        <w:rPr>
          <w:rFonts w:hint="eastAsia"/>
        </w:rPr>
      </w:pPr>
      <w:r>
        <w:rPr>
          <w:rFonts w:hint="eastAsia"/>
        </w:rPr>
        <w:t>1. 价值尺度：XTZH是NAC公链上所有资产价值的计价单位和交易媒介</w:t>
      </w:r>
    </w:p>
    <w:p w14:paraId="3791BE46">
      <w:pPr>
        <w:rPr>
          <w:rFonts w:hint="eastAsia"/>
        </w:rPr>
      </w:pPr>
      <w:r>
        <w:rPr>
          <w:rFonts w:hint="eastAsia"/>
        </w:rPr>
        <w:t>2. 稳定本位：通过三重锚定机制保持价值稳定（RWA资产+黄金+SDR商品篮）</w:t>
      </w:r>
    </w:p>
    <w:p w14:paraId="4CEFD38F">
      <w:pPr>
        <w:rPr>
          <w:rFonts w:hint="eastAsia"/>
        </w:rPr>
      </w:pPr>
      <w:r>
        <w:rPr>
          <w:rFonts w:hint="eastAsia"/>
        </w:rPr>
        <w:t>3. 主权货币：受NAC主权规则保护，由NAC公链独家发行和管理</w:t>
      </w:r>
    </w:p>
    <w:p w14:paraId="6A65F3C5">
      <w:pPr>
        <w:rPr>
          <w:rFonts w:hint="eastAsia"/>
        </w:rPr>
      </w:pPr>
      <w:r>
        <w:rPr>
          <w:rFonts w:hint="eastAsia"/>
        </w:rPr>
        <w:t>4. 合规本位：符合全球主要司法辖区的数字货币监管要求</w:t>
      </w:r>
    </w:p>
    <w:p w14:paraId="117E809E">
      <w:pPr>
        <w:rPr>
          <w:rFonts w:hint="eastAsia"/>
        </w:rPr>
      </w:pPr>
      <w:r>
        <w:rPr>
          <w:rFonts w:hint="eastAsia"/>
        </w:rPr>
        <w:t>5. 能源本位：所有铸造、转移、销毁操作均消耗XIC作为能量成本</w:t>
      </w:r>
    </w:p>
    <w:p w14:paraId="285C0EE7">
      <w:pPr>
        <w:rPr>
          <w:rFonts w:hint="eastAsia"/>
        </w:rPr>
      </w:pPr>
    </w:p>
    <w:p w14:paraId="50CFE076">
      <w:pPr>
        <w:rPr>
          <w:rFonts w:hint="eastAsia"/>
        </w:rPr>
      </w:pPr>
      <w:r>
        <w:rPr>
          <w:rFonts w:hint="eastAsia"/>
        </w:rPr>
        <w:t>XTZH不是：</w:t>
      </w:r>
    </w:p>
    <w:p w14:paraId="69E7D008">
      <w:pPr>
        <w:rPr>
          <w:rFonts w:hint="eastAsia"/>
        </w:rPr>
      </w:pPr>
      <w:r>
        <w:rPr>
          <w:rFonts w:hint="eastAsia"/>
        </w:rPr>
        <w:t>1. 投资工具：不鼓励投机交易，主要作为价值存储和交换媒介</w:t>
      </w:r>
    </w:p>
    <w:p w14:paraId="056025D2">
      <w:pPr>
        <w:rPr>
          <w:rFonts w:hint="eastAsia"/>
        </w:rPr>
      </w:pPr>
      <w:r>
        <w:rPr>
          <w:rFonts w:hint="eastAsia"/>
        </w:rPr>
        <w:t>2. 治理代币：治理功能由XIC承担，XTZH无投票权</w:t>
      </w:r>
    </w:p>
    <w:p w14:paraId="4148DDDF">
      <w:pPr>
        <w:rPr>
          <w:rFonts w:hint="eastAsia"/>
        </w:rPr>
      </w:pPr>
      <w:r>
        <w:rPr>
          <w:rFonts w:hint="eastAsia"/>
        </w:rPr>
        <w:t>3. 无抵押债务：每一枚XTZH都有超额资产背书，非信用发行</w:t>
      </w:r>
    </w:p>
    <w:p w14:paraId="515643B3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1.2 铸造三大宪法原则</w:t>
      </w:r>
    </w:p>
    <w:p w14:paraId="37512631">
      <w:pPr>
        <w:rPr>
          <w:rFonts w:hint="eastAsia"/>
        </w:rPr>
      </w:pPr>
      <w:r>
        <w:rPr>
          <w:rFonts w:hint="eastAsia"/>
        </w:rPr>
        <w:t>原则一：资产背书原则（Asset-Backed Principle）</w:t>
      </w:r>
    </w:p>
    <w:p w14:paraId="470712F4">
      <w:pPr>
        <w:rPr>
          <w:rFonts w:hint="eastAsia"/>
        </w:rPr>
      </w:pPr>
      <w:r>
        <w:rPr>
          <w:rFonts w:hint="eastAsia"/>
        </w:rPr>
        <w:t xml:space="preserve">  - 每一枚XTZH必须有足额、合格、可验证的RWA资产作为价值支持</w:t>
      </w:r>
    </w:p>
    <w:p w14:paraId="6AC89B73">
      <w:pPr>
        <w:rPr>
          <w:rFonts w:hint="eastAsia"/>
        </w:rPr>
      </w:pPr>
      <w:r>
        <w:rPr>
          <w:rFonts w:hint="eastAsia"/>
        </w:rPr>
        <w:t xml:space="preserve">  - 支持资产必须通过GNACS Pro分类和AI估值系统认证</w:t>
      </w:r>
    </w:p>
    <w:p w14:paraId="2F16A43E">
      <w:pPr>
        <w:rPr>
          <w:rFonts w:hint="eastAsia"/>
        </w:rPr>
      </w:pPr>
      <w:r>
        <w:rPr>
          <w:rFonts w:hint="eastAsia"/>
        </w:rPr>
        <w:t xml:space="preserve">  - 质押率根据资产风险等级动态调整，确保超额抵押</w:t>
      </w:r>
    </w:p>
    <w:p w14:paraId="15BA62BF">
      <w:pPr>
        <w:rPr>
          <w:rFonts w:hint="eastAsia"/>
        </w:rPr>
      </w:pPr>
    </w:p>
    <w:p w14:paraId="2A911157">
      <w:pPr>
        <w:rPr>
          <w:rFonts w:hint="eastAsia"/>
        </w:rPr>
      </w:pPr>
      <w:r>
        <w:rPr>
          <w:rFonts w:hint="eastAsia"/>
        </w:rPr>
        <w:t>原则二：黄金储备原则（Gold-Reserve Principle）</w:t>
      </w:r>
    </w:p>
    <w:p w14:paraId="3303226A">
      <w:pPr>
        <w:rPr>
          <w:rFonts w:hint="eastAsia"/>
        </w:rPr>
      </w:pPr>
      <w:r>
        <w:rPr>
          <w:rFonts w:hint="eastAsia"/>
        </w:rPr>
        <w:t xml:space="preserve">  - 每铸造1XTZH，系统必须建立1.25倍价值的黄金永续合约储备</w:t>
      </w:r>
    </w:p>
    <w:p w14:paraId="16D444B4">
      <w:pPr>
        <w:rPr>
          <w:rFonts w:hint="eastAsia"/>
        </w:rPr>
      </w:pPr>
      <w:r>
        <w:rPr>
          <w:rFonts w:hint="eastAsia"/>
        </w:rPr>
        <w:t xml:space="preserve">  - 黄金储备作为XTZH价值的最终防线和稳定锚</w:t>
      </w:r>
    </w:p>
    <w:p w14:paraId="223D50AE">
      <w:pPr>
        <w:rPr>
          <w:rFonts w:hint="eastAsia"/>
        </w:rPr>
      </w:pPr>
      <w:r>
        <w:rPr>
          <w:rFonts w:hint="eastAsia"/>
        </w:rPr>
        <w:t xml:space="preserve">  - 储备不足时必须暂停新铸造，直至补足</w:t>
      </w:r>
    </w:p>
    <w:p w14:paraId="5911B1AE">
      <w:pPr>
        <w:rPr>
          <w:rFonts w:hint="eastAsia"/>
        </w:rPr>
      </w:pPr>
    </w:p>
    <w:p w14:paraId="1EF5E698">
      <w:pPr>
        <w:rPr>
          <w:rFonts w:hint="eastAsia"/>
        </w:rPr>
      </w:pPr>
      <w:r>
        <w:rPr>
          <w:rFonts w:hint="eastAsia"/>
        </w:rPr>
        <w:t>原则三：治理控制原则（Governance-Controlled Principle）</w:t>
      </w:r>
    </w:p>
    <w:p w14:paraId="224F517A">
      <w:pPr>
        <w:rPr>
          <w:rFonts w:hint="eastAsia"/>
        </w:rPr>
      </w:pPr>
      <w:r>
        <w:rPr>
          <w:rFonts w:hint="eastAsia"/>
        </w:rPr>
        <w:t xml:space="preserve">  - 铸造参数（质押率、利率、费率等）由XIC持有者通过治理投票决定</w:t>
      </w:r>
    </w:p>
    <w:p w14:paraId="0C9D38BA">
      <w:pPr>
        <w:rPr>
          <w:rFonts w:hint="eastAsia"/>
        </w:rPr>
      </w:pPr>
      <w:r>
        <w:rPr>
          <w:rFonts w:hint="eastAsia"/>
        </w:rPr>
        <w:t xml:space="preserve">  - 紧急情况下可通过超级多数投票暂停或限制铸造</w:t>
      </w:r>
    </w:p>
    <w:p w14:paraId="73B47FED">
      <w:pPr>
        <w:rPr>
          <w:rFonts w:hint="eastAsia"/>
        </w:rPr>
      </w:pPr>
      <w:r>
        <w:rPr>
          <w:rFonts w:hint="eastAsia"/>
        </w:rPr>
        <w:t xml:space="preserve">  - 所有铸造记录永久上链，接受社区和监管审计</w:t>
      </w:r>
    </w:p>
    <w:p w14:paraId="3B70D861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3"/>
          <w:szCs w:val="33"/>
          <w:shd w:val="clear" w:fill="FFFFFF"/>
        </w:rPr>
        <w:t>第二章：RWA资产铸造XTZH细则</w:t>
      </w:r>
    </w:p>
    <w:p w14:paraId="5CF591B6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2.1 合格资产标准</w:t>
      </w:r>
    </w:p>
    <w:p w14:paraId="7B8F89A4">
      <w:pPr>
        <w:rPr>
          <w:rFonts w:hint="eastAsia"/>
        </w:rPr>
      </w:pPr>
      <w:r>
        <w:rPr>
          <w:rFonts w:hint="eastAsia"/>
        </w:rPr>
        <w:t>第一类：核心资产（质押率最高90%）</w:t>
      </w:r>
    </w:p>
    <w:p w14:paraId="52468512">
      <w:pPr>
        <w:rPr>
          <w:rFonts w:hint="eastAsia"/>
        </w:rPr>
      </w:pPr>
      <w:r>
        <w:rPr>
          <w:rFonts w:hint="eastAsia"/>
        </w:rPr>
        <w:t xml:space="preserve">  标准：</w:t>
      </w:r>
    </w:p>
    <w:p w14:paraId="0825F5E2">
      <w:pPr>
        <w:rPr>
          <w:rFonts w:hint="eastAsia"/>
        </w:rPr>
      </w:pPr>
      <w:r>
        <w:rPr>
          <w:rFonts w:hint="eastAsia"/>
        </w:rPr>
        <w:t xml:space="preserve">    1. GNACS风险权重 ≤ 20%</w:t>
      </w:r>
    </w:p>
    <w:p w14:paraId="42FC87CD">
      <w:pPr>
        <w:rPr>
          <w:rFonts w:hint="eastAsia"/>
        </w:rPr>
      </w:pPr>
      <w:r>
        <w:rPr>
          <w:rFonts w:hint="eastAsia"/>
        </w:rPr>
        <w:t xml:space="preserve">    2. 市场流动性评级 ≥ B1（日交易量 &gt; $100万）</w:t>
      </w:r>
    </w:p>
    <w:p w14:paraId="4CB69664">
      <w:pPr>
        <w:rPr>
          <w:rFonts w:hint="eastAsia"/>
        </w:rPr>
      </w:pPr>
      <w:r>
        <w:rPr>
          <w:rFonts w:hint="eastAsia"/>
        </w:rPr>
        <w:t xml:space="preserve">    3. 法律权属清晰，无争议</w:t>
      </w:r>
    </w:p>
    <w:p w14:paraId="550C62EF">
      <w:pPr>
        <w:rPr>
          <w:rFonts w:hint="eastAsia"/>
        </w:rPr>
      </w:pPr>
      <w:r>
        <w:rPr>
          <w:rFonts w:hint="eastAsia"/>
        </w:rPr>
        <w:t xml:space="preserve">    4. 估值置信度 ≥ 95%</w:t>
      </w:r>
    </w:p>
    <w:p w14:paraId="39AB632A">
      <w:pPr>
        <w:rPr>
          <w:rFonts w:hint="eastAsia"/>
        </w:rPr>
      </w:pPr>
      <w:r>
        <w:rPr>
          <w:rFonts w:hint="eastAsia"/>
        </w:rPr>
        <w:t xml:space="preserve">    5. 在受监管的交易所或市场交易</w:t>
      </w:r>
    </w:p>
    <w:p w14:paraId="3D9A97E6">
      <w:pPr>
        <w:rPr>
          <w:rFonts w:hint="eastAsia"/>
        </w:rPr>
      </w:pPr>
      <w:r>
        <w:rPr>
          <w:rFonts w:hint="eastAsia"/>
        </w:rPr>
        <w:t xml:space="preserve">  包括：</w:t>
      </w:r>
    </w:p>
    <w:p w14:paraId="1CD8EE7F">
      <w:pPr>
        <w:rPr>
          <w:rFonts w:hint="eastAsia"/>
        </w:rPr>
      </w:pPr>
      <w:r>
        <w:rPr>
          <w:rFonts w:hint="eastAsia"/>
        </w:rPr>
        <w:t xml:space="preserve">    - 国债（AAA评级）</w:t>
      </w:r>
    </w:p>
    <w:p w14:paraId="1A196B1B">
      <w:pPr>
        <w:rPr>
          <w:rFonts w:hint="eastAsia"/>
        </w:rPr>
      </w:pPr>
      <w:r>
        <w:rPr>
          <w:rFonts w:hint="eastAsia"/>
        </w:rPr>
        <w:t xml:space="preserve">    - 黄金（实物或认证ETF）</w:t>
      </w:r>
    </w:p>
    <w:p w14:paraId="131A4D94">
      <w:pPr>
        <w:rPr>
          <w:rFonts w:hint="eastAsia"/>
        </w:rPr>
      </w:pPr>
      <w:r>
        <w:rPr>
          <w:rFonts w:hint="eastAsia"/>
        </w:rPr>
        <w:t xml:space="preserve">    - 顶级房地产（一线城市核心地段）</w:t>
      </w:r>
    </w:p>
    <w:p w14:paraId="4C0DCF18">
      <w:pPr>
        <w:rPr>
          <w:rFonts w:hint="eastAsia"/>
        </w:rPr>
      </w:pPr>
      <w:r>
        <w:rPr>
          <w:rFonts w:hint="eastAsia"/>
        </w:rPr>
        <w:t xml:space="preserve">    - 蓝筹公司股票（市值 &gt; $100亿）</w:t>
      </w:r>
    </w:p>
    <w:p w14:paraId="51DC29CE">
      <w:pPr>
        <w:rPr>
          <w:rFonts w:hint="eastAsia"/>
        </w:rPr>
      </w:pPr>
    </w:p>
    <w:p w14:paraId="41105A3B">
      <w:pPr>
        <w:rPr>
          <w:rFonts w:hint="eastAsia"/>
        </w:rPr>
      </w:pPr>
      <w:r>
        <w:rPr>
          <w:rFonts w:hint="eastAsia"/>
        </w:rPr>
        <w:t>第二类：标准资产（质押率最高70%）</w:t>
      </w:r>
    </w:p>
    <w:p w14:paraId="4D6C98C7">
      <w:pPr>
        <w:rPr>
          <w:rFonts w:hint="eastAsia"/>
        </w:rPr>
      </w:pPr>
      <w:r>
        <w:rPr>
          <w:rFonts w:hint="eastAsia"/>
        </w:rPr>
        <w:t xml:space="preserve">  标准：</w:t>
      </w:r>
    </w:p>
    <w:p w14:paraId="07D37AAA">
      <w:pPr>
        <w:rPr>
          <w:rFonts w:hint="eastAsia"/>
        </w:rPr>
      </w:pPr>
      <w:r>
        <w:rPr>
          <w:rFonts w:hint="eastAsia"/>
        </w:rPr>
        <w:t xml:space="preserve">    1. GNACS风险权重 ≤ 50%</w:t>
      </w:r>
    </w:p>
    <w:p w14:paraId="6B3E148B">
      <w:pPr>
        <w:rPr>
          <w:rFonts w:hint="eastAsia"/>
        </w:rPr>
      </w:pPr>
      <w:r>
        <w:rPr>
          <w:rFonts w:hint="eastAsia"/>
        </w:rPr>
        <w:t xml:space="preserve">    2. 市场流动性评级 ≥ C1（日交易量 &gt; $10万）</w:t>
      </w:r>
    </w:p>
    <w:p w14:paraId="70AA788A">
      <w:pPr>
        <w:rPr>
          <w:rFonts w:hint="eastAsia"/>
        </w:rPr>
      </w:pPr>
      <w:r>
        <w:rPr>
          <w:rFonts w:hint="eastAsia"/>
        </w:rPr>
        <w:t xml:space="preserve">    3. 有明确的法律登记和所有权证明</w:t>
      </w:r>
    </w:p>
    <w:p w14:paraId="0A9BEB10">
      <w:pPr>
        <w:rPr>
          <w:rFonts w:hint="eastAsia"/>
        </w:rPr>
      </w:pPr>
      <w:r>
        <w:rPr>
          <w:rFonts w:hint="eastAsia"/>
        </w:rPr>
        <w:t xml:space="preserve">    4. 估值置信度 ≥ 90%</w:t>
      </w:r>
    </w:p>
    <w:p w14:paraId="4C2EB495">
      <w:pPr>
        <w:rPr>
          <w:rFonts w:hint="eastAsia"/>
        </w:rPr>
      </w:pPr>
      <w:r>
        <w:rPr>
          <w:rFonts w:hint="eastAsia"/>
        </w:rPr>
        <w:t xml:space="preserve">  包括：</w:t>
      </w:r>
    </w:p>
    <w:p w14:paraId="57EABD85">
      <w:pPr>
        <w:rPr>
          <w:rFonts w:hint="eastAsia"/>
        </w:rPr>
      </w:pPr>
      <w:r>
        <w:rPr>
          <w:rFonts w:hint="eastAsia"/>
        </w:rPr>
        <w:t xml:space="preserve">    - 投资级公司债</w:t>
      </w:r>
    </w:p>
    <w:p w14:paraId="6BDBA945">
      <w:pPr>
        <w:rPr>
          <w:rFonts w:hint="eastAsia"/>
        </w:rPr>
      </w:pPr>
      <w:r>
        <w:rPr>
          <w:rFonts w:hint="eastAsia"/>
        </w:rPr>
        <w:t xml:space="preserve">    - 二线城市商业地产</w:t>
      </w:r>
    </w:p>
    <w:p w14:paraId="0C19EF32">
      <w:pPr>
        <w:rPr>
          <w:rFonts w:hint="eastAsia"/>
        </w:rPr>
      </w:pPr>
      <w:r>
        <w:rPr>
          <w:rFonts w:hint="eastAsia"/>
        </w:rPr>
        <w:t xml:space="preserve">    - 大宗商品（原油、铜等）</w:t>
      </w:r>
    </w:p>
    <w:p w14:paraId="2CFE49D4">
      <w:pPr>
        <w:rPr>
          <w:rFonts w:hint="eastAsia"/>
        </w:rPr>
      </w:pPr>
      <w:r>
        <w:rPr>
          <w:rFonts w:hint="eastAsia"/>
        </w:rPr>
        <w:t xml:space="preserve">    - 成熟企业的应收账款</w:t>
      </w:r>
    </w:p>
    <w:p w14:paraId="25C24A31">
      <w:pPr>
        <w:rPr>
          <w:rFonts w:hint="eastAsia"/>
        </w:rPr>
      </w:pPr>
    </w:p>
    <w:p w14:paraId="23224D9D">
      <w:pPr>
        <w:rPr>
          <w:rFonts w:hint="eastAsia"/>
        </w:rPr>
      </w:pPr>
      <w:r>
        <w:rPr>
          <w:rFonts w:hint="eastAsia"/>
        </w:rPr>
        <w:t>第三类：特殊资产（质押率最高50%）</w:t>
      </w:r>
    </w:p>
    <w:p w14:paraId="6878FA75">
      <w:pPr>
        <w:rPr>
          <w:rFonts w:hint="eastAsia"/>
        </w:rPr>
      </w:pPr>
      <w:r>
        <w:rPr>
          <w:rFonts w:hint="eastAsia"/>
        </w:rPr>
        <w:t xml:space="preserve">  标准：</w:t>
      </w:r>
    </w:p>
    <w:p w14:paraId="278C40EF">
      <w:pPr>
        <w:rPr>
          <w:rFonts w:hint="eastAsia"/>
        </w:rPr>
      </w:pPr>
      <w:r>
        <w:rPr>
          <w:rFonts w:hint="eastAsia"/>
        </w:rPr>
        <w:t xml:space="preserve">    1. GNACS风险权重 ≤ 100%</w:t>
      </w:r>
    </w:p>
    <w:p w14:paraId="755B17F9">
      <w:pPr>
        <w:rPr>
          <w:rFonts w:hint="eastAsia"/>
        </w:rPr>
      </w:pPr>
      <w:r>
        <w:rPr>
          <w:rFonts w:hint="eastAsia"/>
        </w:rPr>
        <w:t xml:space="preserve">    2. 有明确的退出机制和流动性安排</w:t>
      </w:r>
    </w:p>
    <w:p w14:paraId="2F1D8449">
      <w:pPr>
        <w:rPr>
          <w:rFonts w:hint="eastAsia"/>
        </w:rPr>
      </w:pPr>
      <w:r>
        <w:rPr>
          <w:rFonts w:hint="eastAsia"/>
        </w:rPr>
        <w:t xml:space="preserve">    3. 法律结构清晰，合规文件齐全</w:t>
      </w:r>
    </w:p>
    <w:p w14:paraId="48D84448">
      <w:pPr>
        <w:rPr>
          <w:rFonts w:hint="eastAsia"/>
        </w:rPr>
      </w:pPr>
      <w:r>
        <w:rPr>
          <w:rFonts w:hint="eastAsia"/>
        </w:rPr>
        <w:t xml:space="preserve">    4. 估值置信度 ≥ 85%</w:t>
      </w:r>
    </w:p>
    <w:p w14:paraId="2467F5B2">
      <w:pPr>
        <w:rPr>
          <w:rFonts w:hint="eastAsia"/>
        </w:rPr>
      </w:pPr>
      <w:r>
        <w:rPr>
          <w:rFonts w:hint="eastAsia"/>
        </w:rPr>
        <w:t xml:space="preserve">  包括：</w:t>
      </w:r>
    </w:p>
    <w:p w14:paraId="663B3269">
      <w:pPr>
        <w:rPr>
          <w:rFonts w:hint="eastAsia"/>
        </w:rPr>
      </w:pPr>
      <w:r>
        <w:rPr>
          <w:rFonts w:hint="eastAsia"/>
        </w:rPr>
        <w:t xml:space="preserve">    - 私募股权（有退出时间表）</w:t>
      </w:r>
    </w:p>
    <w:p w14:paraId="24F0E4D0">
      <w:pPr>
        <w:rPr>
          <w:rFonts w:hint="eastAsia"/>
        </w:rPr>
      </w:pPr>
      <w:r>
        <w:rPr>
          <w:rFonts w:hint="eastAsia"/>
        </w:rPr>
        <w:t xml:space="preserve">    - 基础设施项目收益权</w:t>
      </w:r>
    </w:p>
    <w:p w14:paraId="1D30D432">
      <w:pPr>
        <w:rPr>
          <w:rFonts w:hint="eastAsia"/>
        </w:rPr>
      </w:pPr>
      <w:r>
        <w:rPr>
          <w:rFonts w:hint="eastAsia"/>
        </w:rPr>
        <w:t xml:space="preserve">    - 知识产权许可费收益</w:t>
      </w:r>
    </w:p>
    <w:p w14:paraId="1CF56918">
      <w:pPr>
        <w:rPr>
          <w:rFonts w:hint="eastAsia"/>
        </w:rPr>
      </w:pPr>
      <w:r>
        <w:rPr>
          <w:rFonts w:hint="eastAsia"/>
        </w:rPr>
        <w:t xml:space="preserve">    - 绿色资产（碳信用等）</w:t>
      </w:r>
    </w:p>
    <w:p w14:paraId="3F9D982A">
      <w:pPr>
        <w:rPr>
          <w:rFonts w:hint="eastAsia"/>
        </w:rPr>
      </w:pPr>
    </w:p>
    <w:p w14:paraId="1C04B27D">
      <w:pPr>
        <w:rPr>
          <w:rFonts w:hint="eastAsia"/>
        </w:rPr>
      </w:pPr>
      <w:r>
        <w:rPr>
          <w:rFonts w:hint="eastAsia"/>
        </w:rPr>
        <w:t>第四类：限制资产（质押率最高30%）</w:t>
      </w:r>
    </w:p>
    <w:p w14:paraId="765B23DD">
      <w:pPr>
        <w:rPr>
          <w:rFonts w:hint="eastAsia"/>
        </w:rPr>
      </w:pPr>
      <w:r>
        <w:rPr>
          <w:rFonts w:hint="eastAsia"/>
        </w:rPr>
        <w:t xml:space="preserve">  标准：</w:t>
      </w:r>
    </w:p>
    <w:p w14:paraId="013A8357">
      <w:pPr>
        <w:rPr>
          <w:rFonts w:hint="eastAsia"/>
        </w:rPr>
      </w:pPr>
      <w:r>
        <w:rPr>
          <w:rFonts w:hint="eastAsia"/>
        </w:rPr>
        <w:t xml:space="preserve">    1. GNACS风险权重 &gt; 100%但风险可控</w:t>
      </w:r>
    </w:p>
    <w:p w14:paraId="404394E7">
      <w:pPr>
        <w:rPr>
          <w:rFonts w:hint="eastAsia"/>
        </w:rPr>
      </w:pPr>
      <w:r>
        <w:rPr>
          <w:rFonts w:hint="eastAsia"/>
        </w:rPr>
        <w:t xml:space="preserve">    2. 有特殊风险缓释措施</w:t>
      </w:r>
    </w:p>
    <w:p w14:paraId="0C18BBFC">
      <w:pPr>
        <w:rPr>
          <w:rFonts w:hint="eastAsia"/>
        </w:rPr>
      </w:pPr>
      <w:r>
        <w:rPr>
          <w:rFonts w:hint="eastAsia"/>
        </w:rPr>
        <w:t xml:space="preserve">    3. 单户铸造额度有限制</w:t>
      </w:r>
    </w:p>
    <w:p w14:paraId="0BB749DD">
      <w:pPr>
        <w:rPr>
          <w:rFonts w:hint="eastAsia"/>
        </w:rPr>
      </w:pPr>
      <w:r>
        <w:rPr>
          <w:rFonts w:hint="eastAsia"/>
        </w:rPr>
        <w:t xml:space="preserve">  包括：</w:t>
      </w:r>
    </w:p>
    <w:p w14:paraId="07B38090">
      <w:pPr>
        <w:rPr>
          <w:rFonts w:hint="eastAsia"/>
        </w:rPr>
      </w:pPr>
      <w:r>
        <w:rPr>
          <w:rFonts w:hint="eastAsia"/>
        </w:rPr>
        <w:t xml:space="preserve">    - 初创企业股权</w:t>
      </w:r>
    </w:p>
    <w:p w14:paraId="685828C8">
      <w:pPr>
        <w:rPr>
          <w:rFonts w:hint="eastAsia"/>
        </w:rPr>
      </w:pPr>
      <w:r>
        <w:rPr>
          <w:rFonts w:hint="eastAsia"/>
        </w:rPr>
        <w:t xml:space="preserve">    - 非标债权资产</w:t>
      </w:r>
    </w:p>
    <w:p w14:paraId="208F5EB7">
      <w:pPr>
        <w:rPr>
          <w:rFonts w:hint="eastAsia"/>
        </w:rPr>
      </w:pPr>
      <w:r>
        <w:rPr>
          <w:rFonts w:hint="eastAsia"/>
        </w:rPr>
        <w:t xml:space="preserve">    - 收藏品和艺术品</w:t>
      </w:r>
    </w:p>
    <w:p w14:paraId="639D8032">
      <w:pPr>
        <w:rPr>
          <w:rFonts w:hint="eastAsia"/>
        </w:rPr>
      </w:pPr>
      <w:r>
        <w:rPr>
          <w:rFonts w:hint="eastAsia"/>
        </w:rPr>
        <w:t xml:space="preserve">    - 新兴市场资产</w:t>
      </w:r>
    </w:p>
    <w:p w14:paraId="4FE51AD0">
      <w:pPr>
        <w:rPr>
          <w:rFonts w:hint="eastAsia"/>
        </w:rPr>
      </w:pPr>
    </w:p>
    <w:p w14:paraId="71585D25">
      <w:pPr>
        <w:rPr>
          <w:rFonts w:hint="eastAsia"/>
        </w:rPr>
      </w:pPr>
      <w:r>
        <w:rPr>
          <w:rFonts w:hint="eastAsia"/>
        </w:rPr>
        <w:t>禁止铸造资产：</w:t>
      </w:r>
    </w:p>
    <w:p w14:paraId="564ED93A">
      <w:pPr>
        <w:rPr>
          <w:rFonts w:hint="eastAsia"/>
        </w:rPr>
      </w:pPr>
      <w:r>
        <w:rPr>
          <w:rFonts w:hint="eastAsia"/>
        </w:rPr>
        <w:t xml:space="preserve">  1. 法律禁止或限制交易的资产</w:t>
      </w:r>
    </w:p>
    <w:p w14:paraId="34B1A7AC">
      <w:pPr>
        <w:rPr>
          <w:rFonts w:hint="eastAsia"/>
        </w:rPr>
      </w:pPr>
      <w:r>
        <w:rPr>
          <w:rFonts w:hint="eastAsia"/>
        </w:rPr>
        <w:t xml:space="preserve">  2. 权属不清晰或有争议的资产</w:t>
      </w:r>
    </w:p>
    <w:p w14:paraId="31DDB70F">
      <w:pPr>
        <w:rPr>
          <w:rFonts w:hint="eastAsia"/>
        </w:rPr>
      </w:pPr>
      <w:r>
        <w:rPr>
          <w:rFonts w:hint="eastAsia"/>
        </w:rPr>
        <w:t xml:space="preserve">  3. 无法通过AI估值系统验证的资产</w:t>
      </w:r>
    </w:p>
    <w:p w14:paraId="098ADC5E">
      <w:pPr>
        <w:rPr>
          <w:rFonts w:hint="eastAsia"/>
        </w:rPr>
      </w:pPr>
      <w:r>
        <w:rPr>
          <w:rFonts w:hint="eastAsia"/>
        </w:rPr>
        <w:t xml:space="preserve">  4. 被制裁国家、实体或个人拥有的资产</w:t>
      </w:r>
    </w:p>
    <w:p w14:paraId="5C62D032">
      <w:pPr>
        <w:rPr>
          <w:rFonts w:hint="eastAsia"/>
        </w:rPr>
      </w:pPr>
      <w:r>
        <w:rPr>
          <w:rFonts w:hint="eastAsia"/>
        </w:rPr>
        <w:t xml:space="preserve">  5. 环境、社会风险极高的资产</w:t>
      </w:r>
    </w:p>
    <w:p w14:paraId="24FCDA6B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2.2 RWA铸造流程（七步法）</w:t>
      </w:r>
    </w:p>
    <w:p w14:paraId="613713C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47005" cy="7315200"/>
            <wp:effectExtent l="0" t="0" r="10795" b="0"/>
            <wp:docPr id="1" name="图片 1" descr="deepseek_mermaid_20260119_b7b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eepseek_mermaid_20260119_b7b2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7005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3FBBFB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2.3 质押率动态调整机制</w:t>
      </w:r>
    </w:p>
    <w:p w14:paraId="4CA25A8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基础质押率矩阵（按GNACS风险权重）：</w:t>
      </w:r>
    </w:p>
    <w:p w14:paraId="2D2E746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风险权重  资产类别              基础质押率  波动调整范围</w:t>
      </w:r>
    </w:p>
    <w:p w14:paraId="2F1FF0F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0%        现金、黄金             90%        ±0%</w:t>
      </w:r>
    </w:p>
    <w:p w14:paraId="40FA16D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0-20%     国债、央行存款         85-90%     ±5%</w:t>
      </w:r>
    </w:p>
    <w:p w14:paraId="29206F8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20-50%    高评级债券、抵押贷款   75-85%     ±10%</w:t>
      </w:r>
    </w:p>
    <w:p w14:paraId="4671060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50-100%   公司债、商业地产       60-75%     ±15%</w:t>
      </w:r>
    </w:p>
    <w:p w14:paraId="597A684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100-150%  高收益债、股票         50-60%     ±20%</w:t>
      </w:r>
    </w:p>
    <w:p w14:paraId="0E6D599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150%+     高风险资产             30-50%     ±25%</w:t>
      </w:r>
    </w:p>
    <w:p w14:paraId="627A8E0B">
      <w:pPr>
        <w:rPr>
          <w:rFonts w:hint="eastAsia" w:eastAsiaTheme="minorEastAsia"/>
          <w:lang w:eastAsia="zh-CN"/>
        </w:rPr>
      </w:pPr>
    </w:p>
    <w:p w14:paraId="4F6F052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动态调整因子：</w:t>
      </w:r>
    </w:p>
    <w:p w14:paraId="48A3207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市场流动性因子（L）：</w:t>
      </w:r>
    </w:p>
    <w:p w14:paraId="2F88D3E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高流动性（日交易量&gt;$1亿）: +5%</w:t>
      </w:r>
    </w:p>
    <w:p w14:paraId="6FBC778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中等流动性（日交易量&gt;$1000万）: ±0%</w:t>
      </w:r>
    </w:p>
    <w:p w14:paraId="1F215A1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低流动性（日交易量&lt;$1000万）: -5%至-20%</w:t>
      </w:r>
    </w:p>
    <w:p w14:paraId="534132E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575C96D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估值置信度因子（C）：</w:t>
      </w:r>
    </w:p>
    <w:p w14:paraId="71E31CC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置信度≥95%: +3%</w:t>
      </w:r>
    </w:p>
    <w:p w14:paraId="56BC5DB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置信度90-95%: ±0%</w:t>
      </w:r>
    </w:p>
    <w:p w14:paraId="1885876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置信度&lt;90%: -5%至-20%</w:t>
      </w:r>
    </w:p>
    <w:p w14:paraId="35D6814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24BF9EA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集中度风险因子（D）：</w:t>
      </w:r>
    </w:p>
    <w:p w14:paraId="3E67742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该资产类型占系统总抵押&lt;5%: +2%</w:t>
      </w:r>
    </w:p>
    <w:p w14:paraId="111BF48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占5-10%: ±0%</w:t>
      </w:r>
    </w:p>
    <w:p w14:paraId="1FCC5A3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占&gt;10%: -5%至-15%</w:t>
      </w:r>
    </w:p>
    <w:p w14:paraId="108D7B8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1C3CF0C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法律风险因子（R）：</w:t>
      </w:r>
    </w:p>
    <w:p w14:paraId="0970B5F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无法律风险: +2%</w:t>
      </w:r>
    </w:p>
    <w:p w14:paraId="1BE950C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低法律风险: ±0%</w:t>
      </w:r>
    </w:p>
    <w:p w14:paraId="599F34B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高法律风险: -10%至-30%</w:t>
      </w:r>
    </w:p>
    <w:p w14:paraId="141FBA4D">
      <w:pPr>
        <w:rPr>
          <w:rFonts w:hint="eastAsia" w:eastAsiaTheme="minorEastAsia"/>
          <w:lang w:eastAsia="zh-CN"/>
        </w:rPr>
      </w:pPr>
    </w:p>
    <w:p w14:paraId="2842260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实时质押率计算公式：</w:t>
      </w:r>
    </w:p>
    <w:p w14:paraId="4B3A2DF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实时质押率 = 基础质押率 × (1 + Σ调整因子)</w:t>
      </w:r>
    </w:p>
    <w:p w14:paraId="2C9B435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5D53726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示例：某公司债（风险权重60%），基础质押率70%</w:t>
      </w:r>
    </w:p>
    <w:p w14:paraId="5E0B1F6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流动性因子：-5%（交易量不足）</w:t>
      </w:r>
    </w:p>
    <w:p w14:paraId="56076A2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置信度因子：+0%（估值置信度92%）</w:t>
      </w:r>
    </w:p>
    <w:p w14:paraId="593A9C6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集中度因子：-5%（该类型资产占比12%）</w:t>
      </w:r>
    </w:p>
    <w:p w14:paraId="5828AC2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法律风险因子：+0%（无特殊风险）</w:t>
      </w:r>
    </w:p>
    <w:p w14:paraId="01A0171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3F9F61C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实时质押率 = 70% × (1 - 0.05 - 0.05) = 63%</w:t>
      </w:r>
    </w:p>
    <w:p w14:paraId="3B9A2FF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31DE6E7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最低质押率限制：任何资产不低于30%</w:t>
      </w:r>
    </w:p>
    <w:p w14:paraId="6C8C7E0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最高质押率限制：任何资产不高于90%</w:t>
      </w:r>
    </w:p>
    <w:p w14:paraId="276FB247">
      <w:pPr>
        <w:rPr>
          <w:rFonts w:hint="eastAsia" w:eastAsiaTheme="minorEastAsia"/>
          <w:lang w:eastAsia="zh-CN"/>
        </w:rPr>
      </w:pPr>
    </w:p>
    <w:p w14:paraId="54EE4BE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质押率调整频率：</w:t>
      </w:r>
    </w:p>
    <w:p w14:paraId="55A4D3B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- 常规调整：每月1日基于上月数据调整</w:t>
      </w:r>
    </w:p>
    <w:p w14:paraId="2EB079A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- 紧急调整：市场剧烈波动时，可实时调整</w:t>
      </w:r>
    </w:p>
    <w:p w14:paraId="3AEEAD9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- 治理调整：经XIC投票批准的特殊调整</w:t>
      </w:r>
    </w:p>
    <w:p w14:paraId="48AC0601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2.4 铸造费用与XIC能耗</w:t>
      </w:r>
    </w:p>
    <w:p w14:paraId="4EFAA85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费用结构：</w:t>
      </w:r>
    </w:p>
    <w:p w14:paraId="4BAFEFA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基础铸造费：铸造金额的0.1%，最低1XTZH</w:t>
      </w:r>
    </w:p>
    <w:p w14:paraId="5045977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黄金储备费：黄金永续合约开仓成本（资金费率+交易费）</w:t>
      </w:r>
    </w:p>
    <w:p w14:paraId="0E090FC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XIC能耗费：根据铸造复杂度计算的AI算力成本</w:t>
      </w:r>
    </w:p>
    <w:p w14:paraId="4074EAF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风险准备金：铸造金额的0.05%，注入系统风险池</w:t>
      </w:r>
    </w:p>
    <w:p w14:paraId="05E09845">
      <w:pPr>
        <w:rPr>
          <w:rFonts w:hint="eastAsia" w:eastAsiaTheme="minorEastAsia"/>
          <w:lang w:eastAsia="zh-CN"/>
        </w:rPr>
      </w:pPr>
    </w:p>
    <w:p w14:paraId="588D788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XIC能耗计算模型：</w:t>
      </w:r>
    </w:p>
    <w:p w14:paraId="4275999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能耗XIC = 基础能耗 × 价值系数 × 复杂度系数</w:t>
      </w:r>
    </w:p>
    <w:p w14:paraId="3C2F870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3D42611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其中：</w:t>
      </w:r>
    </w:p>
    <w:p w14:paraId="582BBA7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基础能耗：0.1 XIC（每笔铸造）</w:t>
      </w:r>
    </w:p>
    <w:p w14:paraId="639E95F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价值系数：</w:t>
      </w:r>
    </w:p>
    <w:p w14:paraId="0A43F98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- 铸造额 &lt; 10,000 XTZH: 系数1.0</w:t>
      </w:r>
    </w:p>
    <w:p w14:paraId="0370E95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- 10,000-100,000 XTZH: 系数1.5</w:t>
      </w:r>
    </w:p>
    <w:p w14:paraId="34ED96B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- 100,000-1,000,000 XTZH: 系数2.0</w:t>
      </w:r>
    </w:p>
    <w:p w14:paraId="7AE7BE0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- &gt;1,000,000 XTZH: 系数3.0</w:t>
      </w:r>
    </w:p>
    <w:p w14:paraId="0C2EBF9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</w:t>
      </w:r>
    </w:p>
    <w:p w14:paraId="585E490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复杂度系数：</w:t>
      </w:r>
    </w:p>
    <w:p w14:paraId="01DF510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- 标准化资产（GNACS完全匹配）: 系数1.0</w:t>
      </w:r>
    </w:p>
    <w:p w14:paraId="0CC17C7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- 半标准化资产（需模型适配）: 系数1.2</w:t>
      </w:r>
    </w:p>
    <w:p w14:paraId="74BA03F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- 非标准化资产（需定制评估）: 系数1.5</w:t>
      </w:r>
    </w:p>
    <w:p w14:paraId="03DEE5C5">
      <w:pPr>
        <w:rPr>
          <w:rFonts w:hint="eastAsia" w:eastAsiaTheme="minorEastAsia"/>
          <w:lang w:eastAsia="zh-CN"/>
        </w:rPr>
      </w:pPr>
    </w:p>
    <w:p w14:paraId="3ABD709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费用分配：</w:t>
      </w:r>
    </w:p>
    <w:p w14:paraId="351F27A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- 50%：销毁（通缩机制）</w:t>
      </w:r>
    </w:p>
    <w:p w14:paraId="2AC795F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- 25%：验证节点奖励（维护网络）</w:t>
      </w:r>
    </w:p>
    <w:p w14:paraId="28B4AE4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- 15%：风险准备金（系统稳定）</w:t>
      </w:r>
    </w:p>
    <w:p w14:paraId="58F71F2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- 10%：生态发展基金（项目开发）</w:t>
      </w:r>
    </w:p>
    <w:p w14:paraId="62137C6F">
      <w:pPr>
        <w:rPr>
          <w:rFonts w:hint="eastAsia" w:eastAsiaTheme="minorEastAsia"/>
          <w:lang w:eastAsia="zh-CN"/>
        </w:rPr>
      </w:pPr>
    </w:p>
    <w:p w14:paraId="7271B29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费用豁免政策：</w:t>
      </w:r>
    </w:p>
    <w:p w14:paraId="03E4ED1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首次铸造优惠：每个地址首次铸造减免50%费用</w:t>
      </w:r>
    </w:p>
    <w:p w14:paraId="02A6301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大规模铸造优惠：单次铸造&gt;100万XTZH减免20%费用</w:t>
      </w:r>
    </w:p>
    <w:p w14:paraId="6764081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绿色资产优惠：ESG评级≥A级的资产减免30%费用</w:t>
      </w:r>
    </w:p>
    <w:p w14:paraId="0BAF48A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流动性提供者优惠：在AMM池中提供流动性的用户减免费用</w:t>
      </w:r>
    </w:p>
    <w:p w14:paraId="7C406A42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3"/>
          <w:szCs w:val="33"/>
          <w:shd w:val="clear" w:fill="FFFFFF"/>
        </w:rPr>
        <w:t>第三章：跨链质押铸造XTZH细则</w:t>
      </w:r>
    </w:p>
    <w:p w14:paraId="7CEB07D6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3.1 支持的跨链资产清单</w:t>
      </w:r>
    </w:p>
    <w:p w14:paraId="5D060BF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第一梯队：主流加密资产（质押率60-70%）</w:t>
      </w:r>
    </w:p>
    <w:p w14:paraId="1C59040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比特币（BTC）</w:t>
      </w:r>
    </w:p>
    <w:p w14:paraId="56D15D0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支持网络：比特币主网</w:t>
      </w:r>
    </w:p>
    <w:p w14:paraId="03DE9F1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跨链桥：多重签名+时间锁+保险</w:t>
      </w:r>
    </w:p>
    <w:p w14:paraId="57D5FFC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最大质押额度：系统总质押额的20%</w:t>
      </w:r>
    </w:p>
    <w:p w14:paraId="657D004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质押率：70%（波动率调整后）</w:t>
      </w:r>
    </w:p>
    <w:p w14:paraId="1980CA5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23914A3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以太坊（ETH）</w:t>
      </w:r>
    </w:p>
    <w:p w14:paraId="05694C5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支持网络：以太坊主网</w:t>
      </w:r>
    </w:p>
    <w:p w14:paraId="21A2EAE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跨链桥：轻客户端验证+零知识证明</w:t>
      </w:r>
    </w:p>
    <w:p w14:paraId="224E517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最大质押额度：系统总质押额的15%</w:t>
      </w:r>
    </w:p>
    <w:p w14:paraId="797E14F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质押率：65%</w:t>
      </w:r>
    </w:p>
    <w:p w14:paraId="26B8EF2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04C15E0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稳定币（USDC、USDT）</w:t>
      </w:r>
    </w:p>
    <w:p w14:paraId="275C8F5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支持网络：以太坊、BSC、Polygon</w:t>
      </w:r>
    </w:p>
    <w:p w14:paraId="60E9D5D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跨链桥：官方桥+多重验证</w:t>
      </w:r>
    </w:p>
    <w:p w14:paraId="3560180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最大质押额度：系统总质押额的10%</w:t>
      </w:r>
    </w:p>
    <w:p w14:paraId="781D535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质押率：85%（法币稳定币）</w:t>
      </w:r>
    </w:p>
    <w:p w14:paraId="63D547EA">
      <w:pPr>
        <w:rPr>
          <w:rFonts w:hint="eastAsia" w:eastAsiaTheme="minorEastAsia"/>
          <w:lang w:eastAsia="zh-CN"/>
        </w:rPr>
      </w:pPr>
    </w:p>
    <w:p w14:paraId="7677B17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第二梯队：主流公链代币（质押率50-60%）</w:t>
      </w:r>
    </w:p>
    <w:p w14:paraId="6B2C7AF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BNB（币安链）</w:t>
      </w:r>
    </w:p>
    <w:p w14:paraId="78655C4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SOL（Solana）</w:t>
      </w:r>
    </w:p>
    <w:p w14:paraId="6892BA3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DOT（Polkadot）</w:t>
      </w:r>
    </w:p>
    <w:p w14:paraId="467103A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AVAX（Avalanche）</w:t>
      </w:r>
    </w:p>
    <w:p w14:paraId="17A76B8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5. MATIC（Polygon）</w:t>
      </w:r>
    </w:p>
    <w:p w14:paraId="2575F75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58B9C0A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通用标准：</w:t>
      </w:r>
    </w:p>
    <w:p w14:paraId="70A4181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市值排名前20</w:t>
      </w:r>
    </w:p>
    <w:p w14:paraId="77F48AC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过去90天平均日交易量&gt;$1亿</w:t>
      </w:r>
    </w:p>
    <w:p w14:paraId="4AD3F30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有活跃的DeFi生态</w:t>
      </w:r>
    </w:p>
    <w:p w14:paraId="3DE98F4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质押率：50-60%（根据波动率调整）</w:t>
      </w:r>
    </w:p>
    <w:p w14:paraId="726C50C9">
      <w:pPr>
        <w:rPr>
          <w:rFonts w:hint="eastAsia" w:eastAsiaTheme="minorEastAsia"/>
          <w:lang w:eastAsia="zh-CN"/>
        </w:rPr>
      </w:pPr>
    </w:p>
    <w:p w14:paraId="42CF409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第三梯队：精选资产（质押率30-50%）</w:t>
      </w:r>
    </w:p>
    <w:p w14:paraId="61A9120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主流DeFi治理代币（UNI、AAVE、COMP等）</w:t>
      </w:r>
    </w:p>
    <w:p w14:paraId="135EAAC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主流Layer2代币（OP、ARB等）</w:t>
      </w:r>
    </w:p>
    <w:p w14:paraId="5E29773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主流元宇宙/NFT平台代币（MANA、SAND等）</w:t>
      </w:r>
    </w:p>
    <w:p w14:paraId="5F6894D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6085726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标准：</w:t>
      </w:r>
    </w:p>
    <w:p w14:paraId="6798EBC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市值排名前100</w:t>
      </w:r>
    </w:p>
    <w:p w14:paraId="0B67C05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有实际产品和用户基础</w:t>
      </w:r>
    </w:p>
    <w:p w14:paraId="47BBA3D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过去30天最大回撤&lt;50%</w:t>
      </w:r>
    </w:p>
    <w:p w14:paraId="388FB9F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质押率：30-50%</w:t>
      </w:r>
    </w:p>
    <w:p w14:paraId="28BFF927">
      <w:pPr>
        <w:rPr>
          <w:rFonts w:hint="eastAsia" w:eastAsiaTheme="minorEastAsia"/>
          <w:lang w:eastAsia="zh-CN"/>
        </w:rPr>
      </w:pPr>
    </w:p>
    <w:p w14:paraId="2A28EBF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准入流程：</w:t>
      </w:r>
    </w:p>
    <w:p w14:paraId="5E860CE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社区提案：任何XIC持有者可提案添加新资产</w:t>
      </w:r>
    </w:p>
    <w:p w14:paraId="435FD94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技术评估：技术委员会评估跨链技术可行性</w:t>
      </w:r>
    </w:p>
    <w:p w14:paraId="326C3A5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风险评估：风险委员会评估市场风险和波动性</w:t>
      </w:r>
    </w:p>
    <w:p w14:paraId="7D98248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治理投票：XIC持有者投票，需66%赞成票</w:t>
      </w:r>
    </w:p>
    <w:p w14:paraId="1C96926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5. 试点运行：先在测试网运行30天，无重大事故</w:t>
      </w:r>
    </w:p>
    <w:p w14:paraId="542D088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6. 正式上线：治理投票批准后正式支持</w:t>
      </w:r>
    </w:p>
    <w:p w14:paraId="6B368F20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3.2 跨链质押技术架构</w:t>
      </w:r>
    </w:p>
    <w:p w14:paraId="355431C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跨链桥架构（以比特币为例）：</w:t>
      </w:r>
    </w:p>
    <w:p w14:paraId="6C27648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存款阶段：</w:t>
      </w:r>
    </w:p>
    <w:p w14:paraId="0786CF8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a. 用户在比特币网络发送BTC到指定多签地址</w:t>
      </w:r>
    </w:p>
    <w:p w14:paraId="32A9FCE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b. 至少5/8的桥验证者监控到存款交易</w:t>
      </w:r>
    </w:p>
    <w:p w14:paraId="56D4EC3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c. 验证者共识确认存款有效性</w:t>
      </w:r>
    </w:p>
    <w:p w14:paraId="2C30726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d. 在NAC链上生成对应的pBTC（包装比特币）</w:t>
      </w:r>
    </w:p>
    <w:p w14:paraId="65C86E0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66BF428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验证机制：</w:t>
      </w:r>
    </w:p>
    <w:p w14:paraId="48E1E0C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a. 轻客户端验证：在NAC链上验证比特币区块头</w:t>
      </w:r>
    </w:p>
    <w:p w14:paraId="28F47F8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b. 多方签名：8个独立验证者，需要5个签名</w:t>
      </w:r>
    </w:p>
    <w:p w14:paraId="7A169AD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c. 时间锁：大额转账需要24小时时间锁</w:t>
      </w:r>
    </w:p>
    <w:p w14:paraId="17099B5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d. 保险基金：$1亿保险覆盖，由专业保险公司承保</w:t>
      </w:r>
    </w:p>
    <w:p w14:paraId="4741BFE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7890AFA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赎回阶段：</w:t>
      </w:r>
    </w:p>
    <w:p w14:paraId="5B5FC5E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a. 用户在NAC链上销毁pBTC</w:t>
      </w:r>
    </w:p>
    <w:p w14:paraId="2B7BD1B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b. 验证者签名批准赎回</w:t>
      </w:r>
    </w:p>
    <w:p w14:paraId="194B85E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c. 比特币多签地址发送BTC到用户地址</w:t>
      </w:r>
    </w:p>
    <w:p w14:paraId="62EBED1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d. 整个过程在24小时内完成</w:t>
      </w:r>
    </w:p>
    <w:p w14:paraId="5DA6CB37">
      <w:pPr>
        <w:rPr>
          <w:rFonts w:hint="eastAsia" w:eastAsiaTheme="minorEastAsia"/>
          <w:lang w:eastAsia="zh-CN"/>
        </w:rPr>
      </w:pPr>
    </w:p>
    <w:p w14:paraId="4F91D92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安全层级：</w:t>
      </w:r>
    </w:p>
    <w:p w14:paraId="560C9B5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第一层：技术安全</w:t>
      </w:r>
    </w:p>
    <w:p w14:paraId="010564C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多方计算（MPC）管理私钥</w:t>
      </w:r>
    </w:p>
    <w:p w14:paraId="7878C37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硬件安全模块（HSM）保护密钥</w:t>
      </w:r>
    </w:p>
    <w:p w14:paraId="7F8C52F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零知识证明验证跨链交易</w:t>
      </w:r>
    </w:p>
    <w:p w14:paraId="3E6ADCC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7740570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第二层：经济安全</w:t>
      </w:r>
    </w:p>
    <w:p w14:paraId="17B78FF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验证者需要质押100万XIC作为保证金</w:t>
      </w:r>
    </w:p>
    <w:p w14:paraId="3D95B03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恶意行为将罚没保证金</w:t>
      </w:r>
    </w:p>
    <w:p w14:paraId="62C5B42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$1亿保险基金覆盖极端情况</w:t>
      </w:r>
    </w:p>
    <w:p w14:paraId="294C648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1D38E03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第三层：治理安全</w:t>
      </w:r>
    </w:p>
    <w:p w14:paraId="58CBB7E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验证者由XIC持有者投票选举</w:t>
      </w:r>
    </w:p>
    <w:p w14:paraId="3F8C259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定期轮换验证者（每6个月）</w:t>
      </w:r>
    </w:p>
    <w:p w14:paraId="70CC306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紧急情况下治理可暂停跨链桥</w:t>
      </w:r>
    </w:p>
    <w:p w14:paraId="0B1D6825">
      <w:pPr>
        <w:rPr>
          <w:rFonts w:hint="eastAsia" w:eastAsiaTheme="minorEastAsia"/>
          <w:lang w:eastAsia="zh-CN"/>
        </w:rPr>
      </w:pPr>
    </w:p>
    <w:p w14:paraId="5B59ED9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风险管理：</w:t>
      </w:r>
    </w:p>
    <w:p w14:paraId="452B736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额度管理：</w:t>
      </w:r>
    </w:p>
    <w:p w14:paraId="26397D2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单日最大跨链额度：$1亿</w:t>
      </w:r>
    </w:p>
    <w:p w14:paraId="66D73AA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单地址最大质押额度：$1000万</w:t>
      </w:r>
    </w:p>
    <w:p w14:paraId="32DA289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单资产最大系统额度：$5亿</w:t>
      </w:r>
    </w:p>
    <w:p w14:paraId="2535084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75FD850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波动率管理：</w:t>
      </w:r>
    </w:p>
    <w:p w14:paraId="326A052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每日监控质押资产波动率</w:t>
      </w:r>
    </w:p>
    <w:p w14:paraId="7A0D585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波动率&gt;50%时触发风险审查</w:t>
      </w:r>
    </w:p>
    <w:p w14:paraId="52DA7C6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波动率&gt;80%时可能暂停新质押</w:t>
      </w:r>
    </w:p>
    <w:p w14:paraId="3B7BB10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1CEA7DB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流动性管理：</w:t>
      </w:r>
    </w:p>
    <w:p w14:paraId="400C33E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保持跨链桥合约中有足够流动性</w:t>
      </w:r>
    </w:p>
    <w:p w14:paraId="6747BF4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与多个流动性提供商合作</w:t>
      </w:r>
    </w:p>
    <w:p w14:paraId="7238CA8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- 建立紧急流动性机制</w:t>
      </w:r>
    </w:p>
    <w:p w14:paraId="7A0C4719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3.3 跨链质押铸造流程</w:t>
      </w:r>
    </w:p>
    <w:p w14:paraId="1DAF459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3355" cy="6729730"/>
            <wp:effectExtent l="0" t="0" r="4445" b="13970"/>
            <wp:docPr id="2" name="图片 2" descr="deepseek_mermaid_20260119_ab1db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eepseek_mermaid_20260119_ab1dbd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3355" cy="6729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9AC317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3.4 跨链资产风险管理</w:t>
      </w:r>
    </w:p>
    <w:p w14:paraId="721B955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价格风险控制：</w:t>
      </w:r>
    </w:p>
    <w:p w14:paraId="69B683A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价格预言机：</w:t>
      </w:r>
    </w:p>
    <w:p w14:paraId="234923E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使用至少5个独立预言机（Chainlink、Band、API3等）</w:t>
      </w:r>
    </w:p>
    <w:p w14:paraId="028BCCF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取中位数价格，排除异常值</w:t>
      </w:r>
    </w:p>
    <w:p w14:paraId="1BA65EF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每秒更新价格，确保实时性</w:t>
      </w:r>
    </w:p>
    <w:p w14:paraId="6BFBC98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28E6292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清算机制：</w:t>
      </w:r>
    </w:p>
    <w:p w14:paraId="1882094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健康因子 = (资产价值 × 质押率) / (债务价值)</w:t>
      </w:r>
    </w:p>
    <w:p w14:paraId="0E04E02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健康因子 &lt; 1.1时触发预警</w:t>
      </w:r>
    </w:p>
    <w:p w14:paraId="73CB716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健康因子 &lt; 1.0时触发清算</w:t>
      </w:r>
    </w:p>
    <w:p w14:paraId="114341F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清算拍卖：资产通过荷兰式拍卖清算</w:t>
      </w:r>
    </w:p>
    <w:p w14:paraId="1215A49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384407C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波动率调整：</w:t>
      </w:r>
    </w:p>
    <w:p w14:paraId="4D301FE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实时监控30日波动率</w:t>
      </w:r>
    </w:p>
    <w:p w14:paraId="44D75FE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波动率每增加10%，质押率下降5%</w:t>
      </w:r>
    </w:p>
    <w:p w14:paraId="7813E99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极端波动（日波动&gt;20%）时暂停新铸造</w:t>
      </w:r>
    </w:p>
    <w:p w14:paraId="1C379C87">
      <w:pPr>
        <w:ind w:firstLine="420"/>
        <w:rPr>
          <w:rFonts w:hint="eastAsia" w:eastAsiaTheme="minorEastAsia"/>
          <w:lang w:eastAsia="zh-CN"/>
        </w:rPr>
      </w:pPr>
    </w:p>
    <w:p w14:paraId="3BFBF61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流动性风险控制：</w:t>
      </w:r>
    </w:p>
    <w:p w14:paraId="35967AB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深度监控：</w:t>
      </w:r>
    </w:p>
    <w:p w14:paraId="3084CBD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实时监控各交易对的流动性深度</w:t>
      </w:r>
    </w:p>
    <w:p w14:paraId="555DD90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深度不足时发出预警</w:t>
      </w:r>
    </w:p>
    <w:p w14:paraId="3525D3E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深度严重不足时限制赎回</w:t>
      </w:r>
    </w:p>
    <w:p w14:paraId="7069424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0A0831C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赎回队列：</w:t>
      </w:r>
    </w:p>
    <w:p w14:paraId="28DF5B1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大额赎回进入队列，按比例处理</w:t>
      </w:r>
    </w:p>
    <w:p w14:paraId="35BF7D4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最大单日赎回额度：系统总资产的10%</w:t>
      </w:r>
    </w:p>
    <w:p w14:paraId="3374030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紧急情况下可启动时间锁（最长7天）</w:t>
      </w:r>
    </w:p>
    <w:p w14:paraId="50AD6E9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1986D05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流动性准备金：</w:t>
      </w:r>
    </w:p>
    <w:p w14:paraId="09171BB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保留系统总资产5%的流动性准备金</w:t>
      </w:r>
    </w:p>
    <w:p w14:paraId="3A4DF70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准备金包括：XTZH、稳定币、黄金</w:t>
      </w:r>
    </w:p>
    <w:p w14:paraId="3EBC9DE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用于应对挤兑和市场极端情况</w:t>
      </w:r>
    </w:p>
    <w:p w14:paraId="1B145D72">
      <w:pPr>
        <w:ind w:firstLine="420"/>
        <w:rPr>
          <w:rFonts w:hint="eastAsia" w:eastAsiaTheme="minorEastAsia"/>
          <w:lang w:eastAsia="zh-CN"/>
        </w:rPr>
      </w:pPr>
    </w:p>
    <w:p w14:paraId="3DCB5E9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跨链桥风险控制：</w:t>
      </w:r>
    </w:p>
    <w:p w14:paraId="15B4F72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黑客攻击防护：</w:t>
      </w:r>
    </w:p>
    <w:p w14:paraId="55D68FF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定期安全审计（每季度）</w:t>
      </w:r>
    </w:p>
    <w:p w14:paraId="615BA22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漏洞赏金计划（最高$200万）</w:t>
      </w:r>
    </w:p>
    <w:p w14:paraId="70C4068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多签和时间锁保护</w:t>
      </w:r>
    </w:p>
    <w:p w14:paraId="22D4808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4BE229C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验证者风险：</w:t>
      </w:r>
    </w:p>
    <w:p w14:paraId="6E71AAB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验证者需质押高额保证金</w:t>
      </w:r>
    </w:p>
    <w:p w14:paraId="118886B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定期轮换验证者</w:t>
      </w:r>
    </w:p>
    <w:p w14:paraId="6BC6819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地理分布和身份分散</w:t>
      </w:r>
    </w:p>
    <w:p w14:paraId="6F31A8C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2CBD8FF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保险覆盖：</w:t>
      </w:r>
    </w:p>
    <w:p w14:paraId="2D21F5B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与顶级保险公司合作</w:t>
      </w:r>
    </w:p>
    <w:p w14:paraId="2571856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保险覆盖$1亿</w:t>
      </w:r>
    </w:p>
    <w:p w14:paraId="413EE61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快速理赔流程（&lt;30天）</w:t>
      </w:r>
    </w:p>
    <w:p w14:paraId="5F139DDB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3"/>
          <w:szCs w:val="33"/>
          <w:shd w:val="clear" w:fill="FFFFFF"/>
        </w:rPr>
        <w:t>第四章：赎回与清算细则</w:t>
      </w:r>
    </w:p>
    <w:p w14:paraId="402DD05E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4.1 正常赎回流程</w:t>
      </w:r>
    </w:p>
    <w:p w14:paraId="4B15038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赎回类型：</w:t>
      </w:r>
    </w:p>
    <w:p w14:paraId="522D4A7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部分赎回：赎回部分XTZH，释放部分质押资产</w:t>
      </w:r>
    </w:p>
    <w:p w14:paraId="66D17FD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全额赎回：赎回全部XTZH，释放全部质押资产</w:t>
      </w:r>
    </w:p>
    <w:p w14:paraId="4D11AA6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跨链赎回：赎回XTZH，取回跨链的加密资产</w:t>
      </w:r>
    </w:p>
    <w:p w14:paraId="102F995A">
      <w:pPr>
        <w:ind w:firstLine="420"/>
        <w:rPr>
          <w:rFonts w:hint="eastAsia" w:eastAsiaTheme="minorEastAsia"/>
          <w:lang w:eastAsia="zh-CN"/>
        </w:rPr>
      </w:pPr>
    </w:p>
    <w:p w14:paraId="5426D0E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赎回条件：</w:t>
      </w:r>
    </w:p>
    <w:p w14:paraId="45D8C04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健康因子 &gt; 1.5（安全边界）</w:t>
      </w:r>
    </w:p>
    <w:p w14:paraId="6749840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无未结清的费用或利息</w:t>
      </w:r>
    </w:p>
    <w:p w14:paraId="60B634F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赎回后剩余质押率仍满足最低要求</w:t>
      </w:r>
    </w:p>
    <w:p w14:paraId="5466249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不在黑名单或制裁名单中</w:t>
      </w:r>
    </w:p>
    <w:p w14:paraId="77565F5B">
      <w:pPr>
        <w:ind w:firstLine="420"/>
        <w:rPr>
          <w:rFonts w:hint="eastAsia" w:eastAsiaTheme="minorEastAsia"/>
          <w:lang w:eastAsia="zh-CN"/>
        </w:rPr>
      </w:pPr>
    </w:p>
    <w:p w14:paraId="49EEEEB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赎回流程（RWA资产）：</w:t>
      </w:r>
    </w:p>
    <w:p w14:paraId="1B271A9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用户发起赎回请求，指定赎回数量</w:t>
      </w:r>
    </w:p>
    <w:p w14:paraId="3E6C074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系统计算需要释放的质押资产价值</w:t>
      </w:r>
    </w:p>
    <w:p w14:paraId="6A7B677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检查赎回后的健康因子和合规状态</w:t>
      </w:r>
    </w:p>
    <w:p w14:paraId="3A60825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用户支付赎回费（0.1%，最低1XTZH）</w:t>
      </w:r>
    </w:p>
    <w:p w14:paraId="16A93AF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5. 系统销毁XTZH，释放质押资产所有权</w:t>
      </w:r>
    </w:p>
    <w:p w14:paraId="7865213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6. 黄金储备系统减少相应黄金持仓</w:t>
      </w:r>
    </w:p>
    <w:p w14:paraId="72DB4CF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7. 资产所有权转回用户，完成赎回</w:t>
      </w:r>
    </w:p>
    <w:p w14:paraId="41FBC9A2">
      <w:pPr>
        <w:ind w:firstLine="420"/>
        <w:rPr>
          <w:rFonts w:hint="eastAsia" w:eastAsiaTheme="minorEastAsia"/>
          <w:lang w:eastAsia="zh-CN"/>
        </w:rPr>
      </w:pPr>
    </w:p>
    <w:p w14:paraId="1C1AE4D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赎回流程（跨链资产）：</w:t>
      </w:r>
    </w:p>
    <w:p w14:paraId="434D4CA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用户发起赎回请求，指定赎回数量和目标链地址</w:t>
      </w:r>
    </w:p>
    <w:p w14:paraId="00EB238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系统验证目标地址有效性</w:t>
      </w:r>
    </w:p>
    <w:p w14:paraId="1382804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跨链桥准备相应资产</w:t>
      </w:r>
    </w:p>
    <w:p w14:paraId="072484D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用户支付跨链费和赎回费</w:t>
      </w:r>
    </w:p>
    <w:p w14:paraId="6230F0D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5. 系统销毁XTZH，减少黄金持仓</w:t>
      </w:r>
    </w:p>
    <w:p w14:paraId="2575D87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6. 跨链桥在源链发送资产到用户地址</w:t>
      </w:r>
    </w:p>
    <w:p w14:paraId="6D99F79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7. 等待确认后完成赎回</w:t>
      </w:r>
    </w:p>
    <w:p w14:paraId="50896C4D">
      <w:pPr>
        <w:ind w:firstLine="420"/>
        <w:rPr>
          <w:rFonts w:hint="eastAsia" w:eastAsiaTheme="minorEastAsia"/>
          <w:lang w:eastAsia="zh-CN"/>
        </w:rPr>
      </w:pPr>
    </w:p>
    <w:p w14:paraId="598E987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赎回时间：</w:t>
      </w:r>
    </w:p>
    <w:p w14:paraId="49A623E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- RWA资产赎回：1-3个工作日（根据资产类型）</w:t>
      </w:r>
    </w:p>
    <w:p w14:paraId="4C13CC0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- 跨链资产赎回：比特币：2-6小时，以太坊：10-30分钟</w:t>
      </w:r>
    </w:p>
    <w:p w14:paraId="261B9BD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- 大额赎回（&gt;100万XTZH）：可能需要额外时间（最长7天）</w:t>
      </w:r>
    </w:p>
    <w:p w14:paraId="45E26BFD">
      <w:pPr>
        <w:ind w:firstLine="420"/>
        <w:rPr>
          <w:rFonts w:hint="eastAsia" w:eastAsiaTheme="minorEastAsia"/>
          <w:lang w:eastAsia="zh-CN"/>
        </w:rPr>
      </w:pPr>
    </w:p>
    <w:p w14:paraId="6F9C0E3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赎回费用：</w:t>
      </w:r>
    </w:p>
    <w:p w14:paraId="50C7E77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- 基础赎回费：赎回金额的0.1%</w:t>
      </w:r>
    </w:p>
    <w:p w14:paraId="36E95F9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- 跨链赎回费：额外0.05-0.2%（根据目标链）</w:t>
      </w:r>
    </w:p>
    <w:p w14:paraId="67EA649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- 紧急赎回费：如需加速处理，额外0.5%</w:t>
      </w:r>
    </w:p>
    <w:p w14:paraId="1BC9B77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- 费用分配：50%销毁，30%风险准备金，20%运营成本</w:t>
      </w:r>
    </w:p>
    <w:p w14:paraId="1569670E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4.2 清算机制</w:t>
      </w:r>
    </w:p>
    <w:p w14:paraId="4CC9B61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清算触发条件：</w:t>
      </w:r>
    </w:p>
    <w:p w14:paraId="3250D8B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健康因子 &lt; 1.0（抵押不足）</w:t>
      </w:r>
    </w:p>
    <w:p w14:paraId="35C2783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资产被认定为非法或不合规</w:t>
      </w:r>
    </w:p>
    <w:p w14:paraId="06BEC5E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用户账户被司法冻结</w:t>
      </w:r>
    </w:p>
    <w:p w14:paraId="0D6B332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系统性风险事件</w:t>
      </w:r>
    </w:p>
    <w:p w14:paraId="6D033B55">
      <w:pPr>
        <w:ind w:firstLine="420"/>
        <w:rPr>
          <w:rFonts w:hint="eastAsia" w:eastAsiaTheme="minorEastAsia"/>
          <w:lang w:eastAsia="zh-CN"/>
        </w:rPr>
      </w:pPr>
    </w:p>
    <w:p w14:paraId="01FFC56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清算流程：</w:t>
      </w:r>
    </w:p>
    <w:p w14:paraId="7D16FD2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预警阶段（健康因子 &lt; 1.1）：</w:t>
      </w:r>
    </w:p>
    <w:p w14:paraId="4F87D85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通知用户追加抵押品或偿还部分债务</w:t>
      </w:r>
    </w:p>
    <w:p w14:paraId="5EFFCC0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给予24小时宽限期</w:t>
      </w:r>
    </w:p>
    <w:p w14:paraId="6359704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暂停新的借款或铸造</w:t>
      </w:r>
    </w:p>
    <w:p w14:paraId="2BF7D30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6ABA896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清算准备阶段（健康因子 &lt; 1.05）：</w:t>
      </w:r>
    </w:p>
    <w:p w14:paraId="066A34F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准备清算拍卖</w:t>
      </w:r>
    </w:p>
    <w:p w14:paraId="1E29EB4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通知清算人网络</w:t>
      </w:r>
    </w:p>
    <w:p w14:paraId="48BED25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冻结相关资产</w:t>
      </w:r>
    </w:p>
    <w:p w14:paraId="21B0A35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2D4E8AC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清算执行阶段（健康因子 &lt; 1.0）：</w:t>
      </w:r>
    </w:p>
    <w:p w14:paraId="0477995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启动荷兰式拍卖</w:t>
      </w:r>
    </w:p>
    <w:p w14:paraId="4E8568D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清算人竞拍质押资产</w:t>
      </w:r>
    </w:p>
    <w:p w14:paraId="0E3E32E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拍卖所得用于偿还债务</w:t>
      </w:r>
    </w:p>
    <w:p w14:paraId="6D597C8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3D4A0F5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清算完成阶段：</w:t>
      </w:r>
    </w:p>
    <w:p w14:paraId="440AB9A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偿还全部债务和清算罚金</w:t>
      </w:r>
    </w:p>
    <w:p w14:paraId="0C90F2E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剩余价值返还给用户</w:t>
      </w:r>
    </w:p>
    <w:p w14:paraId="0D732DC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记录清算事件</w:t>
      </w:r>
    </w:p>
    <w:p w14:paraId="6A2D7AF8">
      <w:pPr>
        <w:ind w:firstLine="420"/>
        <w:rPr>
          <w:rFonts w:hint="eastAsia" w:eastAsiaTheme="minorEastAsia"/>
          <w:lang w:eastAsia="zh-CN"/>
        </w:rPr>
      </w:pPr>
    </w:p>
    <w:p w14:paraId="5159BD1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荷兰式拍卖机制：</w:t>
      </w:r>
    </w:p>
    <w:p w14:paraId="507EC0A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起始价格：资产估值的105%</w:t>
      </w:r>
    </w:p>
    <w:p w14:paraId="48A50E2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价格下降：每分钟下降0.5%</w:t>
      </w:r>
    </w:p>
    <w:p w14:paraId="4844367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最小价格：资产估值的80%</w:t>
      </w:r>
    </w:p>
    <w:p w14:paraId="4BDB61B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拍卖时长：最长4小时</w:t>
      </w:r>
    </w:p>
    <w:p w14:paraId="3A05D84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5. 竞拍者：认证的清算人（需质押10万XIC）</w:t>
      </w:r>
    </w:p>
    <w:p w14:paraId="38DA675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6. 优先权：首先竞拍的清算人获得购买权</w:t>
      </w:r>
    </w:p>
    <w:p w14:paraId="2A346340">
      <w:pPr>
        <w:ind w:firstLine="420"/>
        <w:rPr>
          <w:rFonts w:hint="eastAsia" w:eastAsiaTheme="minorEastAsia"/>
          <w:lang w:eastAsia="zh-CN"/>
        </w:rPr>
      </w:pPr>
    </w:p>
    <w:p w14:paraId="272EBFD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清算罚金：</w:t>
      </w:r>
    </w:p>
    <w:p w14:paraId="70ABA17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- 基础罚金：债务金额的5%</w:t>
      </w:r>
    </w:p>
    <w:p w14:paraId="77012C8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- 紧急清算罚金：10%（系统性风险时）</w:t>
      </w:r>
    </w:p>
    <w:p w14:paraId="64CB3B4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- 罚金分配：50%风险准备金，30%清算人奖励，20%销毁</w:t>
      </w:r>
    </w:p>
    <w:p w14:paraId="4E8D1B62">
      <w:pPr>
        <w:ind w:firstLine="420"/>
        <w:rPr>
          <w:rFonts w:hint="eastAsia" w:eastAsiaTheme="minorEastAsia"/>
          <w:lang w:eastAsia="zh-CN"/>
        </w:rPr>
      </w:pPr>
    </w:p>
    <w:p w14:paraId="69E03DC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用户保护措施：</w:t>
      </w:r>
    </w:p>
    <w:p w14:paraId="679ED37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清算通知：通过邮件、短信、应用内通知多渠道通知</w:t>
      </w:r>
    </w:p>
    <w:p w14:paraId="769545A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宽限期：给予至少24小时补救时间</w:t>
      </w:r>
    </w:p>
    <w:p w14:paraId="5797E52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部分清算：尽可能只清算必要部分，保留用户资产</w:t>
      </w:r>
    </w:p>
    <w:p w14:paraId="3F4ECA8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申诉机制：用户可在清算后7天内申诉错误清算</w:t>
      </w:r>
    </w:p>
    <w:p w14:paraId="7C1DF7C5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4.3 强制平仓与债务重组</w:t>
      </w:r>
    </w:p>
    <w:p w14:paraId="74AF547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强制平仓条件（除清算外）：</w:t>
      </w:r>
    </w:p>
    <w:p w14:paraId="3E412EA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资产法律状态变更（如被查封）</w:t>
      </w:r>
    </w:p>
    <w:p w14:paraId="0AEEB6B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监管要求（如资产被制裁）</w:t>
      </w:r>
    </w:p>
    <w:p w14:paraId="213F1EB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跨链桥安全事件</w:t>
      </w:r>
    </w:p>
    <w:p w14:paraId="244920A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系统重大风险事件</w:t>
      </w:r>
    </w:p>
    <w:p w14:paraId="0D264D73">
      <w:pPr>
        <w:ind w:firstLine="420"/>
        <w:rPr>
          <w:rFonts w:hint="eastAsia" w:eastAsiaTheme="minorEastAsia"/>
          <w:lang w:eastAsia="zh-CN"/>
        </w:rPr>
      </w:pPr>
    </w:p>
    <w:p w14:paraId="11AFBFC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强制平仓流程：</w:t>
      </w:r>
    </w:p>
    <w:p w14:paraId="1B29ED5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立即冻结相关资产和债务</w:t>
      </w:r>
    </w:p>
    <w:p w14:paraId="7F2931E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评估最佳处置方案（拍卖、OTC出售等）</w:t>
      </w:r>
    </w:p>
    <w:p w14:paraId="2538693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执行处置，偿还债务</w:t>
      </w:r>
    </w:p>
    <w:p w14:paraId="10E2190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剩余价值返还用户</w:t>
      </w:r>
    </w:p>
    <w:p w14:paraId="453C850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5. 记录详细报告并公示</w:t>
      </w:r>
    </w:p>
    <w:p w14:paraId="7E7AF54A">
      <w:pPr>
        <w:ind w:firstLine="420"/>
        <w:rPr>
          <w:rFonts w:hint="eastAsia" w:eastAsiaTheme="minorEastAsia"/>
          <w:lang w:eastAsia="zh-CN"/>
        </w:rPr>
      </w:pPr>
    </w:p>
    <w:p w14:paraId="29270AE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债务重组选项：</w:t>
      </w:r>
    </w:p>
    <w:p w14:paraId="0CB62AE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期限延长：延长债务期限，降低月供</w:t>
      </w:r>
    </w:p>
    <w:p w14:paraId="5D21128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质押物置换：用更高质押率资产替换低质押率资产</w:t>
      </w:r>
    </w:p>
    <w:p w14:paraId="38CD5BA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部分豁免：特殊情况下，经治理投票可豁免部分债务</w:t>
      </w:r>
    </w:p>
    <w:p w14:paraId="4F3C86B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债转股：将债务转换为系统股权（特殊代币）</w:t>
      </w:r>
    </w:p>
    <w:p w14:paraId="5562CC30">
      <w:pPr>
        <w:ind w:firstLine="420"/>
        <w:rPr>
          <w:rFonts w:hint="eastAsia" w:eastAsiaTheme="minorEastAsia"/>
          <w:lang w:eastAsia="zh-CN"/>
        </w:rPr>
      </w:pPr>
    </w:p>
    <w:p w14:paraId="4DEBC39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系统性风险处置：</w:t>
      </w:r>
    </w:p>
    <w:p w14:paraId="278E1CC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熔断机制：当系统总健康因子&lt;1.1时，暂停所有新铸造</w:t>
      </w:r>
    </w:p>
    <w:p w14:paraId="39A4C2D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紧急注资：使用风险准备金补充资本</w:t>
      </w:r>
    </w:p>
    <w:p w14:paraId="0FADEFC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债务共同化：极端情况下，部分损失由所有XTZH持有者共同承担</w:t>
      </w:r>
    </w:p>
    <w:p w14:paraId="73F53F6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有序清算：按优先级逐步清算资产，最大化回收价值</w:t>
      </w:r>
    </w:p>
    <w:p w14:paraId="3A670393">
      <w:pPr>
        <w:ind w:firstLine="420"/>
        <w:rPr>
          <w:rFonts w:hint="eastAsia" w:eastAsiaTheme="minorEastAsia"/>
          <w:lang w:eastAsia="zh-CN"/>
        </w:rPr>
      </w:pPr>
    </w:p>
    <w:p w14:paraId="53877D4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用户申诉与赔偿：</w:t>
      </w:r>
    </w:p>
    <w:p w14:paraId="39054F2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错误清算申诉：用户可提供证据申诉错误清算</w:t>
      </w:r>
    </w:p>
    <w:p w14:paraId="32D8D73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申诉仲裁：由3人仲裁委员会处理申诉</w:t>
      </w:r>
    </w:p>
    <w:p w14:paraId="51E92A9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赔偿标准：如确认为错误清算，赔偿损失金额的120%</w:t>
      </w:r>
    </w:p>
    <w:p w14:paraId="5BDEC43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赔偿来源：从错误操作者的保证金或保险中支付</w:t>
      </w:r>
    </w:p>
    <w:p w14:paraId="1862708B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3"/>
          <w:szCs w:val="33"/>
          <w:shd w:val="clear" w:fill="FFFFFF"/>
        </w:rPr>
        <w:t>第五章：黄金储备管理细则</w:t>
      </w:r>
    </w:p>
    <w:p w14:paraId="136F6403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5.1 黄金储备操作规范</w:t>
      </w:r>
    </w:p>
    <w:p w14:paraId="37338D5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储备目标：</w:t>
      </w:r>
    </w:p>
    <w:p w14:paraId="73590B1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基础目标：XTZH流通市值的125%</w:t>
      </w:r>
    </w:p>
    <w:p w14:paraId="0ABE4D5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安全目标：XTZH流通市值的150%</w:t>
      </w:r>
    </w:p>
    <w:p w14:paraId="3A60BFA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极端目标：XTZH流通市值的200%（市场危机时）</w:t>
      </w:r>
    </w:p>
    <w:p w14:paraId="66EFBC4F">
      <w:pPr>
        <w:ind w:firstLine="420"/>
        <w:rPr>
          <w:rFonts w:hint="eastAsia" w:eastAsiaTheme="minorEastAsia"/>
          <w:lang w:eastAsia="zh-CN"/>
        </w:rPr>
      </w:pPr>
    </w:p>
    <w:p w14:paraId="54A30F0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储备资产构成：</w:t>
      </w:r>
    </w:p>
    <w:p w14:paraId="0204654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黄金永续合约（60%）：CME、香港交易所等</w:t>
      </w:r>
    </w:p>
    <w:p w14:paraId="57DACB5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黄金ETF（20%）：GLD、IAU等</w:t>
      </w:r>
    </w:p>
    <w:p w14:paraId="13C94B1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实物黄金（15%）：伦敦金库存储，LBMA认证</w:t>
      </w:r>
    </w:p>
    <w:p w14:paraId="2C6C2D5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黄金矿业股（5%）：大型金矿公司股票</w:t>
      </w:r>
    </w:p>
    <w:p w14:paraId="7917DDAD">
      <w:pPr>
        <w:ind w:firstLine="420"/>
        <w:rPr>
          <w:rFonts w:hint="eastAsia" w:eastAsiaTheme="minorEastAsia"/>
          <w:lang w:eastAsia="zh-CN"/>
        </w:rPr>
      </w:pPr>
    </w:p>
    <w:p w14:paraId="003BCA9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合约管理：</w:t>
      </w:r>
    </w:p>
    <w:p w14:paraId="5225A70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合约选择：</w:t>
      </w:r>
    </w:p>
    <w:p w14:paraId="1DCB291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交易所：CME（50%）、香港交易所（30%）、上海黄金交易所（20%）</w:t>
      </w:r>
    </w:p>
    <w:p w14:paraId="1DAE3E8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期限：主力合约（70%）、次月合约（20%）、远期合约（10%）</w:t>
      </w:r>
    </w:p>
    <w:p w14:paraId="32F7944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5AFEEA9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风险管理：</w:t>
      </w:r>
    </w:p>
    <w:p w14:paraId="669CE7B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杠杆限制：最大2倍杠杆</w:t>
      </w:r>
    </w:p>
    <w:p w14:paraId="6595B1A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保证金管理：维持保证金≥15%</w:t>
      </w:r>
    </w:p>
    <w:p w14:paraId="35E46CE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对冲策略：使用期权对冲尾部风险</w:t>
      </w:r>
    </w:p>
    <w:p w14:paraId="6DA5B6C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4C8CEF7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资金费率管理：</w:t>
      </w:r>
    </w:p>
    <w:p w14:paraId="5DB0BBF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监控资金费率，避免长期支付高费率</w:t>
      </w:r>
    </w:p>
    <w:p w14:paraId="7F0DA39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费率&gt;0.01%时考虑减仓</w:t>
      </w:r>
    </w:p>
    <w:p w14:paraId="42A644C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费率&lt;-0.01%时考虑增仓</w:t>
      </w:r>
    </w:p>
    <w:p w14:paraId="6D22C482">
      <w:pPr>
        <w:ind w:firstLine="420"/>
        <w:rPr>
          <w:rFonts w:hint="eastAsia" w:eastAsiaTheme="minorEastAsia"/>
          <w:lang w:eastAsia="zh-CN"/>
        </w:rPr>
      </w:pPr>
    </w:p>
    <w:p w14:paraId="7131D89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再平衡机制：</w:t>
      </w:r>
    </w:p>
    <w:p w14:paraId="7485206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每日再平衡：</w:t>
      </w:r>
    </w:p>
    <w:p w14:paraId="023CF0D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计算当前覆盖率（实际储备/目标储备）</w:t>
      </w:r>
    </w:p>
    <w:p w14:paraId="0AB725D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覆盖率&gt;110%：减持黄金，释放资金</w:t>
      </w:r>
    </w:p>
    <w:p w14:paraId="1016D1B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覆盖率&lt;90%：增持黄金，补充资金</w:t>
      </w:r>
    </w:p>
    <w:p w14:paraId="032BFA4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756EB4F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阈值触发：</w:t>
      </w:r>
    </w:p>
    <w:p w14:paraId="6CF27D7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紧急阈值：覆盖率&lt;85%，立即补足</w:t>
      </w:r>
    </w:p>
    <w:p w14:paraId="4EECE99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预警阈值：覆盖率&lt;95%，24小时内补足</w:t>
      </w:r>
    </w:p>
    <w:p w14:paraId="6FE5EBF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正常波动：覆盖率100-110%，不操作</w:t>
      </w:r>
    </w:p>
    <w:p w14:paraId="327C518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6FE1B7C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操作限制：</w:t>
      </w:r>
    </w:p>
    <w:p w14:paraId="0D5B845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单日最大操作：总持仓的10%</w:t>
      </w:r>
    </w:p>
    <w:p w14:paraId="000E234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单交易所最大暴露：总持仓的40%</w:t>
      </w:r>
    </w:p>
    <w:p w14:paraId="47C2DE8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最小操作单位：$100万</w:t>
      </w:r>
    </w:p>
    <w:p w14:paraId="0E99C6FC">
      <w:pPr>
        <w:ind w:firstLine="420"/>
        <w:rPr>
          <w:rFonts w:hint="eastAsia" w:eastAsiaTheme="minorEastAsia"/>
          <w:lang w:eastAsia="zh-CN"/>
        </w:rPr>
      </w:pPr>
    </w:p>
    <w:p w14:paraId="6A17238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储备审计：</w:t>
      </w:r>
    </w:p>
    <w:p w14:paraId="7F17EB2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每日审计：核对持仓、市值、保证金</w:t>
      </w:r>
    </w:p>
    <w:p w14:paraId="6C9E290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月度审计：第三方审计公司验证</w:t>
      </w:r>
    </w:p>
    <w:p w14:paraId="258ADA4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季度审计：四大会计师事务所全面审计</w:t>
      </w:r>
    </w:p>
    <w:p w14:paraId="39AE2D2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实时监控：持仓、价格、风险指标实时监控</w:t>
      </w:r>
    </w:p>
    <w:p w14:paraId="05E7878C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5.2 储备收益与成本管理</w:t>
      </w:r>
    </w:p>
    <w:p w14:paraId="22E19AD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收益来源：</w:t>
      </w:r>
    </w:p>
    <w:p w14:paraId="2BA4BA0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资金费率收益：当资金费率为负时获得收益</w:t>
      </w:r>
    </w:p>
    <w:p w14:paraId="5DB3D29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展期收益：合约展期时的价差收益</w:t>
      </w:r>
    </w:p>
    <w:p w14:paraId="6725CCA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借贷收益：实物黄金的借贷利息</w:t>
      </w:r>
    </w:p>
    <w:p w14:paraId="11CB422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交易收益：波段操作的交易收益</w:t>
      </w:r>
    </w:p>
    <w:p w14:paraId="36DCFFB2">
      <w:pPr>
        <w:ind w:firstLine="420"/>
        <w:rPr>
          <w:rFonts w:hint="eastAsia" w:eastAsiaTheme="minorEastAsia"/>
          <w:lang w:eastAsia="zh-CN"/>
        </w:rPr>
      </w:pPr>
    </w:p>
    <w:p w14:paraId="638B588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成本项目：</w:t>
      </w:r>
    </w:p>
    <w:p w14:paraId="77301D6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交易费用：开仓、平仓、调仓的交易费</w:t>
      </w:r>
    </w:p>
    <w:p w14:paraId="72BE56B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资金成本：保证金的机会成本</w:t>
      </w:r>
    </w:p>
    <w:p w14:paraId="7E41B01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资金费率成本：当资金费率为正时支付</w:t>
      </w:r>
    </w:p>
    <w:p w14:paraId="7CE2E98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存储和保险：实物黄金的存储和保险费用</w:t>
      </w:r>
    </w:p>
    <w:p w14:paraId="557674A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5. 管理费：基金经理和审计费用</w:t>
      </w:r>
    </w:p>
    <w:p w14:paraId="1C94F5EC">
      <w:pPr>
        <w:ind w:firstLine="420"/>
        <w:rPr>
          <w:rFonts w:hint="eastAsia" w:eastAsiaTheme="minorEastAsia"/>
          <w:lang w:eastAsia="zh-CN"/>
        </w:rPr>
      </w:pPr>
    </w:p>
    <w:p w14:paraId="6E3EE54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收益分配：</w:t>
      </w:r>
    </w:p>
    <w:p w14:paraId="723EA19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优先覆盖成本：首先覆盖所有运营成本</w:t>
      </w:r>
    </w:p>
    <w:p w14:paraId="0A3F567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风险准备金：收益的50%注入风险准备金</w:t>
      </w:r>
    </w:p>
    <w:p w14:paraId="6EE0DF5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XTZH持有者：收益的30%用于XTZH回购销毁</w:t>
      </w:r>
    </w:p>
    <w:p w14:paraId="4473DF3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治理奖励：收益的20%奖励给积极参与治理的XIC持有者</w:t>
      </w:r>
    </w:p>
    <w:p w14:paraId="32058CB0">
      <w:pPr>
        <w:ind w:firstLine="420"/>
        <w:rPr>
          <w:rFonts w:hint="eastAsia" w:eastAsiaTheme="minorEastAsia"/>
          <w:lang w:eastAsia="zh-CN"/>
        </w:rPr>
      </w:pPr>
    </w:p>
    <w:p w14:paraId="6356E68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成本控制目标：</w:t>
      </w:r>
    </w:p>
    <w:p w14:paraId="115F261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年化总成本 &lt; 储备价值的2%</w:t>
      </w:r>
    </w:p>
    <w:p w14:paraId="3E9BF01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资金费率净成本 &lt; 储备价值的0.5%</w:t>
      </w:r>
    </w:p>
    <w:p w14:paraId="73C2C13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交易成本 &lt; 交易金额的0.1%</w:t>
      </w:r>
    </w:p>
    <w:p w14:paraId="1715A8B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管理费 &lt; 储备价值的0.3%</w:t>
      </w:r>
    </w:p>
    <w:p w14:paraId="7911D0A5">
      <w:pPr>
        <w:ind w:firstLine="420"/>
        <w:rPr>
          <w:rFonts w:hint="eastAsia" w:eastAsiaTheme="minorEastAsia"/>
          <w:lang w:eastAsia="zh-CN"/>
        </w:rPr>
      </w:pPr>
    </w:p>
    <w:p w14:paraId="44F88F5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绩效评估：</w:t>
      </w:r>
    </w:p>
    <w:p w14:paraId="040A7F8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绝对收益：与无风险利率比较</w:t>
      </w:r>
    </w:p>
    <w:p w14:paraId="5AFF8F9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相对收益：与黄金价格指数比较</w:t>
      </w:r>
    </w:p>
    <w:p w14:paraId="52CB83C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风险调整收益：夏普比率、索提诺比率</w:t>
      </w:r>
    </w:p>
    <w:p w14:paraId="3DCCC52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成本效率：成本占收益的比例</w:t>
      </w:r>
    </w:p>
    <w:p w14:paraId="4B42313F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3"/>
          <w:szCs w:val="33"/>
          <w:shd w:val="clear" w:fill="FFFFFF"/>
        </w:rPr>
        <w:t>第六章：治理与参数调整</w:t>
      </w:r>
    </w:p>
    <w:p w14:paraId="5A604102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6.1 可治理参数清单</w:t>
      </w:r>
    </w:p>
    <w:p w14:paraId="20CFA15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一级参数（需75%超级多数通过）：</w:t>
      </w:r>
    </w:p>
    <w:p w14:paraId="5EAD488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系统总铸造上限</w:t>
      </w:r>
    </w:p>
    <w:p w14:paraId="58C9345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黄金储备覆盖率目标</w:t>
      </w:r>
    </w:p>
    <w:p w14:paraId="60A1617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系统风险准备金规模</w:t>
      </w:r>
    </w:p>
    <w:p w14:paraId="0E7AC3E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跨链桥保险额度</w:t>
      </w:r>
    </w:p>
    <w:p w14:paraId="70895C5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5. 紧急熔断触发条件</w:t>
      </w:r>
    </w:p>
    <w:p w14:paraId="01B0D7F3">
      <w:pPr>
        <w:ind w:firstLine="420"/>
        <w:rPr>
          <w:rFonts w:hint="eastAsia" w:eastAsiaTheme="minorEastAsia"/>
          <w:lang w:eastAsia="zh-CN"/>
        </w:rPr>
      </w:pPr>
    </w:p>
    <w:p w14:paraId="0B6EF0C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二级参数（需66%多数通过）：</w:t>
      </w:r>
    </w:p>
    <w:p w14:paraId="650D282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各类资产的基准质押率</w:t>
      </w:r>
    </w:p>
    <w:p w14:paraId="4AC1425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铸造和赎回费率</w:t>
      </w:r>
    </w:p>
    <w:p w14:paraId="30507BC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清算罚金比例</w:t>
      </w:r>
    </w:p>
    <w:p w14:paraId="49BE26E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新资产准入标准</w:t>
      </w:r>
    </w:p>
    <w:p w14:paraId="4CF6968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5. 跨链资产清单</w:t>
      </w:r>
    </w:p>
    <w:p w14:paraId="78DDA90C">
      <w:pPr>
        <w:ind w:firstLine="420"/>
        <w:rPr>
          <w:rFonts w:hint="eastAsia" w:eastAsiaTheme="minorEastAsia"/>
          <w:lang w:eastAsia="zh-CN"/>
        </w:rPr>
      </w:pPr>
    </w:p>
    <w:p w14:paraId="76ADD85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三级参数（需简单多数50%+1通过）：</w:t>
      </w:r>
    </w:p>
    <w:p w14:paraId="60CBCB8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质押率动态调整因子</w:t>
      </w:r>
    </w:p>
    <w:p w14:paraId="5B73514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费用分配比例</w:t>
      </w:r>
    </w:p>
    <w:p w14:paraId="5617762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预警和清算阈值</w:t>
      </w:r>
    </w:p>
    <w:p w14:paraId="19C0BDD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小额参数优化</w:t>
      </w:r>
    </w:p>
    <w:p w14:paraId="5E53627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5. 运营费用预算</w:t>
      </w:r>
    </w:p>
    <w:p w14:paraId="31B581CB">
      <w:pPr>
        <w:ind w:firstLine="420"/>
        <w:rPr>
          <w:rFonts w:hint="eastAsia" w:eastAsiaTheme="minorEastAsia"/>
          <w:lang w:eastAsia="zh-CN"/>
        </w:rPr>
      </w:pPr>
    </w:p>
    <w:p w14:paraId="18C8A6F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技术参数（技术委员会决定，报备治理）：</w:t>
      </w:r>
    </w:p>
    <w:p w14:paraId="7365AFC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预言机选择和数据源</w:t>
      </w:r>
    </w:p>
    <w:p w14:paraId="57D8046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跨链桥技术方案</w:t>
      </w:r>
    </w:p>
    <w:p w14:paraId="70565D9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安全审计机构选择</w:t>
      </w:r>
    </w:p>
    <w:p w14:paraId="6956273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系统升级时间安排</w:t>
      </w:r>
    </w:p>
    <w:p w14:paraId="35C9CB65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6.2 治理流程</w:t>
      </w:r>
    </w:p>
    <w:p w14:paraId="431F083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221480" cy="8835390"/>
            <wp:effectExtent l="0" t="0" r="7620" b="3810"/>
            <wp:docPr id="3" name="图片 3" descr="deepseek_mermaid_20260119_97bd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eepseek_mermaid_20260119_97bd4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21480" cy="8835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04B720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6.3 紧急治理机制</w:t>
      </w:r>
    </w:p>
    <w:p w14:paraId="1DACF09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紧急情况定义：</w:t>
      </w:r>
    </w:p>
    <w:p w14:paraId="130716A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系统性风险：系统总健康因子&lt;1.05</w:t>
      </w:r>
    </w:p>
    <w:p w14:paraId="2D95CA2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安全事件：跨链桥被攻击或存在重大漏洞</w:t>
      </w:r>
    </w:p>
    <w:p w14:paraId="43BAE6C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市场极端事件：黄金或主要资产价格单日波动&gt;30%</w:t>
      </w:r>
    </w:p>
    <w:p w14:paraId="5AE8306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监管紧急要求：监管机构要求立即调整</w:t>
      </w:r>
    </w:p>
    <w:p w14:paraId="6B5764D8">
      <w:pPr>
        <w:ind w:firstLine="420"/>
        <w:rPr>
          <w:rFonts w:hint="eastAsia" w:eastAsiaTheme="minorEastAsia"/>
          <w:lang w:eastAsia="zh-CN"/>
        </w:rPr>
      </w:pPr>
    </w:p>
    <w:p w14:paraId="1E2308E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紧急委员会：</w:t>
      </w:r>
    </w:p>
    <w:p w14:paraId="70849E6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组成：5人，包括技术专家、风险专家、法律专家</w:t>
      </w:r>
    </w:p>
    <w:p w14:paraId="04EF750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选举：由XIC持有者投票产生，任期6个月</w:t>
      </w:r>
    </w:p>
    <w:p w14:paraId="54122FC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权限：在紧急情况下可暂停系统部分功能</w:t>
      </w:r>
    </w:p>
    <w:p w14:paraId="5CFBC79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限制：紧急措施有效期最长7天，需后续治理确认</w:t>
      </w:r>
    </w:p>
    <w:p w14:paraId="591CD8E0">
      <w:pPr>
        <w:ind w:firstLine="420"/>
        <w:rPr>
          <w:rFonts w:hint="eastAsia" w:eastAsiaTheme="minorEastAsia"/>
          <w:lang w:eastAsia="zh-CN"/>
        </w:rPr>
      </w:pPr>
    </w:p>
    <w:p w14:paraId="262BE6F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紧急措施：</w:t>
      </w:r>
    </w:p>
    <w:p w14:paraId="084631B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暂停新铸造：暂停所有新的XTZH铸造</w:t>
      </w:r>
    </w:p>
    <w:p w14:paraId="683CDA2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限制赎回：限制大额赎回，启动时间锁</w:t>
      </w:r>
    </w:p>
    <w:p w14:paraId="4A2176F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调整参数：临时调整质押率、费率等参数</w:t>
      </w:r>
    </w:p>
    <w:p w14:paraId="0AA2F76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启用保险：启动保险理赔流程</w:t>
      </w:r>
    </w:p>
    <w:p w14:paraId="1520ECA7">
      <w:pPr>
        <w:ind w:firstLine="420"/>
        <w:rPr>
          <w:rFonts w:hint="eastAsia" w:eastAsiaTheme="minorEastAsia"/>
          <w:lang w:eastAsia="zh-CN"/>
        </w:rPr>
      </w:pPr>
    </w:p>
    <w:p w14:paraId="5BF8F3A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事后审计：</w:t>
      </w:r>
    </w:p>
    <w:p w14:paraId="0316A41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紧急措施实施后7天内提交详细报告</w:t>
      </w:r>
    </w:p>
    <w:p w14:paraId="4E7C927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由独立审计机构评估措施必要性和适当性</w:t>
      </w:r>
    </w:p>
    <w:p w14:paraId="506AE2B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如有错误决策，相关责任人承担相应责任</w:t>
      </w:r>
    </w:p>
    <w:p w14:paraId="4B1F6B6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经验教训纳入系统改进</w:t>
      </w:r>
    </w:p>
    <w:p w14:paraId="2B9042F0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3"/>
          <w:szCs w:val="33"/>
          <w:shd w:val="clear" w:fill="FFFFFF"/>
        </w:rPr>
        <w:t>第七章：合规与审计</w:t>
      </w:r>
    </w:p>
    <w:p w14:paraId="4761FFD0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7.1 监管合规要求</w:t>
      </w:r>
    </w:p>
    <w:p w14:paraId="3DD1E3D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KYC/AML要求：</w:t>
      </w:r>
    </w:p>
    <w:p w14:paraId="7362C95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用户分级：</w:t>
      </w:r>
    </w:p>
    <w:p w14:paraId="40A4572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一级用户（&lt;10万XTZH）：基础KYC</w:t>
      </w:r>
    </w:p>
    <w:p w14:paraId="2F03C92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二级用户（10万-100万XTZH）：强化KYC</w:t>
      </w:r>
    </w:p>
    <w:p w14:paraId="5F8CFB8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三级用户（&gt;100万XTZH）：深度尽调</w:t>
      </w:r>
    </w:p>
    <w:p w14:paraId="4EEB648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7C4DBDC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交易监控：</w:t>
      </w:r>
    </w:p>
    <w:p w14:paraId="7384842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实时监控异常交易模式</w:t>
      </w:r>
    </w:p>
    <w:p w14:paraId="4771AB3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大额交易报告（&gt;10万XTZH）</w:t>
      </w:r>
    </w:p>
    <w:p w14:paraId="215FEA6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可疑交易报告</w:t>
      </w:r>
    </w:p>
    <w:p w14:paraId="2FF8FBF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3238B0F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制裁筛查：</w:t>
      </w:r>
    </w:p>
    <w:p w14:paraId="3253004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实时筛查OFAC、UN等制裁名单</w:t>
      </w:r>
    </w:p>
    <w:p w14:paraId="607180E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地域限制：不支持受制裁国家用户</w:t>
      </w:r>
    </w:p>
    <w:p w14:paraId="6183959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定期更新筛查名单</w:t>
      </w:r>
    </w:p>
    <w:p w14:paraId="0C488164">
      <w:pPr>
        <w:ind w:firstLine="420"/>
        <w:rPr>
          <w:rFonts w:hint="eastAsia" w:eastAsiaTheme="minorEastAsia"/>
          <w:lang w:eastAsia="zh-CN"/>
        </w:rPr>
      </w:pPr>
    </w:p>
    <w:p w14:paraId="146C40F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税务合规：</w:t>
      </w:r>
    </w:p>
    <w:p w14:paraId="280C742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税务报告：</w:t>
      </w:r>
    </w:p>
    <w:p w14:paraId="7CE8FC2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年度税务报告（1099类似表格）</w:t>
      </w:r>
    </w:p>
    <w:p w14:paraId="66F59D9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多国税务格式支持</w:t>
      </w:r>
    </w:p>
    <w:p w14:paraId="719FAB5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税务计算工具</w:t>
      </w:r>
    </w:p>
    <w:p w14:paraId="5EF41D9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07EBF64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预扣税：</w:t>
      </w:r>
    </w:p>
    <w:p w14:paraId="61AA0C4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对特定司法辖区用户预扣税</w:t>
      </w:r>
    </w:p>
    <w:p w14:paraId="61D5C7F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与税务机关信息共享协议</w:t>
      </w:r>
    </w:p>
    <w:p w14:paraId="66133A5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税务优化建议（不提供税务建议）</w:t>
      </w:r>
    </w:p>
    <w:p w14:paraId="59DDE2DC">
      <w:pPr>
        <w:ind w:firstLine="420"/>
        <w:rPr>
          <w:rFonts w:hint="eastAsia" w:eastAsiaTheme="minorEastAsia"/>
          <w:lang w:eastAsia="zh-CN"/>
        </w:rPr>
      </w:pPr>
    </w:p>
    <w:p w14:paraId="497D626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监管报告：</w:t>
      </w:r>
    </w:p>
    <w:p w14:paraId="1639AF7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定期报告：</w:t>
      </w:r>
    </w:p>
    <w:p w14:paraId="1EDBFE6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月度报告：给监管机构的运营报告</w:t>
      </w:r>
    </w:p>
    <w:p w14:paraId="12C1792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季度报告：财务和风险报告</w:t>
      </w:r>
    </w:p>
    <w:p w14:paraId="5EBB791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年度报告：全面审计报告</w:t>
      </w:r>
    </w:p>
    <w:p w14:paraId="3361C47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15D64E4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实时报告：</w:t>
      </w:r>
    </w:p>
    <w:p w14:paraId="7044BF1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大额交易实时报告</w:t>
      </w:r>
    </w:p>
    <w:p w14:paraId="186BC3C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可疑活动报告</w:t>
      </w:r>
    </w:p>
    <w:p w14:paraId="1586A82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系统异常报告</w:t>
      </w:r>
    </w:p>
    <w:p w14:paraId="062620AA">
      <w:pPr>
        <w:ind w:firstLine="420"/>
        <w:rPr>
          <w:rFonts w:hint="eastAsia" w:eastAsiaTheme="minorEastAsia"/>
          <w:lang w:eastAsia="zh-CN"/>
        </w:rPr>
      </w:pPr>
    </w:p>
    <w:p w14:paraId="258F1F9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司法辖区适配：</w:t>
      </w:r>
    </w:p>
    <w:p w14:paraId="2E5A7D0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美国：符合SEC、CFTC、FinCEN要求</w:t>
      </w:r>
    </w:p>
    <w:p w14:paraId="2D6FB7C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欧盟：符合MiCA、AMLD要求</w:t>
      </w:r>
    </w:p>
    <w:p w14:paraId="56B5FDA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中国：符合跨境资本流动要求</w:t>
      </w:r>
    </w:p>
    <w:p w14:paraId="293E102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其他：根据当地法律调整</w:t>
      </w:r>
    </w:p>
    <w:p w14:paraId="0BE2463C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7.2 审计与透明度</w:t>
      </w:r>
    </w:p>
    <w:p w14:paraId="173B07E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审计类型：</w:t>
      </w:r>
    </w:p>
    <w:p w14:paraId="1EB984A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财务审计：四大会计师事务所，每季度</w:t>
      </w:r>
    </w:p>
    <w:p w14:paraId="23C8140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安全审计：顶级安全公司，每半年</w:t>
      </w:r>
    </w:p>
    <w:p w14:paraId="7FACC88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合规审计：专业合规机构，每年</w:t>
      </w:r>
    </w:p>
    <w:p w14:paraId="35F08D9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系统审计：技术审计，持续进行</w:t>
      </w:r>
    </w:p>
    <w:p w14:paraId="6FF92355">
      <w:pPr>
        <w:ind w:firstLine="420"/>
        <w:rPr>
          <w:rFonts w:hint="eastAsia" w:eastAsiaTheme="minorEastAsia"/>
          <w:lang w:eastAsia="zh-CN"/>
        </w:rPr>
      </w:pPr>
    </w:p>
    <w:p w14:paraId="32F4205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透明度措施：</w:t>
      </w:r>
    </w:p>
    <w:p w14:paraId="68573B0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实时仪表板：</w:t>
      </w:r>
    </w:p>
    <w:p w14:paraId="5BDED26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总铸造量、流通量</w:t>
      </w:r>
    </w:p>
    <w:p w14:paraId="4029674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黄金储备状况</w:t>
      </w:r>
    </w:p>
    <w:p w14:paraId="7664004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资产构成分布</w:t>
      </w:r>
    </w:p>
    <w:p w14:paraId="292B9FF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风险指标监控</w:t>
      </w:r>
    </w:p>
    <w:p w14:paraId="4F2B4AD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06965DA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定期披露：</w:t>
      </w:r>
    </w:p>
    <w:p w14:paraId="69722BA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月度运营报告</w:t>
      </w:r>
    </w:p>
    <w:p w14:paraId="3FDB3F7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季度财务报告</w:t>
      </w:r>
    </w:p>
    <w:p w14:paraId="1F7DDBD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年度审计报告</w:t>
      </w:r>
    </w:p>
    <w:p w14:paraId="2512599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5D0EB4F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链上可验证：</w:t>
      </w:r>
    </w:p>
    <w:p w14:paraId="461FE33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所有铸造、赎回、清算交易上链</w:t>
      </w:r>
    </w:p>
    <w:p w14:paraId="4B5A75F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黄金持仓地址公开</w:t>
      </w:r>
    </w:p>
    <w:p w14:paraId="20C8C50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治理投票记录公开</w:t>
      </w:r>
    </w:p>
    <w:p w14:paraId="12DE7B98">
      <w:pPr>
        <w:ind w:firstLine="420"/>
        <w:rPr>
          <w:rFonts w:hint="eastAsia" w:eastAsiaTheme="minorEastAsia"/>
          <w:lang w:eastAsia="zh-CN"/>
        </w:rPr>
      </w:pPr>
    </w:p>
    <w:p w14:paraId="74D20A7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第三方验证：</w:t>
      </w:r>
    </w:p>
    <w:p w14:paraId="01582CE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储备证明：每月发布储备证明，由第三方验证</w:t>
      </w:r>
    </w:p>
    <w:p w14:paraId="04F501D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偿付能力证明：证明系统资产大于负债</w:t>
      </w:r>
    </w:p>
    <w:p w14:paraId="5B444BF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安全证明：安全审计报告公开</w:t>
      </w:r>
    </w:p>
    <w:p w14:paraId="43EC549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合规证明：合规审计报告公开</w:t>
      </w:r>
    </w:p>
    <w:p w14:paraId="3A5E5D3B">
      <w:pPr>
        <w:ind w:firstLine="420"/>
        <w:rPr>
          <w:rFonts w:hint="eastAsia" w:eastAsiaTheme="minorEastAsia"/>
          <w:lang w:eastAsia="zh-CN"/>
        </w:rPr>
      </w:pPr>
    </w:p>
    <w:p w14:paraId="4ADDA71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争议解决：</w:t>
      </w:r>
    </w:p>
    <w:p w14:paraId="578B2DF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链上仲裁：小额争议通过链上仲裁解决</w:t>
      </w:r>
    </w:p>
    <w:p w14:paraId="7B7C44E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专业调解：大额争议通过专业调解机构</w:t>
      </w:r>
    </w:p>
    <w:p w14:paraId="27E2728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司法诉讼：最终通过司法途径解决</w:t>
      </w:r>
    </w:p>
    <w:p w14:paraId="005AD10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保险理赔：通过保险覆盖部分损失</w:t>
      </w:r>
    </w:p>
    <w:p w14:paraId="435D9F20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3"/>
          <w:szCs w:val="33"/>
          <w:shd w:val="clear" w:fill="FFFFFF"/>
        </w:rPr>
        <w:t>第八章：实施路线图</w:t>
      </w:r>
    </w:p>
    <w:p w14:paraId="04439E4B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8.1 分阶段推出计划</w:t>
      </w:r>
    </w:p>
    <w:p w14:paraId="182BD01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第一阶段：基础铸造（第1-3个月）</w:t>
      </w:r>
    </w:p>
    <w:p w14:paraId="6B384FF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🎯 目标：建立RWA资产铸造基础系统</w:t>
      </w:r>
    </w:p>
    <w:p w14:paraId="0C35D13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📋 交付：</w:t>
      </w:r>
    </w:p>
    <w:p w14:paraId="5BCEF3C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1. 支持3-5种核心RWA资产铸造</w:t>
      </w:r>
    </w:p>
    <w:p w14:paraId="740DCEB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2. 基础黄金储备机制</w:t>
      </w:r>
    </w:p>
    <w:p w14:paraId="0352372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3. 简单清算系统</w:t>
      </w:r>
    </w:p>
    <w:p w14:paraId="4B26E54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4. 基础治理框架</w:t>
      </w:r>
    </w:p>
    <w:p w14:paraId="331DF8D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7CA41AB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📊 目标规模：铸造量达到$1000万</w:t>
      </w:r>
    </w:p>
    <w:p w14:paraId="5175FE52">
      <w:pPr>
        <w:ind w:firstLine="420"/>
        <w:rPr>
          <w:rFonts w:hint="eastAsia" w:eastAsiaTheme="minorEastAsia"/>
          <w:lang w:eastAsia="zh-CN"/>
        </w:rPr>
      </w:pPr>
    </w:p>
    <w:p w14:paraId="435863F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第二阶段：跨链扩展（第4-6个月）</w:t>
      </w:r>
    </w:p>
    <w:p w14:paraId="1977500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🎯 目标：支持主流加密资产跨链铸造</w:t>
      </w:r>
    </w:p>
    <w:p w14:paraId="7B89F03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📋 交付：</w:t>
      </w:r>
    </w:p>
    <w:p w14:paraId="564220F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1. 比特币、以太坊跨链铸造</w:t>
      </w:r>
    </w:p>
    <w:p w14:paraId="7D98FF4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2. 完善的风险管理系统</w:t>
      </w:r>
    </w:p>
    <w:p w14:paraId="17BD9DC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3. 高级清算拍卖机制</w:t>
      </w:r>
    </w:p>
    <w:p w14:paraId="25DEA9E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4. 跨链桥安全增强</w:t>
      </w:r>
    </w:p>
    <w:p w14:paraId="03BEA40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0AE3E9B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📊 目标规模：铸造量达到$1亿</w:t>
      </w:r>
    </w:p>
    <w:p w14:paraId="02CDC494">
      <w:pPr>
        <w:ind w:firstLine="420"/>
        <w:rPr>
          <w:rFonts w:hint="eastAsia" w:eastAsiaTheme="minorEastAsia"/>
          <w:lang w:eastAsia="zh-CN"/>
        </w:rPr>
      </w:pPr>
    </w:p>
    <w:p w14:paraId="6F78875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第三阶段：全面扩展（第7-12个月）</w:t>
      </w:r>
    </w:p>
    <w:p w14:paraId="048B771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🎯 目标：支持多样化资产和高级功能</w:t>
      </w:r>
    </w:p>
    <w:p w14:paraId="47F0A89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📋 交付：</w:t>
      </w:r>
    </w:p>
    <w:p w14:paraId="33445D6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1. 支持10+种RWA资产</w:t>
      </w:r>
    </w:p>
    <w:p w14:paraId="35CF98E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2. 支持10+种跨链资产</w:t>
      </w:r>
    </w:p>
    <w:p w14:paraId="3F7B749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3. 债务重组和紧急机制</w:t>
      </w:r>
    </w:p>
    <w:p w14:paraId="61E46D8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4. 全面合规框架</w:t>
      </w:r>
    </w:p>
    <w:p w14:paraId="4632DDC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29EA9DF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📊 目标规模：铸造量达到$10亿</w:t>
      </w:r>
    </w:p>
    <w:p w14:paraId="0E3C713E">
      <w:pPr>
        <w:ind w:firstLine="420"/>
        <w:rPr>
          <w:rFonts w:hint="eastAsia" w:eastAsiaTheme="minorEastAsia"/>
          <w:lang w:eastAsia="zh-CN"/>
        </w:rPr>
      </w:pPr>
    </w:p>
    <w:p w14:paraId="6640C89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第四阶段：生态成熟（第13-24个月）</w:t>
      </w:r>
    </w:p>
    <w:p w14:paraId="1A60977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🎯 目标：成为全球RWA铸造标准</w:t>
      </w:r>
    </w:p>
    <w:p w14:paraId="47257E0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📋 交付：</w:t>
      </w:r>
    </w:p>
    <w:p w14:paraId="0AD4DC3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1. 支持50+种资产类型</w:t>
      </w:r>
    </w:p>
    <w:p w14:paraId="3B9760D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2. 跨链互操作网络</w:t>
      </w:r>
    </w:p>
    <w:p w14:paraId="3C5B5D4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3. 机构级服务</w:t>
      </w:r>
    </w:p>
    <w:p w14:paraId="047F6EA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4. 全球监管认可</w:t>
      </w:r>
    </w:p>
    <w:p w14:paraId="47CCB10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135C287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📊 目标规模：铸造量达到$100亿</w:t>
      </w:r>
    </w:p>
    <w:p w14:paraId="45FD4003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8.2 风险缓释计划</w:t>
      </w:r>
    </w:p>
    <w:p w14:paraId="7701501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技术风险：</w:t>
      </w:r>
    </w:p>
    <w:p w14:paraId="29515FC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智能合约风险：</w:t>
      </w:r>
    </w:p>
    <w:p w14:paraId="38B3757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多层审计：3家独立审计机构</w:t>
      </w:r>
    </w:p>
    <w:p w14:paraId="2707ED5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漏洞赏金：最高$500万奖励</w:t>
      </w:r>
    </w:p>
    <w:p w14:paraId="21AA130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保险覆盖：$1亿智能合约保险</w:t>
      </w:r>
    </w:p>
    <w:p w14:paraId="0EC4A62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6FA4E28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跨链桥风险：</w:t>
      </w:r>
    </w:p>
    <w:p w14:paraId="6449913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多重签名：8/12多签</w:t>
      </w:r>
    </w:p>
    <w:p w14:paraId="19DC37F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时间锁：大额转账24小时延迟</w:t>
      </w:r>
    </w:p>
    <w:p w14:paraId="70CCF01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保险覆盖：$1亿跨链桥保险</w:t>
      </w:r>
    </w:p>
    <w:p w14:paraId="696DE64D">
      <w:pPr>
        <w:ind w:firstLine="420"/>
        <w:rPr>
          <w:rFonts w:hint="eastAsia" w:eastAsiaTheme="minorEastAsia"/>
          <w:lang w:eastAsia="zh-CN"/>
        </w:rPr>
      </w:pPr>
    </w:p>
    <w:p w14:paraId="65A5780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市场风险：</w:t>
      </w:r>
    </w:p>
    <w:p w14:paraId="25258D1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价格波动风险：</w:t>
      </w:r>
    </w:p>
    <w:p w14:paraId="6709147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超额抵押：最低130%抵押率</w:t>
      </w:r>
    </w:p>
    <w:p w14:paraId="6C7644F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实时监控：波动率监控系统</w:t>
      </w:r>
    </w:p>
    <w:p w14:paraId="30B3672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熔断机制：极端波动暂停铸造</w:t>
      </w:r>
    </w:p>
    <w:p w14:paraId="05C9EF6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4648AD6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流动性风险：</w:t>
      </w:r>
    </w:p>
    <w:p w14:paraId="47214A1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流动性准备金：总资产5%</w:t>
      </w:r>
    </w:p>
    <w:p w14:paraId="71926B7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流动性提供者激励</w:t>
      </w:r>
    </w:p>
    <w:p w14:paraId="37FAA9F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紧急流动性机制</w:t>
      </w:r>
    </w:p>
    <w:p w14:paraId="62316F1A">
      <w:pPr>
        <w:ind w:firstLine="420"/>
        <w:rPr>
          <w:rFonts w:hint="eastAsia" w:eastAsiaTheme="minorEastAsia"/>
          <w:lang w:eastAsia="zh-CN"/>
        </w:rPr>
      </w:pPr>
    </w:p>
    <w:p w14:paraId="599FBE3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操作风险：</w:t>
      </w:r>
    </w:p>
    <w:p w14:paraId="33D21F7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人为错误：</w:t>
      </w:r>
    </w:p>
    <w:p w14:paraId="0390380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自动化流程：减少人工干预</w:t>
      </w:r>
    </w:p>
    <w:p w14:paraId="6DF4D39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多重审批：关键操作需多人批准</w:t>
      </w:r>
    </w:p>
    <w:p w14:paraId="583D0FA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培训与认证：操作人员专业认证</w:t>
      </w:r>
    </w:p>
    <w:p w14:paraId="1E20AAB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1BAD09A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欺诈风险：</w:t>
      </w:r>
    </w:p>
    <w:p w14:paraId="750E0BF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KYC/AML：严格身份验证</w:t>
      </w:r>
    </w:p>
    <w:p w14:paraId="31A0ED0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交易监控：实时异常检测</w:t>
      </w:r>
    </w:p>
    <w:p w14:paraId="318BF1E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保险覆盖：欺诈保险</w:t>
      </w:r>
    </w:p>
    <w:p w14:paraId="78E1C4F8">
      <w:pPr>
        <w:ind w:firstLine="420"/>
        <w:rPr>
          <w:rFonts w:hint="eastAsia" w:eastAsiaTheme="minorEastAsia"/>
          <w:lang w:eastAsia="zh-CN"/>
        </w:rPr>
      </w:pPr>
    </w:p>
    <w:p w14:paraId="4526C3B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法律风险：</w:t>
      </w:r>
    </w:p>
    <w:p w14:paraId="0C97412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监管风险：</w:t>
      </w:r>
    </w:p>
    <w:p w14:paraId="5B0E321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多辖区合规团队</w:t>
      </w:r>
    </w:p>
    <w:p w14:paraId="41B25C6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法律咨询网络</w:t>
      </w:r>
    </w:p>
    <w:p w14:paraId="1E3E939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监管沙盒参与</w:t>
      </w:r>
    </w:p>
    <w:p w14:paraId="73186A7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2EFB04B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诉讼风险：</w:t>
      </w:r>
    </w:p>
    <w:p w14:paraId="31233D5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法律辩护基金</w:t>
      </w:r>
    </w:p>
    <w:p w14:paraId="7307466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用户协议保护</w:t>
      </w:r>
    </w:p>
    <w:p w14:paraId="6D3ED14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司法管辖区选择</w:t>
      </w:r>
    </w:p>
    <w:p w14:paraId="53334B9A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3"/>
          <w:szCs w:val="33"/>
          <w:shd w:val="clear" w:fill="FFFFFF"/>
        </w:rPr>
        <w:t>结语：构建下一代链上金融基础设施</w:t>
      </w:r>
    </w:p>
    <w:p w14:paraId="45C72AA5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240" w:afterAutospacing="0"/>
        <w:ind w:left="0" w:right="0" w:firstLine="0"/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XTZH铸造与跨链质押细则是NAC公链金融系统的核心规则。通过这套完善的制度设计，我们旨在：</w:t>
      </w:r>
    </w:p>
    <w:p w14:paraId="64F58D85"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/>
        <w:ind w:left="425" w:leftChars="0" w:right="0" w:hanging="425" w:firstLineChars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建立信任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：通过透明、超额抵押、多重审计的机制建立市场信任</w:t>
      </w:r>
    </w:p>
    <w:p w14:paraId="0E2456A8"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/>
        <w:ind w:left="425" w:leftChars="0" w:right="0" w:hanging="425" w:firstLineChars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确保稳定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：通过黄金储备、动态调整、风险缓冲确保系统稳定</w:t>
      </w:r>
    </w:p>
    <w:p w14:paraId="47BC9270"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/>
        <w:ind w:left="425" w:leftChars="0" w:right="0" w:hanging="425" w:firstLineChars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促进创新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：通过灵活、可扩展的设计支持金融创新</w:t>
      </w:r>
    </w:p>
    <w:p w14:paraId="59BF9A09"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/>
        <w:ind w:left="425" w:leftChars="0" w:right="0" w:hanging="425" w:firstLineChars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保护用户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：通过用户保护机制、保险覆盖、申诉渠道保护用户权益</w:t>
      </w:r>
    </w:p>
    <w:p w14:paraId="54AC2269"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/>
        <w:ind w:left="425" w:leftChars="0" w:right="0" w:hanging="425" w:firstLineChars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合规发展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：通过全面的合规框架确保长期可持续发展</w:t>
      </w:r>
    </w:p>
    <w:p w14:paraId="6FCB900D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24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这套系统不仅仅是技术实现，更是金融工程、风险管理、法律合规的完美结合。它将为全球用户提供一个安全、稳定、高效的链上金融基础设施。</w:t>
      </w:r>
    </w:p>
    <w:p w14:paraId="4651AA15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240" w:afterAutospacing="0"/>
        <w:ind w:left="0" w:right="0" w:firstLine="0"/>
        <w:rPr>
          <w:rFonts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NAC公链XTZH铸造与跨链质押细则法典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br w:type="textWrapping"/>
      </w: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版本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：v1.0.0（完整版）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br w:type="textWrapping"/>
      </w: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制定日期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：202</w:t>
      </w:r>
      <w:r>
        <w:rPr>
          <w:rFonts w:hint="eastAsia" w:ascii="Segoe UI" w:hAnsi="Segoe UI" w:eastAsia="宋体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6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年</w:t>
      </w:r>
      <w:r>
        <w:rPr>
          <w:rFonts w:hint="eastAsia" w:ascii="Segoe UI" w:hAnsi="Segoe UI" w:eastAsia="宋体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1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月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br w:type="textWrapping"/>
      </w: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制定机构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：NAC金融工程委员会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br w:type="textWrapping"/>
      </w: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参与专家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：金融工程师、风险管理专家、法律专家、区块链架构师</w:t>
      </w:r>
    </w:p>
    <w:p w14:paraId="1CD2B3AF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24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治理声明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：本细则通过NAC公链治理机制（XIC持有者投票）成为链上金融宪法，所有XTZH相关操作必须遵循本细则。细则的修订需经治理投票通过。</w:t>
      </w:r>
    </w:p>
    <w:p w14:paraId="2F1B2072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24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实施承诺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：我们承诺以最高的金融标准、最严格的风险控制和最透明的运作方式，构建和维护全球最先进的链上法币系统，为NAC公链和整个数字资产生态提供坚实的金融基础。</w:t>
      </w:r>
    </w:p>
    <w:p w14:paraId="3A7AB3D3">
      <w:pPr>
        <w:ind w:firstLine="420"/>
        <w:rPr>
          <w:rFonts w:hint="eastAsia" w:eastAsiaTheme="minorEastAsia"/>
          <w:lang w:eastAsia="zh-CN"/>
        </w:rPr>
      </w:pPr>
      <w:r>
        <w:rPr>
          <w:rStyle w:val="8"/>
          <w:rFonts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每一次铸造都是信任的积累，每一枚XTZH都是价值的承诺。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br w:type="textWrapping"/>
      </w: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我们正在构建的，是连接传统金融与数字未来的坚实桥梁。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4EBAA0"/>
    <w:multiLevelType w:val="singleLevel"/>
    <w:tmpl w:val="644EBAA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8D38C7"/>
    <w:rsid w:val="3D8D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rPr>
      <w:sz w:val="24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24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2026-01-19T02:52:00Z</dcterms:created>
  <dc:creator>无为天下</dc:creator>
  <cp:lastModifiedBy>无为天下</cp:lastModifiedBy>
  <dcterms:modified xsi:type="dcterms:W3CDTF">2026-01-19T03:02:06Z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2F4DCF071197411EA136CCB7CA5BC875_11</vt:lpwstr>
  </property>
  <property fmtid="{D5CDD505-2E9C-101B-9397-08002B2CF9AE}" pid="4" name="KSOTemplateDocerSaveRecord">
    <vt:lpwstr>eyJoZGlkIjoiNmFjOWIxM2U1OTBhMmUxOWFjOGRhN2RhN2ZjZTg3NTciLCJ1c2VySWQiOiIyMjU5MDI5MDkifQ==</vt:lpwstr>
  </property>
</Properties>
</file>