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《</w:t>
      </w:r>
      <w:r>
        <w:rPr>
          <w:rFonts w:eastAsia="等线" w:ascii="Arial" w:cs="Arial" w:hAnsi="Arial"/>
          <w:b w:val="true"/>
          <w:sz w:val="52"/>
        </w:rPr>
        <w:t>不动产RWA GNACS编码字段填写详解》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一、填写总则</w:t>
      </w:r>
      <w:bookmarkEnd w:id="0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目的</w:t>
      </w:r>
      <w:r>
        <w:rPr>
          <w:rFonts w:eastAsia="等线" w:ascii="Arial" w:cs="Arial" w:hAnsi="Arial"/>
          <w:sz w:val="22"/>
        </w:rPr>
        <w:t>：本详解旨在为不动产RWA（真实世界资产）上链过程中的</w:t>
      </w:r>
      <w:r>
        <w:rPr>
          <w:rFonts w:eastAsia="等线" w:ascii="Arial" w:cs="Arial" w:hAnsi="Arial"/>
          <w:b w:val="true"/>
          <w:sz w:val="22"/>
        </w:rPr>
        <w:t>GNACS编码生成</w:t>
      </w:r>
      <w:r>
        <w:rPr>
          <w:rFonts w:eastAsia="等线" w:ascii="Arial" w:cs="Arial" w:hAnsi="Arial"/>
          <w:sz w:val="22"/>
        </w:rPr>
        <w:t>提供具体、可操作的填写指导。该编码是资产在链上的“数字护照”，是触发后续所有合规、估值、技术流程的核心依据。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责任方</w:t>
      </w:r>
      <w:r>
        <w:rPr>
          <w:rFonts w:eastAsia="等线" w:ascii="Arial" w:cs="Arial" w:hAnsi="Arial"/>
          <w:sz w:val="22"/>
        </w:rPr>
        <w:t>：填写应以</w:t>
      </w:r>
      <w:r>
        <w:rPr>
          <w:rFonts w:eastAsia="等线" w:ascii="Arial" w:cs="Arial" w:hAnsi="Arial"/>
          <w:b w:val="true"/>
          <w:sz w:val="22"/>
        </w:rPr>
        <w:t>法律合规方</w:t>
      </w:r>
      <w:r>
        <w:rPr>
          <w:rFonts w:eastAsia="等线" w:ascii="Arial" w:cs="Arial" w:hAnsi="Arial"/>
          <w:sz w:val="22"/>
        </w:rPr>
        <w:t>和</w:t>
      </w:r>
      <w:r>
        <w:rPr>
          <w:rFonts w:eastAsia="等线" w:ascii="Arial" w:cs="Arial" w:hAnsi="Arial"/>
          <w:b w:val="true"/>
          <w:sz w:val="22"/>
        </w:rPr>
        <w:t>资产发起方</w:t>
      </w:r>
      <w:r>
        <w:rPr>
          <w:rFonts w:eastAsia="等线" w:ascii="Arial" w:cs="Arial" w:hAnsi="Arial"/>
          <w:sz w:val="22"/>
        </w:rPr>
        <w:t>为主，</w:t>
      </w:r>
      <w:r>
        <w:rPr>
          <w:rFonts w:eastAsia="等线" w:ascii="Arial" w:cs="Arial" w:hAnsi="Arial"/>
          <w:b w:val="true"/>
          <w:sz w:val="22"/>
        </w:rPr>
        <w:t>技术实施方</w:t>
      </w:r>
      <w:r>
        <w:rPr>
          <w:rFonts w:eastAsia="等线" w:ascii="Arial" w:cs="Arial" w:hAnsi="Arial"/>
          <w:sz w:val="22"/>
        </w:rPr>
        <w:t>协助验证格式。所有字段的最终取值应有对应的法律文件或评估报告作为依据。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引用标准</w:t>
      </w:r>
      <w:r>
        <w:rPr>
          <w:rFonts w:eastAsia="等线" w:ascii="Arial" w:cs="Arial" w:hAnsi="Arial"/>
          <w:sz w:val="22"/>
        </w:rPr>
        <w:t>：填写时必须严格参照《GNACSPro》标准文件。本详解为针对</w:t>
      </w:r>
      <w:r>
        <w:rPr>
          <w:rFonts w:eastAsia="等线" w:ascii="Arial" w:cs="Arial" w:hAnsi="Arial"/>
          <w:b w:val="true"/>
          <w:sz w:val="22"/>
        </w:rPr>
        <w:t>不动产（现阶段主要指收益权）</w:t>
      </w:r>
      <w:r>
        <w:rPr>
          <w:rFonts w:eastAsia="等线" w:ascii="Arial" w:cs="Arial" w:hAnsi="Arial"/>
          <w:sz w:val="22"/>
        </w:rPr>
        <w:t>场景的补充解释。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关键原则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客观性</w:t>
      </w:r>
      <w:r>
        <w:rPr>
          <w:rFonts w:eastAsia="等线" w:ascii="Arial" w:cs="Arial" w:hAnsi="Arial"/>
          <w:sz w:val="22"/>
        </w:rPr>
        <w:t>：所有字段均需基于客观文件（产权证、租赁合同、评估报告、法律意见书）。</w:t>
      </w:r>
    </w:p>
    <w:p>
      <w:pPr>
        <w:numPr>
          <w:numId w:val="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一致性</w:t>
      </w:r>
      <w:r>
        <w:rPr>
          <w:rFonts w:eastAsia="等线" w:ascii="Arial" w:cs="Arial" w:hAnsi="Arial"/>
          <w:sz w:val="22"/>
        </w:rPr>
        <w:t>：链上智能合约中硬编码的GNACS必须与本文件生成的编码完全一致。</w:t>
      </w:r>
    </w:p>
    <w:p>
      <w:pPr>
        <w:numPr>
          <w:numId w:val="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动态性</w:t>
      </w:r>
      <w:r>
        <w:rPr>
          <w:rFonts w:eastAsia="等线" w:ascii="Arial" w:cs="Arial" w:hAnsi="Arial"/>
          <w:sz w:val="22"/>
        </w:rPr>
        <w:t>：若资产核心属性（如风险权重、法律状态）发生重大变化，应评估是否需生成新编码并更新链上资产状态。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二、三十位GNACS编码逐位详解（不动产收益权场景）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总体结构</w:t>
      </w:r>
      <w:r>
        <w:rPr>
          <w:rFonts w:eastAsia="等线" w:ascii="Arial" w:cs="Arial" w:hAnsi="Arial"/>
          <w:sz w:val="22"/>
        </w:rPr>
        <w:t>：`[第1-6位][7-8][9-10][11-12][13-14][15-16][17-18][19-20][21-22][23-24][25-28][29-30]`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" w:id="2"/>
      <w:r>
        <w:rPr>
          <w:rFonts w:eastAsia="等线" w:ascii="Arial" w:cs="Arial" w:hAnsi="Arial"/>
          <w:b w:val="true"/>
          <w:sz w:val="30"/>
        </w:rPr>
        <w:t>第1-6位：物理属性 (基于HS编码衍生)</w:t>
      </w:r>
      <w:bookmarkEnd w:id="2"/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定义</w:t>
      </w:r>
      <w:r>
        <w:rPr>
          <w:rFonts w:eastAsia="等线" w:ascii="Arial" w:cs="Arial" w:hAnsi="Arial"/>
          <w:sz w:val="22"/>
        </w:rPr>
        <w:t>：资产的根本物理分类。对于不动产的</w:t>
      </w:r>
      <w:r>
        <w:rPr>
          <w:rFonts w:eastAsia="等线" w:ascii="Arial" w:cs="Arial" w:hAnsi="Arial"/>
          <w:b w:val="true"/>
          <w:sz w:val="22"/>
        </w:rPr>
        <w:t>收益权</w:t>
      </w:r>
      <w:r>
        <w:rPr>
          <w:rFonts w:eastAsia="等线" w:ascii="Arial" w:cs="Arial" w:hAnsi="Arial"/>
          <w:sz w:val="22"/>
        </w:rPr>
        <w:t>或</w:t>
      </w:r>
      <w:r>
        <w:rPr>
          <w:rFonts w:eastAsia="等线" w:ascii="Arial" w:cs="Arial" w:hAnsi="Arial"/>
          <w:b w:val="true"/>
          <w:sz w:val="22"/>
        </w:rPr>
        <w:t>权益凭证</w:t>
      </w:r>
      <w:r>
        <w:rPr>
          <w:rFonts w:eastAsia="等线" w:ascii="Arial" w:cs="Arial" w:hAnsi="Arial"/>
          <w:sz w:val="22"/>
        </w:rPr>
        <w:t>，其物理属性并非砖石水泥，而是其</w:t>
      </w:r>
      <w:r>
        <w:rPr>
          <w:rFonts w:eastAsia="等线" w:ascii="Arial" w:cs="Arial" w:hAnsi="Arial"/>
          <w:b w:val="true"/>
          <w:sz w:val="22"/>
        </w:rPr>
        <w:t>金融权利凭证</w:t>
      </w:r>
      <w:r>
        <w:rPr>
          <w:rFonts w:eastAsia="等线" w:ascii="Arial" w:cs="Arial" w:hAnsi="Arial"/>
          <w:sz w:val="22"/>
        </w:rPr>
        <w:t>的本质。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不动产典型取值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1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`980101`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（推荐标准取值）</w:t>
      </w:r>
      <w:r>
        <w:rPr>
          <w:rFonts w:eastAsia="等线" w:ascii="Arial" w:cs="Arial" w:hAnsi="Arial"/>
          <w:sz w:val="22"/>
        </w:rPr>
        <w:t xml:space="preserve"> 代表“股票-普通股”。在GNACS体系中，将此编码衍生用于代表“不动产所有权的等额分割权益”，即标准的所有权或收益权代币。</w:t>
      </w:r>
    </w:p>
    <w:p>
      <w:pPr>
        <w:numPr>
          <w:numId w:val="1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`980200`：代表“债券”。适用于以债权形式体现的、有固定到期日和利息的房地产抵押贷款支持票据。</w:t>
      </w:r>
    </w:p>
    <w:p>
      <w:pPr>
        <w:numPr>
          <w:numId w:val="1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`980400`：代表“衍生品”。适用于结构更复杂的房地产衍生权益。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填写依据</w:t>
      </w:r>
      <w:r>
        <w:rPr>
          <w:rFonts w:eastAsia="等线" w:ascii="Arial" w:cs="Arial" w:hAnsi="Arial"/>
          <w:sz w:val="22"/>
        </w:rPr>
        <w:t>：由</w:t>
      </w:r>
      <w:r>
        <w:rPr>
          <w:rFonts w:eastAsia="等线" w:ascii="Arial" w:cs="Arial" w:hAnsi="Arial"/>
          <w:b w:val="true"/>
          <w:sz w:val="22"/>
        </w:rPr>
        <w:t>法律合规方</w:t>
      </w:r>
      <w:r>
        <w:rPr>
          <w:rFonts w:eastAsia="等线" w:ascii="Arial" w:cs="Arial" w:hAnsi="Arial"/>
          <w:sz w:val="22"/>
        </w:rPr>
        <w:t>根据资产发行的法律结构（股权、债权、衍生品）确定。</w:t>
      </w:r>
      <w:r>
        <w:rPr>
          <w:rFonts w:eastAsia="等线" w:ascii="Arial" w:cs="Arial" w:hAnsi="Arial"/>
          <w:b w:val="true"/>
          <w:sz w:val="22"/>
        </w:rPr>
        <w:t>此为最关键的分类位，直接影响后续模板选择。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" w:id="3"/>
      <w:r>
        <w:rPr>
          <w:rFonts w:eastAsia="等线" w:ascii="Arial" w:cs="Arial" w:hAnsi="Arial"/>
          <w:b w:val="true"/>
          <w:sz w:val="30"/>
        </w:rPr>
        <w:t>第7-8位：金融风险 (基于巴塞尔协议III)</w:t>
      </w:r>
      <w:bookmarkEnd w:id="3"/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定义</w:t>
      </w:r>
      <w:r>
        <w:rPr>
          <w:rFonts w:eastAsia="等线" w:ascii="Arial" w:cs="Arial" w:hAnsi="Arial"/>
          <w:sz w:val="22"/>
        </w:rPr>
        <w:t>：资产的风险权重，决定资本占用和质押要求。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不动产典型取值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`12`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（商业房地产贷款标准风险权重）</w:t>
      </w:r>
      <w:r>
        <w:rPr>
          <w:rFonts w:eastAsia="等线" w:ascii="Arial" w:cs="Arial" w:hAnsi="Arial"/>
          <w:sz w:val="22"/>
        </w:rPr>
        <w:t xml:space="preserve"> 适用于大多数商业地产（写字楼、零售、酒店）的收益权。</w:t>
      </w:r>
    </w:p>
    <w:p>
      <w:pPr>
        <w:numPr>
          <w:numId w:val="1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`11`：</w:t>
      </w:r>
      <w:r>
        <w:rPr>
          <w:rFonts w:eastAsia="等线" w:ascii="Arial" w:cs="Arial" w:hAnsi="Arial"/>
          <w:b w:val="true"/>
          <w:sz w:val="22"/>
        </w:rPr>
        <w:t>（住宅房地产贷款风险权重）</w:t>
      </w:r>
      <w:r>
        <w:rPr>
          <w:rFonts w:eastAsia="等线" w:ascii="Arial" w:cs="Arial" w:hAnsi="Arial"/>
          <w:sz w:val="22"/>
        </w:rPr>
        <w:t xml:space="preserve"> 适用于住宅地产（如长租公寓）的收益权。</w:t>
      </w:r>
    </w:p>
    <w:p>
      <w:pPr>
        <w:numPr>
          <w:numId w:val="1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`04`/`05`/`06`：适用于有极高信用评级主体（如主权基金、AAA级企业）提供强增信的优先档证券化产品。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填写依据</w:t>
      </w:r>
      <w:r>
        <w:rPr>
          <w:rFonts w:eastAsia="等线" w:ascii="Arial" w:cs="Arial" w:hAnsi="Arial"/>
          <w:sz w:val="22"/>
        </w:rPr>
        <w:t>：由</w:t>
      </w:r>
      <w:r>
        <w:rPr>
          <w:rFonts w:eastAsia="等线" w:ascii="Arial" w:cs="Arial" w:hAnsi="Arial"/>
          <w:b w:val="true"/>
          <w:sz w:val="22"/>
        </w:rPr>
        <w:t>资产评估方</w:t>
      </w:r>
      <w:r>
        <w:rPr>
          <w:rFonts w:eastAsia="等线" w:ascii="Arial" w:cs="Arial" w:hAnsi="Arial"/>
          <w:sz w:val="22"/>
        </w:rPr>
        <w:t>或</w:t>
      </w:r>
      <w:r>
        <w:rPr>
          <w:rFonts w:eastAsia="等线" w:ascii="Arial" w:cs="Arial" w:hAnsi="Arial"/>
          <w:b w:val="true"/>
          <w:sz w:val="22"/>
        </w:rPr>
        <w:t>金融顾问</w:t>
      </w:r>
      <w:r>
        <w:rPr>
          <w:rFonts w:eastAsia="等线" w:ascii="Arial" w:cs="Arial" w:hAnsi="Arial"/>
          <w:sz w:val="22"/>
        </w:rPr>
        <w:t>参照巴塞尔协议III对“专业化贷款（房地产）”的风险权重规定，结合项目具体区位、空置率、租户信用等因素给出建议值。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" w:id="4"/>
      <w:r>
        <w:rPr>
          <w:rFonts w:eastAsia="等线" w:ascii="Arial" w:cs="Arial" w:hAnsi="Arial"/>
          <w:b w:val="true"/>
          <w:sz w:val="30"/>
        </w:rPr>
        <w:t>第9-10位：会计属性 (基于IFRS)</w:t>
      </w:r>
      <w:bookmarkEnd w:id="4"/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定义</w:t>
      </w:r>
      <w:r>
        <w:rPr>
          <w:rFonts w:eastAsia="等线" w:ascii="Arial" w:cs="Arial" w:hAnsi="Arial"/>
          <w:sz w:val="22"/>
        </w:rPr>
        <w:t>：资产在财务报表中的分类。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不动产典型取值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`01`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（金融资产）</w:t>
      </w:r>
      <w:r>
        <w:rPr>
          <w:rFonts w:eastAsia="等线" w:ascii="Arial" w:cs="Arial" w:hAnsi="Arial"/>
          <w:sz w:val="22"/>
        </w:rPr>
        <w:t xml:space="preserve"> 如果投资者持有的代币代表一项收取现金（租金）的合同权利，通常分类为以摊余成本计量或以公允价值计量的金融资产（IFRS 9）。</w:t>
      </w:r>
    </w:p>
    <w:p>
      <w:pPr>
        <w:numPr>
          <w:numId w:val="2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`02`：</w:t>
      </w:r>
      <w:r>
        <w:rPr>
          <w:rFonts w:eastAsia="等线" w:ascii="Arial" w:cs="Arial" w:hAnsi="Arial"/>
          <w:b w:val="true"/>
          <w:sz w:val="22"/>
        </w:rPr>
        <w:t>（固定资产）</w:t>
      </w:r>
      <w:r>
        <w:rPr>
          <w:rFonts w:eastAsia="等线" w:ascii="Arial" w:cs="Arial" w:hAnsi="Arial"/>
          <w:sz w:val="22"/>
        </w:rPr>
        <w:t>仅适用于将物理房产本身（而非其收益权）整体上链并确认为投资性房地产的情况。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填写依据</w:t>
      </w:r>
      <w:r>
        <w:rPr>
          <w:rFonts w:eastAsia="等线" w:ascii="Arial" w:cs="Arial" w:hAnsi="Arial"/>
          <w:sz w:val="22"/>
        </w:rPr>
        <w:t>：由</w:t>
      </w:r>
      <w:r>
        <w:rPr>
          <w:rFonts w:eastAsia="等线" w:ascii="Arial" w:cs="Arial" w:hAnsi="Arial"/>
          <w:b w:val="true"/>
          <w:sz w:val="22"/>
        </w:rPr>
        <w:t>审计机构</w:t>
      </w:r>
      <w:r>
        <w:rPr>
          <w:rFonts w:eastAsia="等线" w:ascii="Arial" w:cs="Arial" w:hAnsi="Arial"/>
          <w:sz w:val="22"/>
        </w:rPr>
        <w:t>或</w:t>
      </w:r>
      <w:r>
        <w:rPr>
          <w:rFonts w:eastAsia="等线" w:ascii="Arial" w:cs="Arial" w:hAnsi="Arial"/>
          <w:b w:val="true"/>
          <w:sz w:val="22"/>
        </w:rPr>
        <w:t>财务顾问</w:t>
      </w:r>
      <w:r>
        <w:rPr>
          <w:rFonts w:eastAsia="等线" w:ascii="Arial" w:cs="Arial" w:hAnsi="Arial"/>
          <w:sz w:val="22"/>
        </w:rPr>
        <w:t>根据代币的经济实质和法律形式确定。绝大多数收益权代币适用`01`。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第11-12位：监管合规 (基于FATF)</w:t>
      </w:r>
      <w:bookmarkEnd w:id="5"/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定义</w:t>
      </w:r>
      <w:r>
        <w:rPr>
          <w:rFonts w:eastAsia="等线" w:ascii="Arial" w:cs="Arial" w:hAnsi="Arial"/>
          <w:sz w:val="22"/>
        </w:rPr>
        <w:t>：反洗钱/反恐融资合规等级。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不动产典型取值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`01`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（完全合规）</w:t>
      </w:r>
      <w:r>
        <w:rPr>
          <w:rFonts w:eastAsia="等线" w:ascii="Arial" w:cs="Arial" w:hAnsi="Arial"/>
          <w:sz w:val="22"/>
        </w:rPr>
        <w:t xml:space="preserve"> 项目仅面向FATF完全合规司法辖区（白名单）的、已完成严格KYC/AML验证的合格投资者。</w:t>
      </w:r>
    </w:p>
    <w:p>
      <w:pPr>
        <w:numPr>
          <w:numId w:val="2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`02`：</w:t>
      </w:r>
      <w:r>
        <w:rPr>
          <w:rFonts w:eastAsia="等线" w:ascii="Arial" w:cs="Arial" w:hAnsi="Arial"/>
          <w:b w:val="true"/>
          <w:sz w:val="22"/>
        </w:rPr>
        <w:t>（基本合规）</w:t>
      </w:r>
      <w:r>
        <w:rPr>
          <w:rFonts w:eastAsia="等线" w:ascii="Arial" w:cs="Arial" w:hAnsi="Arial"/>
          <w:sz w:val="22"/>
        </w:rPr>
        <w:t xml:space="preserve"> 项目面向多个司法辖区，大部分满足合规要求。</w:t>
      </w:r>
    </w:p>
    <w:p>
      <w:pPr>
        <w:numPr>
          <w:numId w:val="2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`05`：</w:t>
      </w:r>
      <w:r>
        <w:rPr>
          <w:rFonts w:eastAsia="等线" w:ascii="Arial" w:cs="Arial" w:hAnsi="Arial"/>
          <w:b w:val="true"/>
          <w:sz w:val="22"/>
        </w:rPr>
        <w:t>（高风险）</w:t>
      </w:r>
      <w:r>
        <w:rPr>
          <w:rFonts w:eastAsia="等线" w:ascii="Arial" w:cs="Arial" w:hAnsi="Arial"/>
          <w:sz w:val="22"/>
        </w:rPr>
        <w:t xml:space="preserve"> 涉及FATF黑/灰名单地区。</w:t>
      </w:r>
      <w:r>
        <w:rPr>
          <w:rFonts w:eastAsia="等线" w:ascii="Arial" w:cs="Arial" w:hAnsi="Arial"/>
          <w:b w:val="true"/>
          <w:sz w:val="22"/>
        </w:rPr>
        <w:t>应禁止上链。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填写依据</w:t>
      </w:r>
      <w:r>
        <w:rPr>
          <w:rFonts w:eastAsia="等线" w:ascii="Arial" w:cs="Arial" w:hAnsi="Arial"/>
          <w:sz w:val="22"/>
        </w:rPr>
        <w:t>：由</w:t>
      </w:r>
      <w:r>
        <w:rPr>
          <w:rFonts w:eastAsia="等线" w:ascii="Arial" w:cs="Arial" w:hAnsi="Arial"/>
          <w:b w:val="true"/>
          <w:sz w:val="22"/>
        </w:rPr>
        <w:t>法律合规方</w:t>
      </w:r>
      <w:r>
        <w:rPr>
          <w:rFonts w:eastAsia="等线" w:ascii="Arial" w:cs="Arial" w:hAnsi="Arial"/>
          <w:sz w:val="22"/>
        </w:rPr>
        <w:t>根据投资者来源地的FATF互评估报告及项目的实际KYC/AML措施严格判定。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第13-14位：流动性</w:t>
      </w:r>
      <w:bookmarkEnd w:id="6"/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定义</w:t>
      </w:r>
      <w:r>
        <w:rPr>
          <w:rFonts w:eastAsia="等线" w:ascii="Arial" w:cs="Arial" w:hAnsi="Arial"/>
          <w:sz w:val="22"/>
        </w:rPr>
        <w:t>：资产在二级市场的交易便利程度。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不动产典型取值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3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`04`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（场外市场）</w:t>
      </w:r>
      <w:r>
        <w:rPr>
          <w:rFonts w:eastAsia="等线" w:ascii="Arial" w:cs="Arial" w:hAnsi="Arial"/>
          <w:sz w:val="22"/>
        </w:rPr>
        <w:t xml:space="preserve"> 初期项目，流动性有限，交易需协议转让或通过许可的交易平台进行。</w:t>
      </w:r>
    </w:p>
    <w:p>
      <w:pPr>
        <w:numPr>
          <w:numId w:val="3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`03`：</w:t>
      </w:r>
      <w:r>
        <w:rPr>
          <w:rFonts w:eastAsia="等线" w:ascii="Arial" w:cs="Arial" w:hAnsi="Arial"/>
          <w:b w:val="true"/>
          <w:sz w:val="22"/>
        </w:rPr>
        <w:t>（新兴市场）</w:t>
      </w:r>
      <w:r>
        <w:rPr>
          <w:rFonts w:eastAsia="等线" w:ascii="Arial" w:cs="Arial" w:hAnsi="Arial"/>
          <w:sz w:val="22"/>
        </w:rPr>
        <w:t xml:space="preserve"> 在特定区域性或专业性的数字资产交易平台上有挂牌。</w:t>
      </w:r>
    </w:p>
    <w:p>
      <w:pPr>
        <w:numPr>
          <w:numId w:val="3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`02`/`01`：在获得相关牌照、面向广大公众后，未来可能达到的流动性等级。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填写依据</w:t>
      </w:r>
      <w:r>
        <w:rPr>
          <w:rFonts w:eastAsia="等线" w:ascii="Arial" w:cs="Arial" w:hAnsi="Arial"/>
          <w:sz w:val="22"/>
        </w:rPr>
        <w:t>：由</w:t>
      </w:r>
      <w:r>
        <w:rPr>
          <w:rFonts w:eastAsia="等线" w:ascii="Arial" w:cs="Arial" w:hAnsi="Arial"/>
          <w:b w:val="true"/>
          <w:sz w:val="22"/>
        </w:rPr>
        <w:t>资产发起方</w:t>
      </w:r>
      <w:r>
        <w:rPr>
          <w:rFonts w:eastAsia="等线" w:ascii="Arial" w:cs="Arial" w:hAnsi="Arial"/>
          <w:sz w:val="22"/>
        </w:rPr>
        <w:t>根据代币的发行方式、转让限制条款及计划中的交易场所确定。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第15-16位：技术实现</w:t>
      </w:r>
      <w:bookmarkEnd w:id="7"/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定义</w:t>
      </w:r>
      <w:r>
        <w:rPr>
          <w:rFonts w:eastAsia="等线" w:ascii="Arial" w:cs="Arial" w:hAnsi="Arial"/>
          <w:sz w:val="22"/>
        </w:rPr>
        <w:t>：资产在NAC公链上的技术协议标准。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不动产典型取值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3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`01`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（ACC-20协议原生实现）</w:t>
      </w:r>
      <w:r>
        <w:rPr>
          <w:rFonts w:eastAsia="等线" w:ascii="Arial" w:cs="Arial" w:hAnsi="Arial"/>
          <w:sz w:val="22"/>
        </w:rPr>
        <w:t xml:space="preserve"> 代表同质化、可分割的收益权代币标准。</w:t>
      </w:r>
    </w:p>
    <w:p>
      <w:pPr>
        <w:numPr>
          <w:numId w:val="4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`02`：</w:t>
      </w:r>
      <w:r>
        <w:rPr>
          <w:rFonts w:eastAsia="等线" w:ascii="Arial" w:cs="Arial" w:hAnsi="Arial"/>
          <w:b w:val="true"/>
          <w:sz w:val="22"/>
        </w:rPr>
        <w:t>（ACC-721协议原生实现）</w:t>
      </w:r>
      <w:r>
        <w:rPr>
          <w:rFonts w:eastAsia="等线" w:ascii="Arial" w:cs="Arial" w:hAnsi="Arial"/>
          <w:sz w:val="22"/>
        </w:rPr>
        <w:t xml:space="preserve"> 代表不可分割的、独一无二的整体产权NFT（适用于单个物业整体出售或特殊资产）。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填写依据</w:t>
      </w:r>
      <w:r>
        <w:rPr>
          <w:rFonts w:eastAsia="等线" w:ascii="Arial" w:cs="Arial" w:hAnsi="Arial"/>
          <w:sz w:val="22"/>
        </w:rPr>
        <w:t>：由</w:t>
      </w:r>
      <w:r>
        <w:rPr>
          <w:rFonts w:eastAsia="等线" w:ascii="Arial" w:cs="Arial" w:hAnsi="Arial"/>
          <w:b w:val="true"/>
          <w:sz w:val="22"/>
        </w:rPr>
        <w:t>技术实施方</w:t>
      </w:r>
      <w:r>
        <w:rPr>
          <w:rFonts w:eastAsia="等线" w:ascii="Arial" w:cs="Arial" w:hAnsi="Arial"/>
          <w:sz w:val="22"/>
        </w:rPr>
        <w:t>根据资产是否可分割（按份额）来确定。收益权代币化</w:t>
      </w:r>
      <w:r>
        <w:rPr>
          <w:rFonts w:eastAsia="等线" w:ascii="Arial" w:cs="Arial" w:hAnsi="Arial"/>
          <w:b w:val="true"/>
          <w:sz w:val="22"/>
        </w:rPr>
        <w:t>通常选择`01`</w:t>
      </w:r>
      <w:r>
        <w:rPr>
          <w:rFonts w:eastAsia="等线" w:ascii="Arial" w:cs="Arial" w:hAnsi="Arial"/>
          <w:sz w:val="22"/>
        </w:rPr>
        <w:t>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第17-18位：主权法律</w:t>
      </w:r>
      <w:bookmarkEnd w:id="8"/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定义</w:t>
      </w:r>
      <w:r>
        <w:rPr>
          <w:rFonts w:eastAsia="等线" w:ascii="Arial" w:cs="Arial" w:hAnsi="Arial"/>
          <w:sz w:val="22"/>
        </w:rPr>
        <w:t>：资产所依据的核心司法管辖区。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填写依据</w:t>
      </w:r>
      <w:r>
        <w:rPr>
          <w:rFonts w:eastAsia="等线" w:ascii="Arial" w:cs="Arial" w:hAnsi="Arial"/>
          <w:sz w:val="22"/>
        </w:rPr>
        <w:t>：由</w:t>
      </w:r>
      <w:r>
        <w:rPr>
          <w:rFonts w:eastAsia="等线" w:ascii="Arial" w:cs="Arial" w:hAnsi="Arial"/>
          <w:b w:val="true"/>
          <w:sz w:val="22"/>
        </w:rPr>
        <w:t>法律合规方</w:t>
      </w:r>
      <w:r>
        <w:rPr>
          <w:rFonts w:eastAsia="等线" w:ascii="Arial" w:cs="Arial" w:hAnsi="Arial"/>
          <w:sz w:val="22"/>
        </w:rPr>
        <w:t>根据《资产服务协议》或《代币发行说明书》中明确规定的“法律适用”和“争议解决”条款填写。例如：</w:t>
        <w:br/>
        <w:t xml:space="preserve">        </w:t>
      </w:r>
    </w:p>
    <w:p>
      <w:pPr>
        <w:numPr>
          <w:numId w:val="4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`01`: 美国法系 (纽约法)</w:t>
      </w:r>
    </w:p>
    <w:p>
      <w:pPr>
        <w:numPr>
          <w:numId w:val="4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`02`: 英国法系 (英格兰法)</w:t>
      </w:r>
    </w:p>
    <w:p>
      <w:pPr>
        <w:numPr>
          <w:numId w:val="4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`03`: 大陆法系 (新加坡法)</w:t>
      </w:r>
    </w:p>
    <w:p>
      <w:pPr>
        <w:numPr>
          <w:numId w:val="4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`04`: 大陆法系 (香港法)</w:t>
      </w:r>
    </w:p>
    <w:p>
      <w:pPr>
        <w:numPr>
          <w:numId w:val="4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... (根据GNACS附录中的法律体系表)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9" w:id="9"/>
      <w:r>
        <w:rPr>
          <w:rFonts w:eastAsia="等线" w:ascii="Arial" w:cs="Arial" w:hAnsi="Arial"/>
          <w:b w:val="true"/>
          <w:sz w:val="30"/>
        </w:rPr>
        <w:t>第19-20位：ESG属性</w:t>
      </w:r>
      <w:bookmarkEnd w:id="9"/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定义</w:t>
      </w:r>
      <w:r>
        <w:rPr>
          <w:rFonts w:eastAsia="等线" w:ascii="Arial" w:cs="Arial" w:hAnsi="Arial"/>
          <w:sz w:val="22"/>
        </w:rPr>
        <w:t>：资产的环境、社会和治理绩效。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不动产典型取值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5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`01`: </w:t>
      </w:r>
      <w:r>
        <w:rPr>
          <w:rFonts w:eastAsia="等线" w:ascii="Arial" w:cs="Arial" w:hAnsi="Arial"/>
          <w:b w:val="true"/>
          <w:sz w:val="22"/>
        </w:rPr>
        <w:t>（碳负排放项目）</w:t>
      </w:r>
      <w:r>
        <w:rPr>
          <w:rFonts w:eastAsia="等线" w:ascii="Arial" w:cs="Arial" w:hAnsi="Arial"/>
          <w:sz w:val="22"/>
        </w:rPr>
        <w:t xml:space="preserve"> 获得LEED铂金级、净零能耗认证的绿色建筑。</w:t>
      </w:r>
    </w:p>
    <w:p>
      <w:pPr>
        <w:numPr>
          <w:numId w:val="5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`02`: </w:t>
      </w:r>
      <w:r>
        <w:rPr>
          <w:rFonts w:eastAsia="等线" w:ascii="Arial" w:cs="Arial" w:hAnsi="Arial"/>
          <w:b w:val="true"/>
          <w:sz w:val="22"/>
        </w:rPr>
        <w:t>（绿色能源项目）</w:t>
      </w:r>
      <w:r>
        <w:rPr>
          <w:rFonts w:eastAsia="等线" w:ascii="Arial" w:cs="Arial" w:hAnsi="Arial"/>
          <w:sz w:val="22"/>
        </w:rPr>
        <w:t xml:space="preserve"> 安装了大规模太阳能板、地源热泵的物业。</w:t>
      </w:r>
    </w:p>
    <w:p>
      <w:pPr>
        <w:numPr>
          <w:numId w:val="5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`03`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（中性项目）</w:t>
      </w:r>
      <w:r>
        <w:rPr>
          <w:rFonts w:eastAsia="等线" w:ascii="Arial" w:cs="Arial" w:hAnsi="Arial"/>
          <w:sz w:val="22"/>
        </w:rPr>
        <w:t xml:space="preserve"> 大多数普通商业建筑，无突出ESG特征也无负面记录。</w:t>
      </w:r>
    </w:p>
    <w:p>
      <w:pPr>
        <w:numPr>
          <w:numId w:val="5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`04`: </w:t>
      </w:r>
      <w:r>
        <w:rPr>
          <w:rFonts w:eastAsia="等线" w:ascii="Arial" w:cs="Arial" w:hAnsi="Arial"/>
          <w:b w:val="true"/>
          <w:sz w:val="22"/>
        </w:rPr>
        <w:t>（高碳排放行业）</w:t>
      </w:r>
      <w:r>
        <w:rPr>
          <w:rFonts w:eastAsia="等线" w:ascii="Arial" w:cs="Arial" w:hAnsi="Arial"/>
          <w:sz w:val="22"/>
        </w:rPr>
        <w:t xml:space="preserve"> 高能耗数据中心、传统购物中心等。</w:t>
      </w:r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填写依据</w:t>
      </w:r>
      <w:r>
        <w:rPr>
          <w:rFonts w:eastAsia="等线" w:ascii="Arial" w:cs="Arial" w:hAnsi="Arial"/>
          <w:sz w:val="22"/>
        </w:rPr>
        <w:t>：由</w:t>
      </w:r>
      <w:r>
        <w:rPr>
          <w:rFonts w:eastAsia="等线" w:ascii="Arial" w:cs="Arial" w:hAnsi="Arial"/>
          <w:b w:val="true"/>
          <w:sz w:val="22"/>
        </w:rPr>
        <w:t>资产评估方</w:t>
      </w:r>
      <w:r>
        <w:rPr>
          <w:rFonts w:eastAsia="等线" w:ascii="Arial" w:cs="Arial" w:hAnsi="Arial"/>
          <w:sz w:val="22"/>
        </w:rPr>
        <w:t>或</w:t>
      </w:r>
      <w:r>
        <w:rPr>
          <w:rFonts w:eastAsia="等线" w:ascii="Arial" w:cs="Arial" w:hAnsi="Arial"/>
          <w:b w:val="true"/>
          <w:sz w:val="22"/>
        </w:rPr>
        <w:t>ESG顾问</w:t>
      </w:r>
      <w:r>
        <w:rPr>
          <w:rFonts w:eastAsia="等线" w:ascii="Arial" w:cs="Arial" w:hAnsi="Arial"/>
          <w:sz w:val="22"/>
        </w:rPr>
        <w:t>参考GRESB、LEED等国际评级出具评估意见。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第21-22位：时间属性</w:t>
      </w:r>
      <w:bookmarkEnd w:id="10"/>
    </w:p>
    <w:p>
      <w:pPr>
        <w:numPr>
          <w:numId w:val="5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定义</w:t>
      </w:r>
      <w:r>
        <w:rPr>
          <w:rFonts w:eastAsia="等线" w:ascii="Arial" w:cs="Arial" w:hAnsi="Arial"/>
          <w:sz w:val="22"/>
        </w:rPr>
        <w:t>：资产权益的有效期限。</w:t>
      </w:r>
    </w:p>
    <w:p>
      <w:pPr>
        <w:numPr>
          <w:numId w:val="5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不动产（收益权）典型取值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5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`04`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（短期资产）</w:t>
      </w:r>
      <w:r>
        <w:rPr>
          <w:rFonts w:eastAsia="等线" w:ascii="Arial" w:cs="Arial" w:hAnsi="Arial"/>
          <w:sz w:val="22"/>
        </w:rPr>
        <w:t xml:space="preserve"> 收益权期限少于1年。</w:t>
      </w:r>
    </w:p>
    <w:p>
      <w:pPr>
        <w:numPr>
          <w:numId w:val="5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`03`：</w:t>
      </w:r>
      <w:r>
        <w:rPr>
          <w:rFonts w:eastAsia="等线" w:ascii="Arial" w:cs="Arial" w:hAnsi="Arial"/>
          <w:b w:val="true"/>
          <w:sz w:val="22"/>
        </w:rPr>
        <w:t>（中期资产）</w:t>
      </w:r>
      <w:r>
        <w:rPr>
          <w:rFonts w:eastAsia="等线" w:ascii="Arial" w:cs="Arial" w:hAnsi="Arial"/>
          <w:sz w:val="22"/>
        </w:rPr>
        <w:t xml:space="preserve"> 收益权期限1-5年。</w:t>
      </w:r>
    </w:p>
    <w:p>
      <w:pPr>
        <w:numPr>
          <w:numId w:val="6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`02`：</w:t>
      </w:r>
      <w:r>
        <w:rPr>
          <w:rFonts w:eastAsia="等线" w:ascii="Arial" w:cs="Arial" w:hAnsi="Arial"/>
          <w:b w:val="true"/>
          <w:sz w:val="22"/>
        </w:rPr>
        <w:t>（长期资产）</w:t>
      </w:r>
      <w:r>
        <w:rPr>
          <w:rFonts w:eastAsia="等线" w:ascii="Arial" w:cs="Arial" w:hAnsi="Arial"/>
          <w:sz w:val="22"/>
        </w:rPr>
        <w:t xml:space="preserve"> 收益权期限5年以上。</w:t>
      </w:r>
    </w:p>
    <w:p>
      <w:pPr>
        <w:numPr>
          <w:numId w:val="6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`01`：</w:t>
      </w:r>
      <w:r>
        <w:rPr>
          <w:rFonts w:eastAsia="等线" w:ascii="Arial" w:cs="Arial" w:hAnsi="Arial"/>
          <w:b w:val="true"/>
          <w:sz w:val="22"/>
        </w:rPr>
        <w:t>（永久资产）</w:t>
      </w:r>
      <w:r>
        <w:rPr>
          <w:rFonts w:eastAsia="等线" w:ascii="Arial" w:cs="Arial" w:hAnsi="Arial"/>
          <w:sz w:val="22"/>
        </w:rPr>
        <w:t xml:space="preserve"> 仅适用于代表永久产权的所有权代币（非收益权）。</w:t>
      </w:r>
    </w:p>
    <w:p>
      <w:pPr>
        <w:numPr>
          <w:numId w:val="6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填写依据</w:t>
      </w:r>
      <w:r>
        <w:rPr>
          <w:rFonts w:eastAsia="等线" w:ascii="Arial" w:cs="Arial" w:hAnsi="Arial"/>
          <w:sz w:val="22"/>
        </w:rPr>
        <w:t>：根据《租赁合同》或《收益权转让协议》中明确的</w:t>
      </w:r>
      <w:r>
        <w:rPr>
          <w:rFonts w:eastAsia="等线" w:ascii="Arial" w:cs="Arial" w:hAnsi="Arial"/>
          <w:b w:val="true"/>
          <w:sz w:val="22"/>
        </w:rPr>
        <w:t>收益权期限</w:t>
      </w:r>
      <w:r>
        <w:rPr>
          <w:rFonts w:eastAsia="等线" w:ascii="Arial" w:cs="Arial" w:hAnsi="Arial"/>
          <w:sz w:val="22"/>
        </w:rPr>
        <w:t>填写。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第23-24位：衍生品</w:t>
      </w:r>
      <w:bookmarkEnd w:id="11"/>
    </w:p>
    <w:p>
      <w:pPr>
        <w:numPr>
          <w:numId w:val="6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定义</w:t>
      </w:r>
      <w:r>
        <w:rPr>
          <w:rFonts w:eastAsia="等线" w:ascii="Arial" w:cs="Arial" w:hAnsi="Arial"/>
          <w:sz w:val="22"/>
        </w:rPr>
        <w:t>：资产是否具有衍生品属性。</w:t>
      </w:r>
    </w:p>
    <w:p>
      <w:pPr>
        <w:numPr>
          <w:numId w:val="6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不动产典型取值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6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`01`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（无衍生品）</w:t>
      </w:r>
      <w:r>
        <w:rPr>
          <w:rFonts w:eastAsia="等线" w:ascii="Arial" w:cs="Arial" w:hAnsi="Arial"/>
          <w:sz w:val="22"/>
        </w:rPr>
        <w:t>基础的租金收益权。</w:t>
      </w:r>
    </w:p>
    <w:p>
      <w:pPr>
        <w:numPr>
          <w:numId w:val="6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`02`-`05`：如果收益权与利率、通胀指数、房价指数等挂钩，则根据其衍生品类型（期货、期权、互换、结构化产品）选择相应编码。</w:t>
      </w:r>
    </w:p>
    <w:p>
      <w:pPr>
        <w:numPr>
          <w:numId w:val="6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填写依据</w:t>
      </w:r>
      <w:r>
        <w:rPr>
          <w:rFonts w:eastAsia="等线" w:ascii="Arial" w:cs="Arial" w:hAnsi="Arial"/>
          <w:sz w:val="22"/>
        </w:rPr>
        <w:t>：由</w:t>
      </w:r>
      <w:r>
        <w:rPr>
          <w:rFonts w:eastAsia="等线" w:ascii="Arial" w:cs="Arial" w:hAnsi="Arial"/>
          <w:b w:val="true"/>
          <w:sz w:val="22"/>
        </w:rPr>
        <w:t>金融顾问</w:t>
      </w:r>
      <w:r>
        <w:rPr>
          <w:rFonts w:eastAsia="等线" w:ascii="Arial" w:cs="Arial" w:hAnsi="Arial"/>
          <w:sz w:val="22"/>
        </w:rPr>
        <w:t>根据收益权结构的复杂程度判断。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第25-28位：物流维度</w:t>
      </w:r>
      <w:bookmarkEnd w:id="12"/>
    </w:p>
    <w:p>
      <w:pPr>
        <w:numPr>
          <w:numId w:val="6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定义</w:t>
      </w:r>
      <w:r>
        <w:rPr>
          <w:rFonts w:eastAsia="等线" w:ascii="Arial" w:cs="Arial" w:hAnsi="Arial"/>
          <w:sz w:val="22"/>
        </w:rPr>
        <w:t>：资产的物理物流属性。</w:t>
      </w:r>
    </w:p>
    <w:p>
      <w:pPr>
        <w:numPr>
          <w:numId w:val="6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不动产典型取值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7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`NNNN`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（不适用）</w:t>
      </w:r>
      <w:r>
        <w:rPr>
          <w:rFonts w:eastAsia="等线" w:ascii="Arial" w:cs="Arial" w:hAnsi="Arial"/>
          <w:sz w:val="22"/>
        </w:rPr>
        <w:t xml:space="preserve"> 对于纯粹的</w:t>
      </w:r>
      <w:r>
        <w:rPr>
          <w:rFonts w:eastAsia="等线" w:ascii="Arial" w:cs="Arial" w:hAnsi="Arial"/>
          <w:b w:val="true"/>
          <w:sz w:val="22"/>
        </w:rPr>
        <w:t>金融权益（收益权）</w:t>
      </w:r>
      <w:r>
        <w:rPr>
          <w:rFonts w:eastAsia="等线" w:ascii="Arial" w:cs="Arial" w:hAnsi="Arial"/>
          <w:sz w:val="22"/>
        </w:rPr>
        <w:t>，无物流需求，</w:t>
      </w:r>
      <w:r>
        <w:rPr>
          <w:rFonts w:eastAsia="等线" w:ascii="Arial" w:cs="Arial" w:hAnsi="Arial"/>
          <w:b w:val="true"/>
          <w:sz w:val="22"/>
        </w:rPr>
        <w:t>必须填写`NNNN`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7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`B001`-`B999`：如果上链资产涉及</w:t>
      </w:r>
      <w:r>
        <w:rPr>
          <w:rFonts w:eastAsia="等线" w:ascii="Arial" w:cs="Arial" w:hAnsi="Arial"/>
          <w:b w:val="true"/>
          <w:sz w:val="22"/>
        </w:rPr>
        <w:t>大型预制建筑构件</w:t>
      </w:r>
      <w:r>
        <w:rPr>
          <w:rFonts w:eastAsia="等线" w:ascii="Arial" w:cs="Arial" w:hAnsi="Arial"/>
          <w:sz w:val="22"/>
        </w:rPr>
        <w:t>的产权和物流跟踪，则需按实际情况填写。</w:t>
      </w:r>
    </w:p>
    <w:p>
      <w:pPr>
        <w:numPr>
          <w:numId w:val="7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填写依据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技术实施方</w:t>
      </w:r>
      <w:r>
        <w:rPr>
          <w:rFonts w:eastAsia="等线" w:ascii="Arial" w:cs="Arial" w:hAnsi="Arial"/>
          <w:sz w:val="22"/>
        </w:rPr>
        <w:t>根据“条件编码规则”自动处理：当第1-6位为`980XXX`（金融资产）时，系统强制此字段为`NNNN`。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第29-30位：效率维度</w:t>
      </w:r>
      <w:bookmarkEnd w:id="13"/>
    </w:p>
    <w:p>
      <w:pPr>
        <w:numPr>
          <w:numId w:val="7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定义</w:t>
      </w:r>
      <w:r>
        <w:rPr>
          <w:rFonts w:eastAsia="等线" w:ascii="Arial" w:cs="Arial" w:hAnsi="Arial"/>
          <w:sz w:val="22"/>
        </w:rPr>
        <w:t>：资产运营或交易的效率评级。</w:t>
      </w:r>
    </w:p>
    <w:p>
      <w:pPr>
        <w:numPr>
          <w:numId w:val="7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不动产典型取值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7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`01`-`03`：根据物业的净运营收入（NOI）与资本化率的比率，或交易平台的撮合效率进行评估。初期可设为`03`（中等效率）。</w:t>
      </w:r>
    </w:p>
    <w:p>
      <w:pPr>
        <w:numPr>
          <w:numId w:val="7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填写依据</w:t>
      </w:r>
      <w:r>
        <w:rPr>
          <w:rFonts w:eastAsia="等线" w:ascii="Arial" w:cs="Arial" w:hAnsi="Arial"/>
          <w:sz w:val="22"/>
        </w:rPr>
        <w:t>：由</w:t>
      </w:r>
      <w:r>
        <w:rPr>
          <w:rFonts w:eastAsia="等线" w:ascii="Arial" w:cs="Arial" w:hAnsi="Arial"/>
          <w:b w:val="true"/>
          <w:sz w:val="22"/>
        </w:rPr>
        <w:t>资产管理方</w:t>
      </w:r>
      <w:r>
        <w:rPr>
          <w:rFonts w:eastAsia="等线" w:ascii="Arial" w:cs="Arial" w:hAnsi="Arial"/>
          <w:sz w:val="22"/>
        </w:rPr>
        <w:t>提供运营数据，或由</w:t>
      </w:r>
      <w:r>
        <w:rPr>
          <w:rFonts w:eastAsia="等线" w:ascii="Arial" w:cs="Arial" w:hAnsi="Arial"/>
          <w:b w:val="true"/>
          <w:sz w:val="22"/>
        </w:rPr>
        <w:t>技术实施方</w:t>
      </w:r>
      <w:r>
        <w:rPr>
          <w:rFonts w:eastAsia="等线" w:ascii="Arial" w:cs="Arial" w:hAnsi="Arial"/>
          <w:sz w:val="22"/>
        </w:rPr>
        <w:t>根据历史链上交易数据（如买卖价差、成交速度）计算得出。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三、填写示例：某上海甲级写字楼3年租金收益权</w:t>
      </w:r>
      <w:bookmarkEnd w:id="1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位数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取值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解释与依据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物理属性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1-6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`980101`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法律结构为收益权凭证，类比股票。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金融风险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7-8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`12</w:t>
            </w:r>
            <w:r>
              <w:rPr>
                <w:rFonts w:eastAsia="等线" w:ascii="Arial" w:cs="Arial" w:hAnsi="Arial"/>
                <w:sz w:val="22"/>
              </w:rPr>
              <w:t>`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商业房地产贷款，标准风险权重100</w:t>
            </w:r>
            <w:r>
              <w:rPr>
                <w:rFonts w:eastAsia="等线" w:ascii="Arial" w:cs="Arial" w:hAnsi="Arial"/>
                <w:sz w:val="22"/>
              </w:rPr>
              <w:t>%。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会计属性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9-10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`01`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收取租金的合同权利，属于</w:t>
            </w:r>
            <w:r>
              <w:rPr>
                <w:rFonts w:eastAsia="等线" w:ascii="Arial" w:cs="Arial" w:hAnsi="Arial"/>
                <w:sz w:val="22"/>
              </w:rPr>
              <w:t>金融资产。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监管合规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11-12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`01`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仅面向中国内地及新加坡合格投资者，两地FATF评级合规。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流动性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13-14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`04`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初期在许可的OTC平台交易。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技术实现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15-16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`01`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采用NAC ACC-20同质化代币标准。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主权法律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17-18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`03`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法律文件</w:t>
            </w:r>
            <w:r>
              <w:rPr>
                <w:rFonts w:eastAsia="等线" w:ascii="Arial" w:cs="Arial" w:hAnsi="Arial"/>
                <w:sz w:val="22"/>
              </w:rPr>
              <w:t>约定适用新加坡法律。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ESG属性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19-20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`03`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建筑获得LEED金级认证，属中性偏绿。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时间属性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21-22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`03`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收益权期限为3年，属中期</w:t>
            </w:r>
            <w:r>
              <w:rPr>
                <w:rFonts w:eastAsia="等线" w:ascii="Arial" w:cs="Arial" w:hAnsi="Arial"/>
                <w:sz w:val="22"/>
              </w:rPr>
              <w:t>资产。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衍生品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23-24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`01`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固定</w:t>
            </w:r>
            <w:r>
              <w:rPr>
                <w:rFonts w:eastAsia="等线" w:ascii="Arial" w:cs="Arial" w:hAnsi="Arial"/>
                <w:sz w:val="22"/>
              </w:rPr>
              <w:t>租金，无衍生结构。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物流维度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25-28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`NNNN`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收益权资产，不适用。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效率维度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29-30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`0</w:t>
            </w:r>
            <w:r>
              <w:rPr>
                <w:rFonts w:eastAsia="等线" w:ascii="Arial" w:cs="Arial" w:hAnsi="Arial"/>
                <w:sz w:val="22"/>
              </w:rPr>
              <w:t>3`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首次发行，预设为中等效率。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完整GNACS编码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`980101120101040103030301NNNN03`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此30位编码将硬编码至智能合约中。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附：填写校验清单</w:t>
      </w:r>
      <w:bookmarkEnd w:id="15"/>
    </w:p>
    <w:p>
      <w:pPr>
        <w:numPr>
          <w:numId w:val="7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第1-6位已根据法律结构明确选择`980101`或`980200`等。</w:t>
      </w:r>
    </w:p>
    <w:p>
      <w:pPr>
        <w:numPr>
          <w:numId w:val="7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第7-8位风险权重已参考巴塞尔协议并获金融顾问确认。</w:t>
      </w:r>
    </w:p>
    <w:p>
      <w:pPr>
        <w:numPr>
          <w:numId w:val="7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第11-12位合规等级已由律师根据投资者地域锁定。</w:t>
      </w:r>
    </w:p>
    <w:p>
      <w:pPr>
        <w:numPr>
          <w:numId w:val="8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第17-18位法律辖区与主法律文件中的“适用法律”条款完全一致。</w:t>
      </w:r>
    </w:p>
    <w:p>
      <w:pPr>
        <w:numPr>
          <w:numId w:val="8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第21-22位时间属性与收益权合同期限匹配。</w:t>
      </w:r>
    </w:p>
    <w:p>
      <w:pPr>
        <w:numPr>
          <w:numId w:val="8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第25-28位：确认为金融资产后，已填写`NNNN`。</w:t>
      </w:r>
    </w:p>
    <w:p>
      <w:pPr>
        <w:numPr>
          <w:numId w:val="8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最终编码已由法律合规方、技术实施方双重复核无误。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3912797">
    <w:lvl>
      <w:start w:val="1"/>
      <w:numFmt w:val="decimal"/>
      <w:suff w:val="tab"/>
      <w:lvlText w:val="%1."/>
      <w:rPr>
        <w:color w:val="3370ff"/>
      </w:rPr>
    </w:lvl>
  </w:abstractNum>
  <w:abstractNum w:abstractNumId="3912798">
    <w:lvl>
      <w:start w:val="2"/>
      <w:numFmt w:val="decimal"/>
      <w:suff w:val="tab"/>
      <w:lvlText w:val="%1."/>
      <w:rPr>
        <w:color w:val="3370ff"/>
      </w:rPr>
    </w:lvl>
  </w:abstractNum>
  <w:abstractNum w:abstractNumId="3912799">
    <w:lvl>
      <w:start w:val="3"/>
      <w:numFmt w:val="decimal"/>
      <w:suff w:val="tab"/>
      <w:lvlText w:val="%1."/>
      <w:rPr>
        <w:color w:val="3370ff"/>
      </w:rPr>
    </w:lvl>
  </w:abstractNum>
  <w:abstractNum w:abstractNumId="3912800">
    <w:lvl>
      <w:start w:val="4"/>
      <w:numFmt w:val="decimal"/>
      <w:suff w:val="tab"/>
      <w:lvlText w:val="%1."/>
      <w:rPr>
        <w:color w:val="3370ff"/>
      </w:rPr>
    </w:lvl>
  </w:abstractNum>
  <w:abstractNum w:abstractNumId="3912801">
    <w:lvl>
      <w:numFmt w:val="bullet"/>
      <w:suff w:val="tab"/>
      <w:lvlText w:val="￮"/>
      <w:rPr>
        <w:color w:val="3370ff"/>
      </w:rPr>
    </w:lvl>
  </w:abstractNum>
  <w:abstractNum w:abstractNumId="3912802">
    <w:lvl>
      <w:numFmt w:val="bullet"/>
      <w:suff w:val="tab"/>
      <w:lvlText w:val="￮"/>
      <w:rPr>
        <w:color w:val="3370ff"/>
      </w:rPr>
    </w:lvl>
  </w:abstractNum>
  <w:abstractNum w:abstractNumId="3912803">
    <w:lvl>
      <w:numFmt w:val="bullet"/>
      <w:suff w:val="tab"/>
      <w:lvlText w:val="￮"/>
      <w:rPr>
        <w:color w:val="3370ff"/>
      </w:rPr>
    </w:lvl>
  </w:abstractNum>
  <w:abstractNum w:abstractNumId="3912804">
    <w:lvl>
      <w:numFmt w:val="bullet"/>
      <w:suff w:val="tab"/>
      <w:lvlText w:val="•"/>
      <w:rPr>
        <w:color w:val="3370ff"/>
      </w:rPr>
    </w:lvl>
  </w:abstractNum>
  <w:abstractNum w:abstractNumId="3912805">
    <w:lvl>
      <w:numFmt w:val="bullet"/>
      <w:suff w:val="tab"/>
      <w:lvlText w:val="•"/>
      <w:rPr>
        <w:color w:val="3370ff"/>
      </w:rPr>
    </w:lvl>
  </w:abstractNum>
  <w:abstractNum w:abstractNumId="3912806">
    <w:lvl>
      <w:numFmt w:val="bullet"/>
      <w:suff w:val="tab"/>
      <w:lvlText w:val="￮"/>
      <w:rPr>
        <w:color w:val="3370ff"/>
      </w:rPr>
    </w:lvl>
  </w:abstractNum>
  <w:abstractNum w:abstractNumId="3912807">
    <w:lvl>
      <w:numFmt w:val="bullet"/>
      <w:suff w:val="tab"/>
      <w:lvlText w:val="￮"/>
      <w:rPr>
        <w:color w:val="3370ff"/>
      </w:rPr>
    </w:lvl>
  </w:abstractNum>
  <w:abstractNum w:abstractNumId="3912808">
    <w:lvl>
      <w:numFmt w:val="bullet"/>
      <w:suff w:val="tab"/>
      <w:lvlText w:val="￮"/>
      <w:rPr>
        <w:color w:val="3370ff"/>
      </w:rPr>
    </w:lvl>
  </w:abstractNum>
  <w:abstractNum w:abstractNumId="3912809">
    <w:lvl>
      <w:numFmt w:val="bullet"/>
      <w:suff w:val="tab"/>
      <w:lvlText w:val="•"/>
      <w:rPr>
        <w:color w:val="3370ff"/>
      </w:rPr>
    </w:lvl>
  </w:abstractNum>
  <w:abstractNum w:abstractNumId="3912810">
    <w:lvl>
      <w:numFmt w:val="bullet"/>
      <w:suff w:val="tab"/>
      <w:lvlText w:val="•"/>
      <w:rPr>
        <w:color w:val="3370ff"/>
      </w:rPr>
    </w:lvl>
  </w:abstractNum>
  <w:abstractNum w:abstractNumId="3912811">
    <w:lvl>
      <w:numFmt w:val="bullet"/>
      <w:suff w:val="tab"/>
      <w:lvlText w:val="•"/>
      <w:rPr>
        <w:color w:val="3370ff"/>
      </w:rPr>
    </w:lvl>
  </w:abstractNum>
  <w:abstractNum w:abstractNumId="3912812">
    <w:lvl>
      <w:numFmt w:val="bullet"/>
      <w:suff w:val="tab"/>
      <w:lvlText w:val="￮"/>
      <w:rPr>
        <w:color w:val="3370ff"/>
      </w:rPr>
    </w:lvl>
  </w:abstractNum>
  <w:abstractNum w:abstractNumId="3912813">
    <w:lvl>
      <w:numFmt w:val="bullet"/>
      <w:suff w:val="tab"/>
      <w:lvlText w:val="￮"/>
      <w:rPr>
        <w:color w:val="3370ff"/>
      </w:rPr>
    </w:lvl>
  </w:abstractNum>
  <w:abstractNum w:abstractNumId="3912814">
    <w:lvl>
      <w:numFmt w:val="bullet"/>
      <w:suff w:val="tab"/>
      <w:lvlText w:val="￮"/>
      <w:rPr>
        <w:color w:val="3370ff"/>
      </w:rPr>
    </w:lvl>
  </w:abstractNum>
  <w:abstractNum w:abstractNumId="3912815">
    <w:lvl>
      <w:numFmt w:val="bullet"/>
      <w:suff w:val="tab"/>
      <w:lvlText w:val="•"/>
      <w:rPr>
        <w:color w:val="3370ff"/>
      </w:rPr>
    </w:lvl>
  </w:abstractNum>
  <w:abstractNum w:abstractNumId="3912816">
    <w:lvl>
      <w:numFmt w:val="bullet"/>
      <w:suff w:val="tab"/>
      <w:lvlText w:val="•"/>
      <w:rPr>
        <w:color w:val="3370ff"/>
      </w:rPr>
    </w:lvl>
  </w:abstractNum>
  <w:abstractNum w:abstractNumId="3912817">
    <w:lvl>
      <w:numFmt w:val="bullet"/>
      <w:suff w:val="tab"/>
      <w:lvlText w:val="•"/>
      <w:rPr>
        <w:color w:val="3370ff"/>
      </w:rPr>
    </w:lvl>
  </w:abstractNum>
  <w:abstractNum w:abstractNumId="3912818">
    <w:lvl>
      <w:numFmt w:val="bullet"/>
      <w:suff w:val="tab"/>
      <w:lvlText w:val="￮"/>
      <w:rPr>
        <w:color w:val="3370ff"/>
      </w:rPr>
    </w:lvl>
  </w:abstractNum>
  <w:abstractNum w:abstractNumId="3912819">
    <w:lvl>
      <w:numFmt w:val="bullet"/>
      <w:suff w:val="tab"/>
      <w:lvlText w:val="￮"/>
      <w:rPr>
        <w:color w:val="3370ff"/>
      </w:rPr>
    </w:lvl>
  </w:abstractNum>
  <w:abstractNum w:abstractNumId="3912820">
    <w:lvl>
      <w:numFmt w:val="bullet"/>
      <w:suff w:val="tab"/>
      <w:lvlText w:val="•"/>
      <w:rPr>
        <w:color w:val="3370ff"/>
      </w:rPr>
    </w:lvl>
  </w:abstractNum>
  <w:abstractNum w:abstractNumId="3912821">
    <w:lvl>
      <w:numFmt w:val="bullet"/>
      <w:suff w:val="tab"/>
      <w:lvlText w:val="•"/>
      <w:rPr>
        <w:color w:val="3370ff"/>
      </w:rPr>
    </w:lvl>
  </w:abstractNum>
  <w:abstractNum w:abstractNumId="3912822">
    <w:lvl>
      <w:numFmt w:val="bullet"/>
      <w:suff w:val="tab"/>
      <w:lvlText w:val="•"/>
      <w:rPr>
        <w:color w:val="3370ff"/>
      </w:rPr>
    </w:lvl>
  </w:abstractNum>
  <w:abstractNum w:abstractNumId="3912823">
    <w:lvl>
      <w:numFmt w:val="bullet"/>
      <w:suff w:val="tab"/>
      <w:lvlText w:val="￮"/>
      <w:rPr>
        <w:color w:val="3370ff"/>
      </w:rPr>
    </w:lvl>
  </w:abstractNum>
  <w:abstractNum w:abstractNumId="3912824">
    <w:lvl>
      <w:numFmt w:val="bullet"/>
      <w:suff w:val="tab"/>
      <w:lvlText w:val="￮"/>
      <w:rPr>
        <w:color w:val="3370ff"/>
      </w:rPr>
    </w:lvl>
  </w:abstractNum>
  <w:abstractNum w:abstractNumId="3912825">
    <w:lvl>
      <w:numFmt w:val="bullet"/>
      <w:suff w:val="tab"/>
      <w:lvlText w:val="￮"/>
      <w:rPr>
        <w:color w:val="3370ff"/>
      </w:rPr>
    </w:lvl>
  </w:abstractNum>
  <w:abstractNum w:abstractNumId="3912826">
    <w:lvl>
      <w:numFmt w:val="bullet"/>
      <w:suff w:val="tab"/>
      <w:lvlText w:val="•"/>
      <w:rPr>
        <w:color w:val="3370ff"/>
      </w:rPr>
    </w:lvl>
  </w:abstractNum>
  <w:abstractNum w:abstractNumId="3912827">
    <w:lvl>
      <w:numFmt w:val="bullet"/>
      <w:suff w:val="tab"/>
      <w:lvlText w:val="•"/>
      <w:rPr>
        <w:color w:val="3370ff"/>
      </w:rPr>
    </w:lvl>
  </w:abstractNum>
  <w:abstractNum w:abstractNumId="3912828">
    <w:lvl>
      <w:numFmt w:val="bullet"/>
      <w:suff w:val="tab"/>
      <w:lvlText w:val="•"/>
      <w:rPr>
        <w:color w:val="3370ff"/>
      </w:rPr>
    </w:lvl>
  </w:abstractNum>
  <w:abstractNum w:abstractNumId="3912829">
    <w:lvl>
      <w:numFmt w:val="bullet"/>
      <w:suff w:val="tab"/>
      <w:lvlText w:val="￮"/>
      <w:rPr>
        <w:color w:val="3370ff"/>
      </w:rPr>
    </w:lvl>
  </w:abstractNum>
  <w:abstractNum w:abstractNumId="3912830">
    <w:lvl>
      <w:numFmt w:val="bullet"/>
      <w:suff w:val="tab"/>
      <w:lvlText w:val="￮"/>
      <w:rPr>
        <w:color w:val="3370ff"/>
      </w:rPr>
    </w:lvl>
  </w:abstractNum>
  <w:abstractNum w:abstractNumId="3912831">
    <w:lvl>
      <w:numFmt w:val="bullet"/>
      <w:suff w:val="tab"/>
      <w:lvlText w:val="￮"/>
      <w:rPr>
        <w:color w:val="3370ff"/>
      </w:rPr>
    </w:lvl>
  </w:abstractNum>
  <w:abstractNum w:abstractNumId="3912832">
    <w:lvl>
      <w:numFmt w:val="bullet"/>
      <w:suff w:val="tab"/>
      <w:lvlText w:val="•"/>
      <w:rPr>
        <w:color w:val="3370ff"/>
      </w:rPr>
    </w:lvl>
  </w:abstractNum>
  <w:abstractNum w:abstractNumId="3912833">
    <w:lvl>
      <w:numFmt w:val="bullet"/>
      <w:suff w:val="tab"/>
      <w:lvlText w:val="•"/>
      <w:rPr>
        <w:color w:val="3370ff"/>
      </w:rPr>
    </w:lvl>
  </w:abstractNum>
  <w:abstractNum w:abstractNumId="3912834">
    <w:lvl>
      <w:numFmt w:val="bullet"/>
      <w:suff w:val="tab"/>
      <w:lvlText w:val="•"/>
      <w:rPr>
        <w:color w:val="3370ff"/>
      </w:rPr>
    </w:lvl>
  </w:abstractNum>
  <w:abstractNum w:abstractNumId="3912835">
    <w:lvl>
      <w:numFmt w:val="bullet"/>
      <w:suff w:val="tab"/>
      <w:lvlText w:val="￮"/>
      <w:rPr>
        <w:color w:val="3370ff"/>
      </w:rPr>
    </w:lvl>
  </w:abstractNum>
  <w:abstractNum w:abstractNumId="3912836">
    <w:lvl>
      <w:numFmt w:val="bullet"/>
      <w:suff w:val="tab"/>
      <w:lvlText w:val="￮"/>
      <w:rPr>
        <w:color w:val="3370ff"/>
      </w:rPr>
    </w:lvl>
  </w:abstractNum>
  <w:abstractNum w:abstractNumId="3912837">
    <w:lvl>
      <w:numFmt w:val="bullet"/>
      <w:suff w:val="tab"/>
      <w:lvlText w:val="•"/>
      <w:rPr>
        <w:color w:val="3370ff"/>
      </w:rPr>
    </w:lvl>
  </w:abstractNum>
  <w:abstractNum w:abstractNumId="3912838">
    <w:lvl>
      <w:numFmt w:val="bullet"/>
      <w:suff w:val="tab"/>
      <w:lvlText w:val="•"/>
      <w:rPr>
        <w:color w:val="3370ff"/>
      </w:rPr>
    </w:lvl>
  </w:abstractNum>
  <w:abstractNum w:abstractNumId="3912839">
    <w:lvl>
      <w:numFmt w:val="bullet"/>
      <w:suff w:val="tab"/>
      <w:lvlText w:val="•"/>
      <w:rPr>
        <w:color w:val="3370ff"/>
      </w:rPr>
    </w:lvl>
  </w:abstractNum>
  <w:abstractNum w:abstractNumId="3912840">
    <w:lvl>
      <w:numFmt w:val="bullet"/>
      <w:suff w:val="tab"/>
      <w:lvlText w:val="￮"/>
      <w:rPr>
        <w:color w:val="3370ff"/>
      </w:rPr>
    </w:lvl>
  </w:abstractNum>
  <w:abstractNum w:abstractNumId="3912841">
    <w:lvl>
      <w:numFmt w:val="bullet"/>
      <w:suff w:val="tab"/>
      <w:lvlText w:val="￮"/>
      <w:rPr>
        <w:color w:val="3370ff"/>
      </w:rPr>
    </w:lvl>
  </w:abstractNum>
  <w:abstractNum w:abstractNumId="3912842">
    <w:lvl>
      <w:numFmt w:val="bullet"/>
      <w:suff w:val="tab"/>
      <w:lvlText w:val="￮"/>
      <w:rPr>
        <w:color w:val="3370ff"/>
      </w:rPr>
    </w:lvl>
  </w:abstractNum>
  <w:abstractNum w:abstractNumId="3912843">
    <w:lvl>
      <w:numFmt w:val="bullet"/>
      <w:suff w:val="tab"/>
      <w:lvlText w:val="￮"/>
      <w:rPr>
        <w:color w:val="3370ff"/>
      </w:rPr>
    </w:lvl>
  </w:abstractNum>
  <w:abstractNum w:abstractNumId="3912844">
    <w:lvl>
      <w:numFmt w:val="bullet"/>
      <w:suff w:val="tab"/>
      <w:lvlText w:val="￮"/>
      <w:rPr>
        <w:color w:val="3370ff"/>
      </w:rPr>
    </w:lvl>
  </w:abstractNum>
  <w:abstractNum w:abstractNumId="3912845">
    <w:lvl>
      <w:numFmt w:val="bullet"/>
      <w:suff w:val="tab"/>
      <w:lvlText w:val="•"/>
      <w:rPr>
        <w:color w:val="3370ff"/>
      </w:rPr>
    </w:lvl>
  </w:abstractNum>
  <w:abstractNum w:abstractNumId="3912846">
    <w:lvl>
      <w:numFmt w:val="bullet"/>
      <w:suff w:val="tab"/>
      <w:lvlText w:val="•"/>
      <w:rPr>
        <w:color w:val="3370ff"/>
      </w:rPr>
    </w:lvl>
  </w:abstractNum>
  <w:abstractNum w:abstractNumId="3912847">
    <w:lvl>
      <w:numFmt w:val="bullet"/>
      <w:suff w:val="tab"/>
      <w:lvlText w:val="￮"/>
      <w:rPr>
        <w:color w:val="3370ff"/>
      </w:rPr>
    </w:lvl>
  </w:abstractNum>
  <w:abstractNum w:abstractNumId="3912848">
    <w:lvl>
      <w:numFmt w:val="bullet"/>
      <w:suff w:val="tab"/>
      <w:lvlText w:val="￮"/>
      <w:rPr>
        <w:color w:val="3370ff"/>
      </w:rPr>
    </w:lvl>
  </w:abstractNum>
  <w:abstractNum w:abstractNumId="3912849">
    <w:lvl>
      <w:numFmt w:val="bullet"/>
      <w:suff w:val="tab"/>
      <w:lvlText w:val="￮"/>
      <w:rPr>
        <w:color w:val="3370ff"/>
      </w:rPr>
    </w:lvl>
  </w:abstractNum>
  <w:abstractNum w:abstractNumId="3912850">
    <w:lvl>
      <w:numFmt w:val="bullet"/>
      <w:suff w:val="tab"/>
      <w:lvlText w:val="￮"/>
      <w:rPr>
        <w:color w:val="3370ff"/>
      </w:rPr>
    </w:lvl>
  </w:abstractNum>
  <w:abstractNum w:abstractNumId="3912851">
    <w:lvl>
      <w:numFmt w:val="bullet"/>
      <w:suff w:val="tab"/>
      <w:lvlText w:val="•"/>
      <w:rPr>
        <w:color w:val="3370ff"/>
      </w:rPr>
    </w:lvl>
  </w:abstractNum>
  <w:abstractNum w:abstractNumId="3912852">
    <w:lvl>
      <w:numFmt w:val="bullet"/>
      <w:suff w:val="tab"/>
      <w:lvlText w:val="•"/>
      <w:rPr>
        <w:color w:val="3370ff"/>
      </w:rPr>
    </w:lvl>
  </w:abstractNum>
  <w:abstractNum w:abstractNumId="3912853">
    <w:lvl>
      <w:numFmt w:val="bullet"/>
      <w:suff w:val="tab"/>
      <w:lvlText w:val="•"/>
      <w:rPr>
        <w:color w:val="3370ff"/>
      </w:rPr>
    </w:lvl>
  </w:abstractNum>
  <w:abstractNum w:abstractNumId="3912854">
    <w:lvl>
      <w:numFmt w:val="bullet"/>
      <w:suff w:val="tab"/>
      <w:lvlText w:val="￮"/>
      <w:rPr>
        <w:color w:val="3370ff"/>
      </w:rPr>
    </w:lvl>
  </w:abstractNum>
  <w:abstractNum w:abstractNumId="3912855">
    <w:lvl>
      <w:numFmt w:val="bullet"/>
      <w:suff w:val="tab"/>
      <w:lvlText w:val="￮"/>
      <w:rPr>
        <w:color w:val="3370ff"/>
      </w:rPr>
    </w:lvl>
  </w:abstractNum>
  <w:abstractNum w:abstractNumId="3912856">
    <w:lvl>
      <w:numFmt w:val="bullet"/>
      <w:suff w:val="tab"/>
      <w:lvlText w:val="￮"/>
      <w:rPr>
        <w:color w:val="3370ff"/>
      </w:rPr>
    </w:lvl>
  </w:abstractNum>
  <w:abstractNum w:abstractNumId="3912857">
    <w:lvl>
      <w:numFmt w:val="bullet"/>
      <w:suff w:val="tab"/>
      <w:lvlText w:val="￮"/>
      <w:rPr>
        <w:color w:val="3370ff"/>
      </w:rPr>
    </w:lvl>
  </w:abstractNum>
  <w:abstractNum w:abstractNumId="3912858">
    <w:lvl>
      <w:numFmt w:val="bullet"/>
      <w:suff w:val="tab"/>
      <w:lvlText w:val="•"/>
      <w:rPr>
        <w:color w:val="3370ff"/>
      </w:rPr>
    </w:lvl>
  </w:abstractNum>
  <w:abstractNum w:abstractNumId="3912859">
    <w:lvl>
      <w:numFmt w:val="bullet"/>
      <w:suff w:val="tab"/>
      <w:lvlText w:val="•"/>
      <w:rPr>
        <w:color w:val="3370ff"/>
      </w:rPr>
    </w:lvl>
  </w:abstractNum>
  <w:abstractNum w:abstractNumId="3912860">
    <w:lvl>
      <w:numFmt w:val="bullet"/>
      <w:suff w:val="tab"/>
      <w:lvlText w:val="•"/>
      <w:rPr>
        <w:color w:val="3370ff"/>
      </w:rPr>
    </w:lvl>
  </w:abstractNum>
  <w:abstractNum w:abstractNumId="3912861">
    <w:lvl>
      <w:numFmt w:val="bullet"/>
      <w:suff w:val="tab"/>
      <w:lvlText w:val="￮"/>
      <w:rPr>
        <w:color w:val="3370ff"/>
      </w:rPr>
    </w:lvl>
  </w:abstractNum>
  <w:abstractNum w:abstractNumId="3912862">
    <w:lvl>
      <w:numFmt w:val="bullet"/>
      <w:suff w:val="tab"/>
      <w:lvlText w:val="￮"/>
      <w:rPr>
        <w:color w:val="3370ff"/>
      </w:rPr>
    </w:lvl>
  </w:abstractNum>
  <w:abstractNum w:abstractNumId="3912863">
    <w:lvl>
      <w:numFmt w:val="bullet"/>
      <w:suff w:val="tab"/>
      <w:lvlText w:val="•"/>
      <w:rPr>
        <w:color w:val="3370ff"/>
      </w:rPr>
    </w:lvl>
  </w:abstractNum>
  <w:abstractNum w:abstractNumId="3912864">
    <w:lvl>
      <w:numFmt w:val="bullet"/>
      <w:suff w:val="tab"/>
      <w:lvlText w:val="•"/>
      <w:rPr>
        <w:color w:val="3370ff"/>
      </w:rPr>
    </w:lvl>
  </w:abstractNum>
  <w:abstractNum w:abstractNumId="3912865">
    <w:lvl>
      <w:numFmt w:val="bullet"/>
      <w:suff w:val="tab"/>
      <w:lvlText w:val="•"/>
      <w:rPr>
        <w:color w:val="3370ff"/>
      </w:rPr>
    </w:lvl>
  </w:abstractNum>
  <w:abstractNum w:abstractNumId="3912866">
    <w:lvl>
      <w:numFmt w:val="bullet"/>
      <w:suff w:val="tab"/>
      <w:lvlText w:val="￮"/>
      <w:rPr>
        <w:color w:val="3370ff"/>
      </w:rPr>
    </w:lvl>
  </w:abstractNum>
  <w:abstractNum w:abstractNumId="3912867">
    <w:lvl>
      <w:numFmt w:val="bullet"/>
      <w:suff w:val="tab"/>
      <w:lvlText w:val="￮"/>
      <w:rPr>
        <w:color w:val="3370ff"/>
      </w:rPr>
    </w:lvl>
  </w:abstractNum>
  <w:abstractNum w:abstractNumId="3912868">
    <w:lvl>
      <w:numFmt w:val="bullet"/>
      <w:suff w:val="tab"/>
      <w:lvlText w:val="•"/>
      <w:rPr>
        <w:color w:val="3370ff"/>
      </w:rPr>
    </w:lvl>
  </w:abstractNum>
  <w:abstractNum w:abstractNumId="3912869">
    <w:lvl>
      <w:numFmt w:val="bullet"/>
      <w:suff w:val="tab"/>
      <w:lvlText w:val="•"/>
      <w:rPr>
        <w:color w:val="3370ff"/>
      </w:rPr>
    </w:lvl>
  </w:abstractNum>
  <w:abstractNum w:abstractNumId="3912870">
    <w:lvl>
      <w:numFmt w:val="bullet"/>
      <w:suff w:val="tab"/>
      <w:lvlText w:val="•"/>
      <w:rPr>
        <w:color w:val="3370ff"/>
      </w:rPr>
    </w:lvl>
  </w:abstractNum>
  <w:abstractNum w:abstractNumId="3912871">
    <w:lvl>
      <w:numFmt w:val="bullet"/>
      <w:suff w:val="tab"/>
      <w:lvlText w:val="￮"/>
      <w:rPr>
        <w:color w:val="3370ff"/>
      </w:rPr>
    </w:lvl>
  </w:abstractNum>
  <w:abstractNum w:abstractNumId="3912872">
    <w:lvl>
      <w:numFmt w:val="bullet"/>
      <w:suff w:val="tab"/>
      <w:lvlText w:val="•"/>
      <w:rPr>
        <w:color w:val="3370ff"/>
      </w:rPr>
    </w:lvl>
  </w:abstractNum>
  <w:abstractNum w:abstractNumId="3912873">
    <w:lvl>
      <w:numFmt w:val="bullet"/>
      <w:suff w:val="space"/>
      <w:lvlText w:val="□"/>
    </w:lvl>
  </w:abstractNum>
  <w:abstractNum w:abstractNumId="3912874">
    <w:lvl>
      <w:numFmt w:val="bullet"/>
      <w:suff w:val="space"/>
      <w:lvlText w:val="□"/>
    </w:lvl>
  </w:abstractNum>
  <w:abstractNum w:abstractNumId="3912875">
    <w:lvl>
      <w:numFmt w:val="bullet"/>
      <w:suff w:val="space"/>
      <w:lvlText w:val="□"/>
    </w:lvl>
  </w:abstractNum>
  <w:abstractNum w:abstractNumId="3912876">
    <w:lvl>
      <w:numFmt w:val="bullet"/>
      <w:suff w:val="space"/>
      <w:lvlText w:val="□"/>
    </w:lvl>
  </w:abstractNum>
  <w:abstractNum w:abstractNumId="3912877">
    <w:lvl>
      <w:numFmt w:val="bullet"/>
      <w:suff w:val="space"/>
      <w:lvlText w:val="□"/>
    </w:lvl>
  </w:abstractNum>
  <w:abstractNum w:abstractNumId="3912878">
    <w:lvl>
      <w:numFmt w:val="bullet"/>
      <w:suff w:val="space"/>
      <w:lvlText w:val="□"/>
    </w:lvl>
  </w:abstractNum>
  <w:abstractNum w:abstractNumId="3912879">
    <w:lvl>
      <w:numFmt w:val="bullet"/>
      <w:suff w:val="space"/>
      <w:lvlText w:val="□"/>
    </w:lvl>
  </w:abstractNum>
  <w:num w:numId="1">
    <w:abstractNumId w:val="3912797"/>
  </w:num>
  <w:num w:numId="2">
    <w:abstractNumId w:val="3912798"/>
  </w:num>
  <w:num w:numId="3">
    <w:abstractNumId w:val="3912799"/>
  </w:num>
  <w:num w:numId="4">
    <w:abstractNumId w:val="3912800"/>
  </w:num>
  <w:num w:numId="5">
    <w:abstractNumId w:val="3912801"/>
  </w:num>
  <w:num w:numId="6">
    <w:abstractNumId w:val="3912802"/>
  </w:num>
  <w:num w:numId="7">
    <w:abstractNumId w:val="3912803"/>
  </w:num>
  <w:num w:numId="8">
    <w:abstractNumId w:val="3912804"/>
  </w:num>
  <w:num w:numId="9">
    <w:abstractNumId w:val="3912805"/>
  </w:num>
  <w:num w:numId="10">
    <w:abstractNumId w:val="3912806"/>
  </w:num>
  <w:num w:numId="11">
    <w:abstractNumId w:val="3912807"/>
  </w:num>
  <w:num w:numId="12">
    <w:abstractNumId w:val="3912808"/>
  </w:num>
  <w:num w:numId="13">
    <w:abstractNumId w:val="3912809"/>
  </w:num>
  <w:num w:numId="14">
    <w:abstractNumId w:val="3912810"/>
  </w:num>
  <w:num w:numId="15">
    <w:abstractNumId w:val="3912811"/>
  </w:num>
  <w:num w:numId="16">
    <w:abstractNumId w:val="3912812"/>
  </w:num>
  <w:num w:numId="17">
    <w:abstractNumId w:val="3912813"/>
  </w:num>
  <w:num w:numId="18">
    <w:abstractNumId w:val="3912814"/>
  </w:num>
  <w:num w:numId="19">
    <w:abstractNumId w:val="3912815"/>
  </w:num>
  <w:num w:numId="20">
    <w:abstractNumId w:val="3912816"/>
  </w:num>
  <w:num w:numId="21">
    <w:abstractNumId w:val="3912817"/>
  </w:num>
  <w:num w:numId="22">
    <w:abstractNumId w:val="3912818"/>
  </w:num>
  <w:num w:numId="23">
    <w:abstractNumId w:val="3912819"/>
  </w:num>
  <w:num w:numId="24">
    <w:abstractNumId w:val="3912820"/>
  </w:num>
  <w:num w:numId="25">
    <w:abstractNumId w:val="3912821"/>
  </w:num>
  <w:num w:numId="26">
    <w:abstractNumId w:val="3912822"/>
  </w:num>
  <w:num w:numId="27">
    <w:abstractNumId w:val="3912823"/>
  </w:num>
  <w:num w:numId="28">
    <w:abstractNumId w:val="3912824"/>
  </w:num>
  <w:num w:numId="29">
    <w:abstractNumId w:val="3912825"/>
  </w:num>
  <w:num w:numId="30">
    <w:abstractNumId w:val="3912826"/>
  </w:num>
  <w:num w:numId="31">
    <w:abstractNumId w:val="3912827"/>
  </w:num>
  <w:num w:numId="32">
    <w:abstractNumId w:val="3912828"/>
  </w:num>
  <w:num w:numId="33">
    <w:abstractNumId w:val="3912829"/>
  </w:num>
  <w:num w:numId="34">
    <w:abstractNumId w:val="3912830"/>
  </w:num>
  <w:num w:numId="35">
    <w:abstractNumId w:val="3912831"/>
  </w:num>
  <w:num w:numId="36">
    <w:abstractNumId w:val="3912832"/>
  </w:num>
  <w:num w:numId="37">
    <w:abstractNumId w:val="3912833"/>
  </w:num>
  <w:num w:numId="38">
    <w:abstractNumId w:val="3912834"/>
  </w:num>
  <w:num w:numId="39">
    <w:abstractNumId w:val="3912835"/>
  </w:num>
  <w:num w:numId="40">
    <w:abstractNumId w:val="3912836"/>
  </w:num>
  <w:num w:numId="41">
    <w:abstractNumId w:val="3912837"/>
  </w:num>
  <w:num w:numId="42">
    <w:abstractNumId w:val="3912838"/>
  </w:num>
  <w:num w:numId="43">
    <w:abstractNumId w:val="3912839"/>
  </w:num>
  <w:num w:numId="44">
    <w:abstractNumId w:val="3912840"/>
  </w:num>
  <w:num w:numId="45">
    <w:abstractNumId w:val="3912841"/>
  </w:num>
  <w:num w:numId="46">
    <w:abstractNumId w:val="3912842"/>
  </w:num>
  <w:num w:numId="47">
    <w:abstractNumId w:val="3912843"/>
  </w:num>
  <w:num w:numId="48">
    <w:abstractNumId w:val="3912844"/>
  </w:num>
  <w:num w:numId="49">
    <w:abstractNumId w:val="3912845"/>
  </w:num>
  <w:num w:numId="50">
    <w:abstractNumId w:val="3912846"/>
  </w:num>
  <w:num w:numId="51">
    <w:abstractNumId w:val="3912847"/>
  </w:num>
  <w:num w:numId="52">
    <w:abstractNumId w:val="3912848"/>
  </w:num>
  <w:num w:numId="53">
    <w:abstractNumId w:val="3912849"/>
  </w:num>
  <w:num w:numId="54">
    <w:abstractNumId w:val="3912850"/>
  </w:num>
  <w:num w:numId="55">
    <w:abstractNumId w:val="3912851"/>
  </w:num>
  <w:num w:numId="56">
    <w:abstractNumId w:val="3912852"/>
  </w:num>
  <w:num w:numId="57">
    <w:abstractNumId w:val="3912853"/>
  </w:num>
  <w:num w:numId="58">
    <w:abstractNumId w:val="3912854"/>
  </w:num>
  <w:num w:numId="59">
    <w:abstractNumId w:val="3912855"/>
  </w:num>
  <w:num w:numId="60">
    <w:abstractNumId w:val="3912856"/>
  </w:num>
  <w:num w:numId="61">
    <w:abstractNumId w:val="3912857"/>
  </w:num>
  <w:num w:numId="62">
    <w:abstractNumId w:val="3912858"/>
  </w:num>
  <w:num w:numId="63">
    <w:abstractNumId w:val="3912859"/>
  </w:num>
  <w:num w:numId="64">
    <w:abstractNumId w:val="3912860"/>
  </w:num>
  <w:num w:numId="65">
    <w:abstractNumId w:val="3912861"/>
  </w:num>
  <w:num w:numId="66">
    <w:abstractNumId w:val="3912862"/>
  </w:num>
  <w:num w:numId="67">
    <w:abstractNumId w:val="3912863"/>
  </w:num>
  <w:num w:numId="68">
    <w:abstractNumId w:val="3912864"/>
  </w:num>
  <w:num w:numId="69">
    <w:abstractNumId w:val="3912865"/>
  </w:num>
  <w:num w:numId="70">
    <w:abstractNumId w:val="3912866"/>
  </w:num>
  <w:num w:numId="71">
    <w:abstractNumId w:val="3912867"/>
  </w:num>
  <w:num w:numId="72">
    <w:abstractNumId w:val="3912868"/>
  </w:num>
  <w:num w:numId="73">
    <w:abstractNumId w:val="3912869"/>
  </w:num>
  <w:num w:numId="74">
    <w:abstractNumId w:val="3912870"/>
  </w:num>
  <w:num w:numId="75">
    <w:abstractNumId w:val="3912871"/>
  </w:num>
  <w:num w:numId="76">
    <w:abstractNumId w:val="3912872"/>
  </w:num>
  <w:num w:numId="77">
    <w:abstractNumId w:val="3912873"/>
  </w:num>
  <w:num w:numId="78">
    <w:abstractNumId w:val="3912874"/>
  </w:num>
  <w:num w:numId="79">
    <w:abstractNumId w:val="3912875"/>
  </w:num>
  <w:num w:numId="80">
    <w:abstractNumId w:val="3912876"/>
  </w:num>
  <w:num w:numId="81">
    <w:abstractNumId w:val="3912877"/>
  </w:num>
  <w:num w:numId="82">
    <w:abstractNumId w:val="3912878"/>
  </w:num>
  <w:num w:numId="83">
    <w:abstractNumId w:val="3912879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2026-02-02T14:08:26Z</dcterms:created>
  <dc:creator>Apache POI</dc:creator>
</cp:coreProperties>
</file>