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NAC核心类型系统与基础库规范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版本：</w:t>
      </w:r>
      <w:r>
        <w:rPr>
          <w:rFonts w:eastAsia="等线" w:ascii="Arial" w:cs="Arial" w:hAnsi="Arial"/>
          <w:sz w:val="22"/>
        </w:rPr>
        <w:t>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制定方：</w:t>
      </w:r>
      <w:r>
        <w:rPr>
          <w:rFonts w:eastAsia="等线" w:ascii="Arial" w:cs="Arial" w:hAnsi="Arial"/>
          <w:sz w:val="22"/>
        </w:rPr>
        <w:t>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关联文档：</w:t>
      </w:r>
      <w:r>
        <w:rPr>
          <w:rFonts w:eastAsia="等线" w:ascii="Arial" w:cs="Arial" w:hAnsi="Arial"/>
          <w:sz w:val="22"/>
        </w:rPr>
        <w:t>NAC宪法技术宪章、Rust命名规范（附件E）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设计哲学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NAC公链拥有独立且全新的类型系统，这是与以太坊、比特币等现有公链根本性区别的技术基石。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Address（32字节）：不仅是账户标识，更内嵌主权属性（KYC等级、司法管辖区、合格投资者状态）。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Hash（48字节）：基于SHA3-384，提供后量子安全级别的抗碰撞性与抗预像攻击能力。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8组二进制字符串转换：涵盖Hex、Base64、Base58、Bech32等编码，确保与异构系统及人类接口的互操作性。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类型即语义：禁止在核心代码库中使用[u8;32]、Vec&lt;u8&gt;等裸类型表示Address或Hash。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不可变性：所有核心类型一旦创建，其内部字节数组不可变。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显式转换：所有跨边界转换必须通过类型提供的显式方法进行，禁止隐式转换。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零开销抽象：类型包装在编译期完全优化，无运行时性能损耗。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宪法绑定：核心类型必须与宪法状态文件中的定义保持一致，违者编译失败。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NAC核心类型定义规范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所有NAC核心类型必须集中在独立crate nac-primitives 中定义，其他crate必须通过此crate导入，禁止任何形式的重复定义或类型别名。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Address 类型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nac-primitives/src/address.rs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serde::{Deserialize, Serialize};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NAC 32字节结构化地址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布局（由宪法GNACS规范定义）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version: 1 byte     （地址格式版本）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addr_type: 1 byte   （个人/企业/合约/系统）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kyc_level: 2 bytes  （KYC认证等级，0x0000-0x0003）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region: 2 bytes     （ISO3166-1 国家/地区代码）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pubkey_hash: 26 bytes（公钥哈希，截取SHA3-384前26字节）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不可变性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内部字节数组永不改变。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#![derive(Clone, Copy, PartialEq, Eq, Hash, Serialize, Deserialize)]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#![repr(transparent)]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struct Address([u8; 32]);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Address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从原始32字节数组构造（不验证结构）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from_raw(bytes: [u8; 32]) -&gt; Self { Self(bytes)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从十六进制字符串解析（支持0x前缀）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from_hex(hex: &amp;str) -&gt; Result&lt;Self, AddressParseError&gt;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从Base58字符串解析（比特币风格）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from_base58(b58: &amp;str) -&gt; Result&lt;Self, AddressParseError&gt;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从Bech32字符串解析（含人类可读前缀）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from_bech32(bech: &amp;str) -&gt; Result&lt;Self, AddressParseError&gt;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 其余6种编码方法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返回内部字节数组引用（只读）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as_bytes(&amp;self) -&gt; &amp;[u8; 32] { &amp;self.0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转换为十六进制字符串（小写）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to_hex(&amp;self) -&gt; String { hex::encode(self.0)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转换为Base58字符串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to_base58(&amp;self) -&gt; String { bs58::encode(self.0).into_string()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转换为Bech32字符串（需指定HRP）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to_bech32(&amp;self, hrp: &amp;str) -&gt; String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 宪法属性访问器（基于结构化布局）---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version(&amp;self) -&gt; u8 { self.0[0]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addr_type(&amp;self) -&gt; AddressType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kyc_level(&amp;self) -&gt; u16 { u16::from_be_bytes([self.0[2], self.0[3]])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region(&amp;self) -&gt; RegionCode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pubkey_hash(&amp;self) -&gt; &amp;[u8; 26]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 验证方法 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验证地址结构是否符合当前宪法规范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validate(&amp;self) -&gt; bool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地址类型枚举（对应addr_type字段）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#![derive(Debug, Clone, Copy, PartialEq, Eq)]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#![repr(u8)]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enum AddressType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Individual = 0x01,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Enterprise = 0x02,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Contract = 0x03,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System = 0x04,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强制约束：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必须实现 Copy（32字节是Copy的）。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必须实现 serde 的 Serialize/Deserialize，序列化格式默认为十六进制字符串。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禁止实现 Deref&lt;Target=[u8]&gt;，防止意外类型混淆。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Hash 类型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nac-primitives/src/hash.rs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NAC 48字节哈希值（SHA3-384）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安全保证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抗碰撞强度：192位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后量子安全强度：≥128位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#![derive(Clone, Copy, PartialEq, Eq, Hash, Serialize, Deserialize)]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#![repr(transparent)]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struct Hash([u8; 48]);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Hash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从原始48字节数组构造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from_raw(bytes: [u8; 48]) -&gt; Self { Self(bytes)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计算数据的SHA3-384哈希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sha3_384(data: &amp;[u8]) -&gt; Self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use sha3::{Sha3_384, Digest};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mut hasher = Sha3_384::new();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hasher.update(data);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result = hasher.finalize();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mut hash = [0u8; 48];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hash.copy_from_slice(&amp;result);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Self(hash)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从十六进制字符串解析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from_hex(hex: &amp;str) -&gt; Result&lt;Self, HashParseError&gt;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... 其余7种编码方法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as_bytes(&amp;self) -&gt; &amp;[u8; 48] { &amp;self.0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转换为十六进制字符串（小写）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to_hex(&amp;self) -&gt; String { hex::encode(self.0)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强制约束：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禁止使用sha2、keccak等非SHA3算法。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哈希计算必须通过sha3crate。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序列化格式默认为十六进制字符串（无前缀）。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8组二进制字符串转换规范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NAC核心类型必须支持至少8种二进制-文本编码转换，按优先级排列如下：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85"/>
        <w:gridCol w:w="1650"/>
        <w:gridCol w:w="1980"/>
        <w:gridCol w:w="1650"/>
        <w:gridCol w:w="2100"/>
      </w:tblGrid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编号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编码格式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应用场景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实现crate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方法名前缀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Hex (lowercase)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最通用的人类可读表示，默认序列化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hex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to_hex, from_hex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Hex (uppercase)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部分传统系统要求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hex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to_hex_upper, from_hex_upper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Base64 (standard)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JSON/API传输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base64 (标准引擎)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to_base64, from_base64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Base64 (URL-safe)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URL参数、文件名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base64 (URL_SAFE)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to_base64_url, from_base64_url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Base58 (Bitcoin)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短地址表示（钱包）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bs58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to_base58, from_base58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Base58 (Ripple)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bs58 (字母表)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to_base58_ripple, from_base58_ripple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Bech32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带HRP的可读地址（NAC主网推荐）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bech32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to_bech32, from_bech32</w:t>
            </w:r>
          </w:p>
        </w:tc>
      </w:tr>
      <w:tr>
        <w:tc>
          <w:tcPr>
            <w:tcW w:w="8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Bech32m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升级版，用于未来扩展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bech32</w:t>
            </w:r>
          </w:p>
        </w:tc>
        <w:tc>
          <w:tcPr>
            <w:tcW w:w="21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to_bech32m, from_bech32m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规范要求：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每种编码必须提供无损转换，即 decode(encode(data)) == data。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解析函数必须返回 Result，错误类型明确（AddressParseError, HashParseError）。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所有编码函数必须通过单一实现，禁止在不同模块重复编写。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对于Base58和Bech32，必须在crate初始化时注册NAC专用HRP（如"nac"、"nact"等），并通过宪法治理决定。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NAC宪法附录中将包含编码标准条款（ENCODING_STANDARD），定义主网默认使用的编码格式（目前为Hex小写 + Bech32）。核心类型实现必须严格遵循宪法附录的版本。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3. NAC核心库组织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所有核心类型、trait、基础工具函数必须集中在以下crate中：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nac-primitives/          # 基础类型（Address, Hash, Signature, ...）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src/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lib.rs          # 重新导出所有模块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address.rs      # Address及相关编解码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hash.rs         # Hash及相关编解码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signature.rs    # 签名（Ed25519/BLS/Dilithium）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errors.rs       # 统一错误类型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crypto.rs       # 密码学辅助函数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encoding/       # 8组编码实现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├── mod.rs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├── hex.rs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├── base64.rs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├── base58.rs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└── bech32.rs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依赖策略：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 必须为无标准库（no_std）兼容，以便在Wasm、TEE等受限环境中使用。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所有其他NAC核心crate必须通过nac-primitives导入这些类型，禁止直接依赖第三方编解码库（如hex、bs58）——应由nac-primitives封装后统一暴露。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版本策略：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 的版本号独立演进，遵循语义化版本。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主版本变更（如修改Address内部布局）必须通过宪法修正案。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4. 宪法静态验证集成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为强制遵守核心类型规范，cargo-constitution 将增加以下Lint：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980"/>
        <w:gridCol w:w="2205"/>
        <w:gridCol w:w="243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Lint名称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检测目标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违例示例</w:t>
            </w:r>
          </w:p>
        </w:tc>
        <w:tc>
          <w:tcPr>
            <w:tcW w:w="24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修复建议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core_type_alias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禁止使用type Address = [u8;32]等别名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pub type Address = [u8;32];</w:t>
            </w:r>
          </w:p>
        </w:tc>
        <w:tc>
          <w:tcPr>
            <w:tcW w:w="24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移除别名，导入nac_primitives::Address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raw_byte_array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禁止在核心领域使用裸[u8;32]/[u8;48]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fn verify(pubkey: [u8;32])</w:t>
            </w:r>
          </w:p>
        </w:tc>
        <w:tc>
          <w:tcPr>
            <w:tcW w:w="24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使用Address或PublicKey类型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direct_encoding_dep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禁止直接依赖hex/bs58等编解码库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Cargo.toml中直接写hex = "0.4"</w:t>
            </w:r>
          </w:p>
        </w:tc>
        <w:tc>
          <w:tcPr>
            <w:tcW w:w="24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移除依赖，通过nac-primitives使用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missing_encoding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Address/Hash未实现8组编码中缺失的格式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Address缺少from_base58</w:t>
            </w:r>
          </w:p>
        </w:tc>
        <w:tc>
          <w:tcPr>
            <w:tcW w:w="24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补全所有8种编码方法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CI配置：</w:t>
      </w:r>
      <w:r>
        <w:rPr>
          <w:rFonts w:eastAsia="等线" w:ascii="Arial" w:cs="Arial" w:hAnsi="Arial"/>
          <w:sz w:val="22"/>
        </w:rPr>
        <w:t>上述Lint默认级别为deny，任何违例将导致PR无法合并。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5. 宪法状态文件扩展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为支持核心类型的版本化与宪法绑定，宪法状态文件（constitutional_state.json）需增加以下字段：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"core_types":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"address":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"version":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"layout": "version:1,type:1,kyc:2,region:2,pubkey:26",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"default_encoding": "bech32",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"hrp": "nac"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"hash":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"version":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"algorithm": "SHA3-384",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"default_encoding": "hex"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"encodings":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"supported": ["hex", "hex_upper", "base64", "base64_url", "base58", "base58_ripple", "bech32", "bech32m"],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"mandatory": 8,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"default": "bech32"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宪法条款：</w:t>
      </w:r>
      <w:r>
        <w:rPr>
          <w:rFonts w:eastAsia="等线" w:ascii="Arial" w:cs="Arial" w:hAnsi="Arial"/>
          <w:sz w:val="22"/>
        </w:rPr>
        <w:t>CORE_TYPE_SPEC —— 规定核心类型的内存布局、算法标准及默认编码。此条款为永恒条款，修改需全民公投90%+宪法法院一致同意。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6. 迁移与过渡计划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1425"/>
        <w:gridCol w:w="2955"/>
        <w:gridCol w:w="271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任务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责任方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 核心库开发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nac-primitives v0.1 发布，包含Address/Hash及8组编码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 依赖替换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NAC核心crate（cbpp, csnp, xtzh）迁移至nac-primitives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各模块负责人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 Lint开发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cargo-constitution 新增上述4个Lint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CSV-WG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 强制启用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2026.05.15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CI中启用deny，禁止裸数组与直接编码依赖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 宪法绑定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提交CORE_TYPE_SPEC宪法修正案</w:t>
            </w:r>
          </w:p>
        </w:tc>
        <w:tc>
          <w:tcPr>
            <w:tcW w:w="271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7. 结论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NAC的核心类型系统是宪法在代码中的第一道防线。通过nac-primitives统一封装、8组编码标准化、静态Lint强制约束，我们确保：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任何贡献者都无法绕过宪法定义的地址结构。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任何核心代码都无法使用未经验证的哈希算法。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任何模块都无法私自引入可能导致编解码不一致的第三方库。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这是NAC“宪法即代码”理念在工程实施层面的最终体现——不仅是法律条款被编译为约束，就连内存中的一个字节，都必须符合宪法规范。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制定人：</w:t>
      </w:r>
      <w:r>
        <w:rPr>
          <w:rFonts w:eastAsia="等线" w:ascii="Arial" w:cs="Arial" w:hAnsi="Arial"/>
          <w:sz w:val="22"/>
        </w:rPr>
        <w:t>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文档状态：</w:t>
      </w:r>
      <w:r>
        <w:rPr>
          <w:rFonts w:eastAsia="等线" w:ascii="Arial" w:cs="Arial" w:hAnsi="Arial"/>
          <w:sz w:val="22"/>
        </w:rPr>
        <w:t>正式发布，与附件E共同构成NAC Rust编码宪法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本附件自发布之日起，对NAC所有官方Rust代码库具有强制约束力。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40959">
    <w:lvl>
      <w:numFmt w:val="bullet"/>
      <w:suff w:val="tab"/>
      <w:lvlText w:val="•"/>
      <w:rPr>
        <w:color w:val="3370ff"/>
      </w:rPr>
    </w:lvl>
  </w:abstractNum>
  <w:abstractNum w:abstractNumId="2640960">
    <w:lvl>
      <w:numFmt w:val="bullet"/>
      <w:suff w:val="tab"/>
      <w:lvlText w:val="•"/>
      <w:rPr>
        <w:color w:val="3370ff"/>
      </w:rPr>
    </w:lvl>
  </w:abstractNum>
  <w:abstractNum w:abstractNumId="2640961">
    <w:lvl>
      <w:numFmt w:val="bullet"/>
      <w:suff w:val="tab"/>
      <w:lvlText w:val="•"/>
      <w:rPr>
        <w:color w:val="3370ff"/>
      </w:rPr>
    </w:lvl>
  </w:abstractNum>
  <w:abstractNum w:abstractNumId="2640962">
    <w:lvl>
      <w:numFmt w:val="bullet"/>
      <w:suff w:val="tab"/>
      <w:lvlText w:val="•"/>
      <w:rPr>
        <w:color w:val="3370ff"/>
      </w:rPr>
    </w:lvl>
  </w:abstractNum>
  <w:abstractNum w:abstractNumId="2640963">
    <w:lvl>
      <w:numFmt w:val="bullet"/>
      <w:suff w:val="tab"/>
      <w:lvlText w:val="•"/>
      <w:rPr>
        <w:color w:val="3370ff"/>
      </w:rPr>
    </w:lvl>
  </w:abstractNum>
  <w:abstractNum w:abstractNumId="2640964">
    <w:lvl>
      <w:numFmt w:val="bullet"/>
      <w:suff w:val="tab"/>
      <w:lvlText w:val="•"/>
      <w:rPr>
        <w:color w:val="3370ff"/>
      </w:rPr>
    </w:lvl>
  </w:abstractNum>
  <w:abstractNum w:abstractNumId="2640965">
    <w:lvl>
      <w:numFmt w:val="bullet"/>
      <w:suff w:val="tab"/>
      <w:lvlText w:val="•"/>
      <w:rPr>
        <w:color w:val="3370ff"/>
      </w:rPr>
    </w:lvl>
  </w:abstractNum>
  <w:abstractNum w:abstractNumId="2640966">
    <w:lvl>
      <w:numFmt w:val="bullet"/>
      <w:suff w:val="tab"/>
      <w:lvlText w:val="•"/>
      <w:rPr>
        <w:color w:val="3370ff"/>
      </w:rPr>
    </w:lvl>
  </w:abstractNum>
  <w:abstractNum w:abstractNumId="2640967">
    <w:lvl>
      <w:numFmt w:val="bullet"/>
      <w:suff w:val="tab"/>
      <w:lvlText w:val="•"/>
      <w:rPr>
        <w:color w:val="3370ff"/>
      </w:rPr>
    </w:lvl>
  </w:abstractNum>
  <w:abstractNum w:abstractNumId="2640968">
    <w:lvl>
      <w:numFmt w:val="bullet"/>
      <w:suff w:val="tab"/>
      <w:lvlText w:val="•"/>
      <w:rPr>
        <w:color w:val="3370ff"/>
      </w:rPr>
    </w:lvl>
  </w:abstractNum>
  <w:abstractNum w:abstractNumId="2640969">
    <w:lvl>
      <w:numFmt w:val="bullet"/>
      <w:suff w:val="tab"/>
      <w:lvlText w:val="•"/>
      <w:rPr>
        <w:color w:val="3370ff"/>
      </w:rPr>
    </w:lvl>
  </w:abstractNum>
  <w:abstractNum w:abstractNumId="2640970">
    <w:lvl>
      <w:numFmt w:val="bullet"/>
      <w:suff w:val="tab"/>
      <w:lvlText w:val="•"/>
      <w:rPr>
        <w:color w:val="3370ff"/>
      </w:rPr>
    </w:lvl>
  </w:abstractNum>
  <w:abstractNum w:abstractNumId="2640971">
    <w:lvl>
      <w:numFmt w:val="bullet"/>
      <w:suff w:val="tab"/>
      <w:lvlText w:val="•"/>
      <w:rPr>
        <w:color w:val="3370ff"/>
      </w:rPr>
    </w:lvl>
  </w:abstractNum>
  <w:abstractNum w:abstractNumId="2640972">
    <w:lvl>
      <w:numFmt w:val="bullet"/>
      <w:suff w:val="tab"/>
      <w:lvlText w:val="•"/>
      <w:rPr>
        <w:color w:val="3370ff"/>
      </w:rPr>
    </w:lvl>
  </w:abstractNum>
  <w:abstractNum w:abstractNumId="2640973">
    <w:lvl>
      <w:numFmt w:val="bullet"/>
      <w:suff w:val="tab"/>
      <w:lvlText w:val="•"/>
      <w:rPr>
        <w:color w:val="3370ff"/>
      </w:rPr>
    </w:lvl>
  </w:abstractNum>
  <w:abstractNum w:abstractNumId="2640974">
    <w:lvl>
      <w:numFmt w:val="bullet"/>
      <w:suff w:val="tab"/>
      <w:lvlText w:val="•"/>
      <w:rPr>
        <w:color w:val="3370ff"/>
      </w:rPr>
    </w:lvl>
  </w:abstractNum>
  <w:abstractNum w:abstractNumId="2640975">
    <w:lvl>
      <w:numFmt w:val="bullet"/>
      <w:suff w:val="tab"/>
      <w:lvlText w:val="•"/>
      <w:rPr>
        <w:color w:val="3370ff"/>
      </w:rPr>
    </w:lvl>
  </w:abstractNum>
  <w:abstractNum w:abstractNumId="2640976">
    <w:lvl>
      <w:numFmt w:val="bullet"/>
      <w:suff w:val="tab"/>
      <w:lvlText w:val="•"/>
      <w:rPr>
        <w:color w:val="3370ff"/>
      </w:rPr>
    </w:lvl>
  </w:abstractNum>
  <w:abstractNum w:abstractNumId="2640977">
    <w:lvl>
      <w:numFmt w:val="bullet"/>
      <w:suff w:val="tab"/>
      <w:lvlText w:val="•"/>
      <w:rPr>
        <w:color w:val="3370ff"/>
      </w:rPr>
    </w:lvl>
  </w:abstractNum>
  <w:abstractNum w:abstractNumId="2640978">
    <w:lvl>
      <w:numFmt w:val="bullet"/>
      <w:suff w:val="tab"/>
      <w:lvlText w:val="•"/>
      <w:rPr>
        <w:color w:val="3370ff"/>
      </w:rPr>
    </w:lvl>
  </w:abstractNum>
  <w:abstractNum w:abstractNumId="2640979">
    <w:lvl>
      <w:numFmt w:val="bullet"/>
      <w:suff w:val="tab"/>
      <w:lvlText w:val="•"/>
      <w:rPr>
        <w:color w:val="3370ff"/>
      </w:rPr>
    </w:lvl>
  </w:abstractNum>
  <w:abstractNum w:abstractNumId="2640980">
    <w:lvl>
      <w:numFmt w:val="bullet"/>
      <w:suff w:val="tab"/>
      <w:lvlText w:val="•"/>
      <w:rPr>
        <w:color w:val="3370ff"/>
      </w:rPr>
    </w:lvl>
  </w:abstractNum>
  <w:abstractNum w:abstractNumId="2640981">
    <w:lvl>
      <w:numFmt w:val="bullet"/>
      <w:suff w:val="tab"/>
      <w:lvlText w:val="•"/>
      <w:rPr>
        <w:color w:val="3370ff"/>
      </w:rPr>
    </w:lvl>
  </w:abstractNum>
  <w:abstractNum w:abstractNumId="2640982">
    <w:lvl>
      <w:numFmt w:val="bullet"/>
      <w:suff w:val="tab"/>
      <w:lvlText w:val="•"/>
      <w:rPr>
        <w:color w:val="3370ff"/>
      </w:rPr>
    </w:lvl>
  </w:abstractNum>
  <w:abstractNum w:abstractNumId="2640983">
    <w:lvl>
      <w:numFmt w:val="bullet"/>
      <w:suff w:val="tab"/>
      <w:lvlText w:val="•"/>
      <w:rPr>
        <w:color w:val="3370ff"/>
      </w:rPr>
    </w:lvl>
  </w:abstractNum>
  <w:num w:numId="1">
    <w:abstractNumId w:val="2640959"/>
  </w:num>
  <w:num w:numId="2">
    <w:abstractNumId w:val="2640960"/>
  </w:num>
  <w:num w:numId="3">
    <w:abstractNumId w:val="2640961"/>
  </w:num>
  <w:num w:numId="4">
    <w:abstractNumId w:val="2640962"/>
  </w:num>
  <w:num w:numId="5">
    <w:abstractNumId w:val="2640963"/>
  </w:num>
  <w:num w:numId="6">
    <w:abstractNumId w:val="2640964"/>
  </w:num>
  <w:num w:numId="7">
    <w:abstractNumId w:val="2640965"/>
  </w:num>
  <w:num w:numId="8">
    <w:abstractNumId w:val="2640966"/>
  </w:num>
  <w:num w:numId="9">
    <w:abstractNumId w:val="2640967"/>
  </w:num>
  <w:num w:numId="10">
    <w:abstractNumId w:val="2640968"/>
  </w:num>
  <w:num w:numId="11">
    <w:abstractNumId w:val="2640969"/>
  </w:num>
  <w:num w:numId="12">
    <w:abstractNumId w:val="2640970"/>
  </w:num>
  <w:num w:numId="13">
    <w:abstractNumId w:val="2640971"/>
  </w:num>
  <w:num w:numId="14">
    <w:abstractNumId w:val="2640972"/>
  </w:num>
  <w:num w:numId="15">
    <w:abstractNumId w:val="2640973"/>
  </w:num>
  <w:num w:numId="16">
    <w:abstractNumId w:val="2640974"/>
  </w:num>
  <w:num w:numId="17">
    <w:abstractNumId w:val="2640975"/>
  </w:num>
  <w:num w:numId="18">
    <w:abstractNumId w:val="2640976"/>
  </w:num>
  <w:num w:numId="19">
    <w:abstractNumId w:val="2640977"/>
  </w:num>
  <w:num w:numId="20">
    <w:abstractNumId w:val="2640978"/>
  </w:num>
  <w:num w:numId="21">
    <w:abstractNumId w:val="2640979"/>
  </w:num>
  <w:num w:numId="22">
    <w:abstractNumId w:val="2640980"/>
  </w:num>
  <w:num w:numId="23">
    <w:abstractNumId w:val="2640981"/>
  </w:num>
  <w:num w:numId="24">
    <w:abstractNumId w:val="2640982"/>
  </w:num>
  <w:num w:numId="25">
    <w:abstractNumId w:val="264098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2026-02-13T00:40:01Z</dcterms:created>
  <dc:creator>Apache POI</dc:creator>
</cp:coreProperties>
</file>