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NAC公链钱包核心技术白皮书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：NAC钱包工作组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：NAC技术架构白皮书、宪法层规范、AI层规范、协议层规范、nac-primitives规范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NAC钱包是NAC生态中连接用户与区块链的核心工具。它不仅是简单的私钥管理和交易发送工具，更是</w:t>
      </w:r>
      <w:r>
        <w:rPr>
          <w:rFonts w:eastAsia="等线" w:ascii="Arial" w:cs="Arial" w:hAnsi="Arial"/>
          <w:b w:val="true"/>
          <w:sz w:val="22"/>
        </w:rPr>
        <w:t>宪法合规的第一道入口</w:t>
      </w:r>
      <w:r>
        <w:rPr>
          <w:rFonts w:eastAsia="等线" w:ascii="Arial" w:cs="Arial" w:hAnsi="Arial"/>
          <w:sz w:val="22"/>
        </w:rPr>
        <w:t>。钱包必须理解NAC的</w:t>
      </w:r>
      <w:r>
        <w:rPr>
          <w:rFonts w:eastAsia="等线" w:ascii="Arial" w:cs="Arial" w:hAnsi="Arial"/>
          <w:b w:val="true"/>
          <w:sz w:val="22"/>
        </w:rPr>
        <w:t>结构化地址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宪法收据（CR）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GNACS资产编码</w:t>
      </w:r>
      <w:r>
        <w:rPr>
          <w:rFonts w:eastAsia="等线" w:ascii="Arial" w:cs="Arial" w:hAnsi="Arial"/>
          <w:sz w:val="22"/>
        </w:rPr>
        <w:t>等核心概念，并能与</w:t>
      </w:r>
      <w:r>
        <w:rPr>
          <w:rFonts w:eastAsia="等线" w:ascii="Arial" w:cs="Arial" w:hAnsi="Arial"/>
          <w:b w:val="true"/>
          <w:sz w:val="22"/>
        </w:rPr>
        <w:t>宪法执行引擎（CEE）</w:t>
      </w:r>
      <w:r>
        <w:rPr>
          <w:rFonts w:eastAsia="等线" w:ascii="Arial" w:cs="Arial" w:hAnsi="Arial"/>
          <w:sz w:val="22"/>
        </w:rPr>
        <w:t>交互，确保每笔交易在提交前就具备合规性。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本白皮书阐述NAC钱包的核心技术设计，涵盖：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密钥管理与账户模型（支持NAC结构化地址）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交易构造与宪法收据获取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多资产支持（ACC-20/ACC-1400、XTZH、XIC）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与CEE的交互协议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离线与在线模式设计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6. 合规性检查与宪法沙箱集成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7. 与nac-toolbox及一键上链系统的联动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钱包将作为nac-toolbox的一部分，提供CLI和API，同时也有独立的图形界面版本（桌面/移动/Web）。所有钱包实现必须通过宪法法院的审计，确保不泄露私钥、不篡改交易。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一、钱包架构总览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用户交互层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(CLI命令 / GUI界面 / 浏览器扩展 / 移动App)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钱包核心逻辑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密钥管理模块 (生成/存储/签名)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账户管理模块 (地址派生、余额查询、历史记录)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交易构造模块 (转账、合约调用、资产发行)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宪法收据模块 (向CEE请求CR、验证CR)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资产解析模块 (GNACS解析、代币标准识别)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网络通信模块 (与节点RPC交互、与CEE交互)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宪法沙箱模块 (模拟交易合规性)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  底层依赖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├─────────────────────────────────────────────────────────────┤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nac-primitives (Address, Hash, 编码转换)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nac_serde (序列化)      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nac-toolbox (可选，用于一键上链)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密码学库 (Ed25519, BLS, Dilithium)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设计原则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宪法优先</w:t>
      </w:r>
      <w:r>
        <w:rPr>
          <w:rFonts w:eastAsia="等线" w:ascii="Arial" w:cs="Arial" w:hAnsi="Arial"/>
          <w:sz w:val="22"/>
        </w:rPr>
        <w:t>：钱包必须确保所有交易在提交前已获取有效的宪法收据。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离线可用</w:t>
      </w:r>
      <w:r>
        <w:rPr>
          <w:rFonts w:eastAsia="等线" w:ascii="Arial" w:cs="Arial" w:hAnsi="Arial"/>
          <w:sz w:val="22"/>
        </w:rPr>
        <w:t>：支持离线构造交易、签名，在线时广播。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</w:t>
      </w:r>
      <w:r>
        <w:rPr>
          <w:rFonts w:eastAsia="等线" w:ascii="Arial" w:cs="Arial" w:hAnsi="Arial"/>
          <w:b w:val="true"/>
          <w:sz w:val="22"/>
        </w:rPr>
        <w:t>最小权限</w:t>
      </w:r>
      <w:r>
        <w:rPr>
          <w:rFonts w:eastAsia="等线" w:ascii="Arial" w:cs="Arial" w:hAnsi="Arial"/>
          <w:sz w:val="22"/>
        </w:rPr>
        <w:t>：密钥本地存储，绝不离开用户设备。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4.  </w:t>
      </w:r>
      <w:r>
        <w:rPr>
          <w:rFonts w:eastAsia="等线" w:ascii="Arial" w:cs="Arial" w:hAnsi="Arial"/>
          <w:b w:val="true"/>
          <w:sz w:val="22"/>
        </w:rPr>
        <w:t>可审计</w:t>
      </w:r>
      <w:r>
        <w:rPr>
          <w:rFonts w:eastAsia="等线" w:ascii="Arial" w:cs="Arial" w:hAnsi="Arial"/>
          <w:sz w:val="22"/>
        </w:rPr>
        <w:t>：钱包代码开源，版本哈希公开，接受社区审计。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二、密钥管理与账户模型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密钥生成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NAC钱包支持以下签名算法：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Ed25519</w:t>
      </w:r>
      <w:r>
        <w:rPr>
          <w:rFonts w:eastAsia="等线" w:ascii="Arial" w:cs="Arial" w:hAnsi="Arial"/>
          <w:sz w:val="22"/>
        </w:rPr>
        <w:t>：默认账户密钥，用于普通交易。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BLS</w:t>
      </w:r>
      <w:r>
        <w:rPr>
          <w:rFonts w:eastAsia="等线" w:ascii="Arial" w:cs="Arial" w:hAnsi="Arial"/>
          <w:sz w:val="22"/>
        </w:rPr>
        <w:t>：用于需要聚合签名的场景（如多签、跨链中继）。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Dilithium5</w:t>
      </w:r>
      <w:r>
        <w:rPr>
          <w:rFonts w:eastAsia="等线" w:ascii="Arial" w:cs="Arial" w:hAnsi="Arial"/>
          <w:sz w:val="22"/>
        </w:rPr>
        <w:t>：后量子备选，用于高安全需求账户。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助记词</w:t>
      </w:r>
      <w:r>
        <w:rPr>
          <w:rFonts w:eastAsia="等线" w:ascii="Arial" w:cs="Arial" w:hAnsi="Arial"/>
          <w:sz w:val="22"/>
        </w:rPr>
        <w:t>：遵循BIP39，生成种子。派生路径遵循NAC标准：m/44'/626'/0'/0/index（其中626是NAC的BIP44 coin type，需向SLIP注册）。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结构化地址生成</w:t>
      </w:r>
      <w:r>
        <w:rPr>
          <w:rFonts w:eastAsia="等线" w:ascii="Arial" w:cs="Arial" w:hAnsi="Arial"/>
          <w:sz w:val="22"/>
        </w:rPr>
        <w:t>：公钥经SHA3-384哈希，取前26字节，加上版本、类型、KYC等级、区域等字段，拼接成32字节Address。钱包应提供从公钥到结构化地址的完整计算。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2.2 密钥存储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加密</w:t>
      </w:r>
      <w:r>
        <w:rPr>
          <w:rFonts w:eastAsia="等线" w:ascii="Arial" w:cs="Arial" w:hAnsi="Arial"/>
          <w:sz w:val="22"/>
        </w:rPr>
        <w:t>：使用AES-256-GCM加密私钥，密钥派生自用户口令。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存储格式</w:t>
      </w:r>
      <w:r>
        <w:rPr>
          <w:rFonts w:eastAsia="等线" w:ascii="Arial" w:cs="Arial" w:hAnsi="Arial"/>
          <w:sz w:val="22"/>
        </w:rPr>
        <w:t>：JSON文件（类似Web3 Secret Storage），包含加密私钥、地址、元数据（账户类型、KYC凭证哈希等）。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硬件钱包支持</w:t>
      </w:r>
      <w:r>
        <w:rPr>
          <w:rFonts w:eastAsia="等线" w:ascii="Arial" w:cs="Arial" w:hAnsi="Arial"/>
          <w:sz w:val="22"/>
        </w:rPr>
        <w:t>：计划支持Ledger、Trezor等硬件钱包，通过NAC App集成。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2.3 账户模型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NAC账户是结构化地址，包含以下字段（钱包应提供解析方法）：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version：地址格式版本（当前1）。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type：账户类型（个人/企业/合约/系统）。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kyc_level：KYC等级（0-3）。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 region：司法管辖区代码（ISO3166-1）。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5.  pubkey_hash：公钥哈希（26字节）。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钱包应能从地址中提取这些信息，并在UI中显示（如KYC等级徽章、国家旗帜）。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三、交易构造与宪法收据</w:t>
      </w:r>
      <w:bookmarkEnd w:id="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3.1 交易结构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NAC交易包含两部分：</w:t>
      </w:r>
      <w:r>
        <w:rPr>
          <w:rFonts w:eastAsia="等线" w:ascii="Arial" w:cs="Arial" w:hAnsi="Arial"/>
          <w:b w:val="true"/>
          <w:sz w:val="22"/>
        </w:rPr>
        <w:t>交易体</w:t>
      </w:r>
      <w:r>
        <w:rPr>
          <w:rFonts w:eastAsia="等线" w:ascii="Arial" w:cs="Arial" w:hAnsi="Arial"/>
          <w:sz w:val="22"/>
        </w:rPr>
        <w:t xml:space="preserve"> + </w:t>
      </w:r>
      <w:r>
        <w:rPr>
          <w:rFonts w:eastAsia="等线" w:ascii="Arial" w:cs="Arial" w:hAnsi="Arial"/>
          <w:b w:val="true"/>
          <w:sz w:val="22"/>
        </w:rPr>
        <w:t>宪法收据（CR）</w:t>
      </w:r>
      <w:r>
        <w:rPr>
          <w:rFonts w:eastAsia="等线" w:ascii="Arial" w:cs="Arial" w:hAnsi="Arial"/>
          <w:sz w:val="22"/>
        </w:rPr>
        <w:t>。CR必须在交易广播前获取。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message Transaction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 transaction_payload = 1;  // 原始交易数据（类型、金额、目标等）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ConstitutionalReceipt receipt = 2;  // 宪法收据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3.2 交易构造流程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用户输入</w:t>
      </w:r>
      <w:r>
        <w:rPr>
          <w:rFonts w:eastAsia="等线" w:ascii="Arial" w:cs="Arial" w:hAnsi="Arial"/>
          <w:sz w:val="22"/>
        </w:rPr>
        <w:t>：选择资产、输入接收地址、金额等。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交易体构造</w:t>
      </w:r>
      <w:r>
        <w:rPr>
          <w:rFonts w:eastAsia="等线" w:ascii="Arial" w:cs="Arial" w:hAnsi="Arial"/>
          <w:sz w:val="22"/>
        </w:rPr>
        <w:t>：钱包根据资产类型（XTZH、XIC、ACC-20代币）构造相应的交易体。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3.  </w:t>
      </w:r>
      <w:r>
        <w:rPr>
          <w:rFonts w:eastAsia="等线" w:ascii="Arial" w:cs="Arial" w:hAnsi="Arial"/>
          <w:b w:val="true"/>
          <w:sz w:val="22"/>
        </w:rPr>
        <w:t>向CEE请求CR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钱包将交易体（或交易哈希）及辅助信息（如资产GNACS、KYC凭证）发送给CEE节点。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- CEE验证交易符合宪法条款，返回CR。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4.  </w:t>
      </w:r>
      <w:r>
        <w:rPr>
          <w:rFonts w:eastAsia="等线" w:ascii="Arial" w:cs="Arial" w:hAnsi="Arial"/>
          <w:b w:val="true"/>
          <w:sz w:val="22"/>
        </w:rPr>
        <w:t>签名</w:t>
      </w:r>
      <w:r>
        <w:rPr>
          <w:rFonts w:eastAsia="等线" w:ascii="Arial" w:cs="Arial" w:hAnsi="Arial"/>
          <w:sz w:val="22"/>
        </w:rPr>
        <w:t>：用户用私钥对</w:t>
      </w:r>
      <w:r>
        <w:rPr>
          <w:rFonts w:eastAsia="等线" w:ascii="Arial" w:cs="Arial" w:hAnsi="Arial"/>
          <w:b w:val="true"/>
          <w:sz w:val="22"/>
        </w:rPr>
        <w:t>交易体+CR</w:t>
      </w:r>
      <w:r>
        <w:rPr>
          <w:rFonts w:eastAsia="等线" w:ascii="Arial" w:cs="Arial" w:hAnsi="Arial"/>
          <w:sz w:val="22"/>
        </w:rPr>
        <w:t>的联合哈希签名（确保交易和CR绑定）。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5.  </w:t>
      </w:r>
      <w:r>
        <w:rPr>
          <w:rFonts w:eastAsia="等线" w:ascii="Arial" w:cs="Arial" w:hAnsi="Arial"/>
          <w:b w:val="true"/>
          <w:sz w:val="22"/>
        </w:rPr>
        <w:t>广播</w:t>
      </w:r>
      <w:r>
        <w:rPr>
          <w:rFonts w:eastAsia="等线" w:ascii="Arial" w:cs="Arial" w:hAnsi="Arial"/>
          <w:sz w:val="22"/>
        </w:rPr>
        <w:t>：将完整交易（含签名）发送至NAC节点。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3.3 宪法收据（CR）格式回顾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message ConstitutionalReceipt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transaction_hash;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constitutional_hash;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clause_mask;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execution_result_hash;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timestamp;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uint64 validity_window;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repeated bytes signatures;  // CEE节点签名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bytes32 receipt_id;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钱包需验证CR的签名、宪法哈希是否匹配当前网络、是否在有效期内。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3.4 多CEE节点策略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钱包可配置多个CEE节点地址。请求CR时，可并行请求，取第一个有效响应，或等待多个签名（对于高价值交易）。若CEE节点无响应，可切换备用节点。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四、资产支持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4.1 原生代币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 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：稳定币，用于支付、储备。单位：xtzh（精度1e6）。钱包需显示XTZH余额、汇率（与SDR/USD）。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 </w:t>
      </w:r>
      <w:r>
        <w:rPr>
          <w:rFonts w:eastAsia="等线" w:ascii="Arial" w:cs="Arial" w:hAnsi="Arial"/>
          <w:b w:val="true"/>
          <w:sz w:val="22"/>
        </w:rPr>
        <w:t>XIC</w:t>
      </w:r>
      <w:r>
        <w:rPr>
          <w:rFonts w:eastAsia="等线" w:ascii="Arial" w:cs="Arial" w:hAnsi="Arial"/>
          <w:sz w:val="22"/>
        </w:rPr>
        <w:t>：治理币，用于支付交易费、质押。单位：xic（精度1e18）。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4.2 ACC-20代币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通过合约地址识别，从链上获取GNACS编码。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钱包解析GNACS，显示资产类型、风险等级、合规要求等信息。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支持发送ACC-20代币，调用合约的transfer方法。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4.3 ACC-1400证券型代币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支持分区余额（如普通股、员工股）。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发送时需指定分区ID。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钱包应展示不同分区的余额。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4.4 GNACS解析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钱包内置GNACS解析器，将48位编码转换为人类可读信息：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资产类型（如“不动产收益权”）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风险权重（巴塞尔III）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合规等级（完全合规/高风险等）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4.  实时状态（正常/冻结/注销）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五、与CEE交互协议</w:t>
      </w:r>
      <w:bookmarkEnd w:id="1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5.1 CEE节点发现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钱包可从链上系统合约（CEEList）获取当前活跃CEE节点列表（公钥、端点）。建议钱包缓存此列表，定期更新。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5.2 请求CR的API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POST /cee/v1/issue-receipt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Content-Type: application/json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"transaction_hash": "0x...",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"transaction_payload": "base64...",  // 可选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"auxiliary_data":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"kyc_proof": "...",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"asset_gnacs": "..."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响应：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"receipt": { ... },  // CR对象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"signature": "0x..." // CEE节点签名（已包含在CR中）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5.3 错误处理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CEE可能返回错误（如“KYC等级不足”、“资产已冻结”），钱包应解析错误信息并友好提示用户。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5.4 离线CR（高级）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对于特殊场景（如完全离线环境），CEE可提供</w:t>
      </w:r>
      <w:r>
        <w:rPr>
          <w:rFonts w:eastAsia="等线" w:ascii="Arial" w:cs="Arial" w:hAnsi="Arial"/>
          <w:b w:val="true"/>
          <w:sz w:val="22"/>
        </w:rPr>
        <w:t>预签名收据</w:t>
      </w:r>
      <w:r>
        <w:rPr>
          <w:rFonts w:eastAsia="等线" w:ascii="Arial" w:cs="Arial" w:hAnsi="Arial"/>
          <w:sz w:val="22"/>
        </w:rPr>
        <w:t>，但有效期较短。钱包需在有效期内广播交易。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六、离线与在线模式</w:t>
      </w:r>
      <w:bookmarkEnd w:id="2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6.1 在线模式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默认模式。钱包连接节点，实时查询余额、发送交易、获取CR。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6.2 离线模式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用户可在离线环境构造交易，导出待签名文件。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将文件导入在线设备（或通过二维码）获取CR和广播。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离线钱包需存储宪法状态文件（定期更新），用于本地验证CEE签名的有效性。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6.3 宪法状态同步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钱包定期从节点同步最新的宪法状态文件（constitutional_state.json），用于本地解析宪法条款、验证CR签名、估算费用等。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6" w:id="26"/>
      <w:r>
        <w:rPr>
          <w:rFonts w:eastAsia="等线" w:ascii="Arial" w:cs="Arial" w:hAnsi="Arial"/>
          <w:b w:val="true"/>
          <w:sz w:val="36"/>
        </w:rPr>
        <w:t>七、宪法沙箱集成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钱包应集成宪法沙箱（nac sandbox），允许用户在发送真实交易前模拟交易结果。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用户选择“测试模式”，钱包调用本地沙箱API，模拟交易执行，返回合规性结果、预估费用、CR等。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沙箱模式不消耗真实XIC，适合新手学习和复杂交易验证。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7" w:id="27"/>
      <w:r>
        <w:rPr>
          <w:rFonts w:eastAsia="等线" w:ascii="Arial" w:cs="Arial" w:hAnsi="Arial"/>
          <w:b w:val="true"/>
          <w:sz w:val="36"/>
        </w:rPr>
        <w:t>八、与nac-toolbox及一键上链集成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钱包可作为nac-toolbox的一部分，通过CLI调用：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wallet create      # 创建新钱包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wallet balance    # 查询余额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wallet send       # 发送交易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同时，钱包也可作为独立应用，通过API与一键上链系统交互：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一键上链过程中，需要用户签名资产发行交易，钱包负责签名并将交易提交。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钱包提供“资产发行”界面，引导用户完成信息填写（可复用一键上链前端部分逻辑）。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8" w:id="28"/>
      <w:r>
        <w:rPr>
          <w:rFonts w:eastAsia="等线" w:ascii="Arial" w:cs="Arial" w:hAnsi="Arial"/>
          <w:b w:val="true"/>
          <w:sz w:val="36"/>
        </w:rPr>
        <w:t>九、安全与审计</w:t>
      </w:r>
      <w:bookmarkEnd w:id="2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9.1 私钥安全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私钥永不离设备，不通过网络发送。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支持硬件钱包、生物识别等额外保护。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9.2 交易验证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钱包在签名前必须向用户展示完整的交易详情（包括接收地址、金额、资产类型、CR信息）。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高风险交易（如资产发行、大量转账）需二次确认。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9.3 代码审计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钱包代码必须开源，并接受宪法法院授权的第三方审计。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每次发布新版本，需提交审计报告，版本哈希上链存证。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9.4 宪法免疫集成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钱包可集成宪政免疫系统客户端，定期检查自身代码哈希与链上合法版本是否一致，防止篡改。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十、路线图</w:t>
      </w:r>
      <w:bookmarkEnd w:id="3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CLI钱包原型，支持XTZH/X</w:t>
            </w:r>
            <w:r>
              <w:rPr>
                <w:rFonts w:eastAsia="等线" w:ascii="Arial" w:cs="Arial" w:hAnsi="Arial"/>
                <w:sz w:val="22"/>
              </w:rPr>
              <w:t>IC转账、CR获取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ACC-20/ACC-1400资产支持、GNACS解析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图形界面钱包（Web/</w:t>
            </w:r>
            <w:r>
              <w:rPr>
                <w:rFonts w:eastAsia="等线" w:ascii="Arial" w:cs="Arial" w:hAnsi="Arial"/>
                <w:sz w:val="22"/>
              </w:rPr>
              <w:t>桌面）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移动端钱包（iOS/Android）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硬件钱包支持、</w:t>
            </w:r>
            <w:r>
              <w:rPr>
                <w:rFonts w:eastAsia="等线" w:ascii="Arial" w:cs="Arial" w:hAnsi="Arial"/>
                <w:sz w:val="22"/>
              </w:rPr>
              <w:t>宪法沙箱集成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主网上线，通过宪法法院审计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4" w:id="34"/>
      <w:r>
        <w:rPr>
          <w:rFonts w:eastAsia="等线" w:ascii="Arial" w:cs="Arial" w:hAnsi="Arial"/>
          <w:b w:val="true"/>
          <w:sz w:val="36"/>
        </w:rPr>
        <w:t>十一、结论</w:t>
      </w:r>
      <w:bookmarkEnd w:id="3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钱包是连接用户与宪法区块链的桥梁。它不仅管理密钥和资产，更确保每一笔交易在宪法框架内合规执行。通过深度集成CEE、GNACS、宪法状态等NAC原生特性，钱包成为NAC生态中不可或缺的“合规入口”。所有实现均遵循开源、可审计原则，与NAC“完美中心化框架下的去中心化”理念一脉相承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：NAC钱包工作组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2026-02-14T16:33:10Z</dcterms:created>
  <dc:creator>Apache POI</dc:creator>
</cp:coreProperties>
</file>