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NAC公链RWA交易所核心技术白皮书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：NAC交易所工作组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：NAC技术架构白皮书、宪法层规范、AI层规范、CBPP白皮书、XTZH技术白皮书、一键上链核心技术白皮书、钱包核心技术白皮书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NAC公链RWA交易所是专为真实世界资产（RWA）设计的去中心化交易平台。与传统加密资产交易所不同，RWA交易所必须原生支持</w:t>
      </w:r>
      <w:r>
        <w:rPr>
          <w:rFonts w:eastAsia="等线" w:ascii="Arial" w:cs="Arial" w:hAnsi="Arial"/>
          <w:b w:val="true"/>
          <w:sz w:val="22"/>
        </w:rPr>
        <w:t>GNACS资产编码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宪法收据（CR）验证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KYC/AML合规检查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XTZH稳定币定价</w:t>
      </w:r>
      <w:r>
        <w:rPr>
          <w:rFonts w:eastAsia="等线" w:ascii="Arial" w:cs="Arial" w:hAnsi="Arial"/>
          <w:sz w:val="22"/>
        </w:rPr>
        <w:t>等NAC原生特性。交易所不仅是资产流通的场所，更是宪法规则在二级市场的延伸执行者。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本白皮书阐述NAC RWA交易所的核心技术设计，涵盖：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订单簿模型</w:t>
      </w:r>
      <w:r>
        <w:rPr>
          <w:rFonts w:eastAsia="等线" w:ascii="Arial" w:cs="Arial" w:hAnsi="Arial"/>
          <w:sz w:val="22"/>
        </w:rPr>
        <w:t>：支持RWA的限价单、做市商保护、大宗交易通道。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资产集成</w:t>
      </w:r>
      <w:r>
        <w:rPr>
          <w:rFonts w:eastAsia="等线" w:ascii="Arial" w:cs="Arial" w:hAnsi="Arial"/>
          <w:sz w:val="22"/>
        </w:rPr>
        <w:t>：GNACS解析、XTZH计价、XIC手续费、ACC-20/ACC-1400代币交易。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宪法合规</w:t>
      </w:r>
      <w:r>
        <w:rPr>
          <w:rFonts w:eastAsia="等线" w:ascii="Arial" w:cs="Arial" w:hAnsi="Arial"/>
          <w:sz w:val="22"/>
        </w:rPr>
        <w:t>：交易前KYC验证、区域限制检查、收据验证、交易后审计。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等线" w:ascii="Arial" w:cs="Arial" w:hAnsi="Arial"/>
          <w:b w:val="true"/>
          <w:sz w:val="22"/>
        </w:rPr>
        <w:t>流动性机制</w:t>
      </w:r>
      <w:r>
        <w:rPr>
          <w:rFonts w:eastAsia="等线" w:ascii="Arial" w:cs="Arial" w:hAnsi="Arial"/>
          <w:sz w:val="22"/>
        </w:rPr>
        <w:t>：做市商准入、流动性挖矿、动态费率。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5.  </w:t>
      </w:r>
      <w:r>
        <w:rPr>
          <w:rFonts w:eastAsia="等线" w:ascii="Arial" w:cs="Arial" w:hAnsi="Arial"/>
          <w:b w:val="true"/>
          <w:sz w:val="22"/>
        </w:rPr>
        <w:t>清算与结算</w:t>
      </w:r>
      <w:r>
        <w:rPr>
          <w:rFonts w:eastAsia="等线" w:ascii="Arial" w:cs="Arial" w:hAnsi="Arial"/>
          <w:sz w:val="22"/>
        </w:rPr>
        <w:t>：原子交换、XTZH即时结算、黄金储备联动。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6.  </w:t>
      </w:r>
      <w:r>
        <w:rPr>
          <w:rFonts w:eastAsia="等线" w:ascii="Arial" w:cs="Arial" w:hAnsi="Arial"/>
          <w:b w:val="true"/>
          <w:sz w:val="22"/>
        </w:rPr>
        <w:t>MEV防护</w:t>
      </w:r>
      <w:r>
        <w:rPr>
          <w:rFonts w:eastAsia="等线" w:ascii="Arial" w:cs="Arial" w:hAnsi="Arial"/>
          <w:sz w:val="22"/>
        </w:rPr>
        <w:t>：防抢跑、防三明治攻击的订单簿设计。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7.  </w:t>
      </w:r>
      <w:r>
        <w:rPr>
          <w:rFonts w:eastAsia="等线" w:ascii="Arial" w:cs="Arial" w:hAnsi="Arial"/>
          <w:b w:val="true"/>
          <w:sz w:val="22"/>
        </w:rPr>
        <w:t>治理</w:t>
      </w:r>
      <w:r>
        <w:rPr>
          <w:rFonts w:eastAsia="等线" w:ascii="Arial" w:cs="Arial" w:hAnsi="Arial"/>
          <w:sz w:val="22"/>
        </w:rPr>
        <w:t>：宪法框架下的参数调整、交易对上架规则。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交易所将作为NAC生态的核心组件，与钱包、一键上链系统、宪法执行引擎（CEE）深度集成，为用户提供合规、高效、透明的RWA交易体验。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前端应用层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(Web交易界面 / 移动App / API客户端)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交易所核心服务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订单簿引擎 (Order Book Engine)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撮合引擎 (Matching Engine)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资产网关 (Asset Gateway)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宪法合规网关 (Constitutional Compliance Gateway)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清算结算模块 (Clearing &amp; Settlement)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流动性管理模块 (Liquidity Manager)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市场数据服务 (Market Data)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NAC链上交互层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与CEE交互（获取宪法收据）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与NAC节点交互（查询余额、广播交易）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与预言机交互（获取实时汇率、资产价格）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与托管机构API交互（验证资产状态）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设计原则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</w:t>
      </w:r>
      <w:r>
        <w:rPr>
          <w:rFonts w:eastAsia="等线" w:ascii="Arial" w:cs="Arial" w:hAnsi="Arial"/>
          <w:b w:val="true"/>
          <w:sz w:val="22"/>
        </w:rPr>
        <w:t>宪法驱动</w:t>
      </w:r>
      <w:r>
        <w:rPr>
          <w:rFonts w:eastAsia="等线" w:ascii="Arial" w:cs="Arial" w:hAnsi="Arial"/>
          <w:sz w:val="22"/>
        </w:rPr>
        <w:t>：所有交易规则源自宪法附录，交易所无权自行决定。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合规优先</w:t>
      </w:r>
      <w:r>
        <w:rPr>
          <w:rFonts w:eastAsia="等线" w:ascii="Arial" w:cs="Arial" w:hAnsi="Arial"/>
          <w:sz w:val="22"/>
        </w:rPr>
        <w:t>：每笔交易必须通过宪法合规检查，否则无法进入订单簿。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资产原生</w:t>
      </w:r>
      <w:r>
        <w:rPr>
          <w:rFonts w:eastAsia="等线" w:ascii="Arial" w:cs="Arial" w:hAnsi="Arial"/>
          <w:sz w:val="22"/>
        </w:rPr>
        <w:t>：直接支持GNACS编码，资产属性实时解析。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等线" w:ascii="Arial" w:cs="Arial" w:hAnsi="Arial"/>
          <w:b w:val="true"/>
          <w:sz w:val="22"/>
        </w:rPr>
        <w:t>离线优先</w:t>
      </w:r>
      <w:r>
        <w:rPr>
          <w:rFonts w:eastAsia="等线" w:ascii="Arial" w:cs="Arial" w:hAnsi="Arial"/>
          <w:sz w:val="22"/>
        </w:rPr>
        <w:t>：支持用户离线签名，订单提交时附带合规证明。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二、订单簿引擎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订单簿结构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RWA交易所采用</w:t>
      </w:r>
      <w:r>
        <w:rPr>
          <w:rFonts w:eastAsia="等线" w:ascii="Arial" w:cs="Arial" w:hAnsi="Arial"/>
          <w:b w:val="true"/>
          <w:sz w:val="22"/>
        </w:rPr>
        <w:t>中央限价订单簿（CLOB）</w:t>
      </w:r>
      <w:r>
        <w:rPr>
          <w:rFonts w:eastAsia="等线" w:ascii="Arial" w:cs="Arial" w:hAnsi="Arial"/>
          <w:sz w:val="22"/>
        </w:rPr>
        <w:t>模型，但针对RWA特性进行优化：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资产对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XTZH</w:t>
      </w:r>
      <w:r>
        <w:rPr>
          <w:rFonts w:eastAsia="等线" w:ascii="Arial" w:cs="Arial" w:hAnsi="Arial"/>
          <w:sz w:val="22"/>
        </w:rPr>
        <w:t>作为基础计价货币（与SDR锚定），支持</w:t>
      </w:r>
      <w:r>
        <w:rPr>
          <w:rFonts w:eastAsia="Consolas" w:ascii="Consolas" w:cs="Consolas" w:hAnsi="Consolas"/>
          <w:sz w:val="22"/>
          <w:shd w:fill="EFF0F1"/>
        </w:rPr>
        <w:t>XTZH/资产</w:t>
      </w:r>
      <w:r>
        <w:rPr>
          <w:rFonts w:eastAsia="等线" w:ascii="Arial" w:cs="Arial" w:hAnsi="Arial"/>
          <w:sz w:val="22"/>
        </w:rPr>
        <w:t>交易对。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订单类型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限价单（Good-till-Cancelled, Immediate-or-Cancel, Fill-or-Kill）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大宗交易协议（Block Trade，场外议价，链上结算）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冰山订单（隐藏部分数量，减少市场冲击）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订单生命周期</w:t>
      </w:r>
      <w:r>
        <w:rPr>
          <w:rFonts w:eastAsia="等线" w:ascii="Arial" w:cs="Arial" w:hAnsi="Arial"/>
          <w:sz w:val="22"/>
        </w:rPr>
        <w:t>：创建 → 验证 → 入簿 → 撮合 → 成交 → 结算 → 归档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2.2 GNACS驱动的订单簿分区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基于资产GNACS编码，订单簿自动分区，实现</w:t>
      </w:r>
      <w:r>
        <w:rPr>
          <w:rFonts w:eastAsia="等线" w:ascii="Arial" w:cs="Arial" w:hAnsi="Arial"/>
          <w:b w:val="true"/>
          <w:sz w:val="22"/>
        </w:rPr>
        <w:t>资产属性感知的交易环境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订单簿行为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liquidity=01（高流动性）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进入主订单簿，实时撮合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liquidity=03（OTC）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仅显示做市商报价，需询价</w:t>
            </w:r>
            <w:r>
              <w:rPr>
                <w:rFonts w:eastAsia="等线" w:ascii="Arial" w:cs="Arial" w:hAnsi="Arial"/>
                <w:sz w:val="22"/>
              </w:rPr>
              <w:t>成交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compliance=04（高风险）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仅限合格投资者查看和交易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status=01</w:t>
            </w:r>
            <w:r>
              <w:rPr>
                <w:rFonts w:eastAsia="等线" w:ascii="Arial" w:cs="Arial" w:hAnsi="Arial"/>
                <w:sz w:val="22"/>
              </w:rPr>
              <w:t>（冻结）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自动下架，无法挂单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订单簿前端根据用户KYC等级、区域、合格投资者状态，动态过滤可显示的订单。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2.3 订单数据格式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message Order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order_id;              // 订单唯一ID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address maker;                 // 挂单方地址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address asset;                 // 资产合约地址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GNACS asset_gnacs;             // 资产GNACS编码（冗余，用于快速检查）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uint64 side;                   // 0=买入，1=卖出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price;                  // 价格（单位：XTZH/SDR，精度1e6）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quantity;               // 数量（精度取决于资产）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filled;                 // 已成交数量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timestamp;              // 挂单时间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expiry;                 // 过期时间（可选）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receipt_hash;          // 宪法收据哈希（证明挂单合规）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 signature;               // 用户签名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三、撮合引擎</w:t>
      </w:r>
      <w:bookmarkEnd w:id="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价格时间优先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买单按</w:t>
      </w:r>
      <w:r>
        <w:rPr>
          <w:rFonts w:eastAsia="等线" w:ascii="Arial" w:cs="Arial" w:hAnsi="Arial"/>
          <w:b w:val="true"/>
          <w:sz w:val="22"/>
        </w:rPr>
        <w:t>价格从高到低</w:t>
      </w:r>
      <w:r>
        <w:rPr>
          <w:rFonts w:eastAsia="等线" w:ascii="Arial" w:cs="Arial" w:hAnsi="Arial"/>
          <w:sz w:val="22"/>
        </w:rPr>
        <w:t>排序，相同价格按</w:t>
      </w:r>
      <w:r>
        <w:rPr>
          <w:rFonts w:eastAsia="等线" w:ascii="Arial" w:cs="Arial" w:hAnsi="Arial"/>
          <w:b w:val="true"/>
          <w:sz w:val="22"/>
        </w:rPr>
        <w:t>时间优先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卖单按</w:t>
      </w:r>
      <w:r>
        <w:rPr>
          <w:rFonts w:eastAsia="等线" w:ascii="Arial" w:cs="Arial" w:hAnsi="Arial"/>
          <w:b w:val="true"/>
          <w:sz w:val="22"/>
        </w:rPr>
        <w:t>价格从低到高</w:t>
      </w:r>
      <w:r>
        <w:rPr>
          <w:rFonts w:eastAsia="等线" w:ascii="Arial" w:cs="Arial" w:hAnsi="Arial"/>
          <w:sz w:val="22"/>
        </w:rPr>
        <w:t>排序，相同价格按</w:t>
      </w:r>
      <w:r>
        <w:rPr>
          <w:rFonts w:eastAsia="等线" w:ascii="Arial" w:cs="Arial" w:hAnsi="Arial"/>
          <w:b w:val="true"/>
          <w:sz w:val="22"/>
        </w:rPr>
        <w:t>时间优先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支持</w:t>
      </w:r>
      <w:r>
        <w:rPr>
          <w:rFonts w:eastAsia="等线" w:ascii="Arial" w:cs="Arial" w:hAnsi="Arial"/>
          <w:b w:val="true"/>
          <w:sz w:val="22"/>
        </w:rPr>
        <w:t>部分成交</w:t>
      </w:r>
      <w:r>
        <w:rPr>
          <w:rFonts w:eastAsia="等线" w:ascii="Arial" w:cs="Arial" w:hAnsi="Arial"/>
          <w:sz w:val="22"/>
        </w:rPr>
        <w:t>，剩余数量继续留在订单簿。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大宗交易协议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对于GNACS中</w:t>
      </w:r>
      <w:r>
        <w:rPr>
          <w:rFonts w:eastAsia="Consolas" w:ascii="Consolas" w:cs="Consolas" w:hAnsi="Consolas"/>
          <w:sz w:val="22"/>
          <w:shd w:fill="EFF0F1"/>
        </w:rPr>
        <w:t>liquidity=03</w:t>
      </w:r>
      <w:r>
        <w:rPr>
          <w:rFonts w:eastAsia="等线" w:ascii="Arial" w:cs="Arial" w:hAnsi="Arial"/>
          <w:sz w:val="22"/>
        </w:rPr>
        <w:t>的资产，支持大宗交易：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买方和卖方通过链下议价，达成意向。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双方各自签署订单意向，提交至交易所的</w:t>
      </w:r>
      <w:r>
        <w:rPr>
          <w:rFonts w:eastAsia="Consolas" w:ascii="Consolas" w:cs="Consolas" w:hAnsi="Consolas"/>
          <w:sz w:val="22"/>
          <w:shd w:fill="EFF0F1"/>
        </w:rPr>
        <w:t>block_trade</w:t>
      </w:r>
      <w:r>
        <w:rPr>
          <w:rFonts w:eastAsia="等线" w:ascii="Arial" w:cs="Arial" w:hAnsi="Arial"/>
          <w:sz w:val="22"/>
        </w:rPr>
        <w:t>接口。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交易所验证双方账户、资产余额、合规性。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 原子交换：同时扣除双方资产，完成转账。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 成交记录上链，但不影响主订单簿。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3.3 MEV防护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防抢跑</w:t>
      </w:r>
      <w:r>
        <w:rPr>
          <w:rFonts w:eastAsia="等线" w:ascii="Arial" w:cs="Arial" w:hAnsi="Arial"/>
          <w:sz w:val="22"/>
        </w:rPr>
        <w:t>：订单提交时，优先验证宪法收据，验证期间不暴露订单详情。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批量提交</w:t>
      </w:r>
      <w:r>
        <w:rPr>
          <w:rFonts w:eastAsia="等线" w:ascii="Arial" w:cs="Arial" w:hAnsi="Arial"/>
          <w:sz w:val="22"/>
        </w:rPr>
        <w:t>：撮合引擎定期（如每100ms）批量处理订单，防止三明治攻击。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公平排序</w:t>
      </w:r>
      <w:r>
        <w:rPr>
          <w:rFonts w:eastAsia="等线" w:ascii="Arial" w:cs="Arial" w:hAnsi="Arial"/>
          <w:sz w:val="22"/>
        </w:rPr>
        <w:t>：基于订单提交时间的哈希链，确保排序不可被矿工操纵。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四、宪法合规网关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这是交易所最核心的模块，确保每笔交易都在宪法框架内执行。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4.1 交易前合规检查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每个订单在进入订单簿前，必须通过以下检查：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KYC验证</w:t>
      </w:r>
      <w:r>
        <w:rPr>
          <w:rFonts w:eastAsia="等线" w:ascii="Arial" w:cs="Arial" w:hAnsi="Arial"/>
          <w:sz w:val="22"/>
        </w:rPr>
        <w:t>：调用用户地址的</w:t>
      </w:r>
      <w:r>
        <w:rPr>
          <w:rFonts w:eastAsia="Consolas" w:ascii="Consolas" w:cs="Consolas" w:hAnsi="Consolas"/>
          <w:sz w:val="22"/>
          <w:shd w:fill="EFF0F1"/>
        </w:rPr>
        <w:t>kyc_level</w:t>
      </w:r>
      <w:r>
        <w:rPr>
          <w:rFonts w:eastAsia="等线" w:ascii="Arial" w:cs="Arial" w:hAnsi="Arial"/>
          <w:sz w:val="22"/>
        </w:rPr>
        <w:t>字段，与宪法</w:t>
      </w:r>
      <w:r>
        <w:rPr>
          <w:rFonts w:eastAsia="Consolas" w:ascii="Consolas" w:cs="Consolas" w:hAnsi="Consolas"/>
          <w:sz w:val="22"/>
          <w:shd w:fill="EFF0F1"/>
        </w:rPr>
        <w:t>MIN_KYC_FOR_TRADING</w:t>
      </w:r>
      <w:r>
        <w:rPr>
          <w:rFonts w:eastAsia="等线" w:ascii="Arial" w:cs="Arial" w:hAnsi="Arial"/>
          <w:sz w:val="22"/>
        </w:rPr>
        <w:t>比对。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区域限制</w:t>
      </w:r>
      <w:r>
        <w:rPr>
          <w:rFonts w:eastAsia="等线" w:ascii="Arial" w:cs="Arial" w:hAnsi="Arial"/>
          <w:sz w:val="22"/>
        </w:rPr>
        <w:t>：验证用户地址的</w:t>
      </w:r>
      <w:r>
        <w:rPr>
          <w:rFonts w:eastAsia="Consolas" w:ascii="Consolas" w:cs="Consolas" w:hAnsi="Consolas"/>
          <w:sz w:val="22"/>
          <w:shd w:fill="EFF0F1"/>
        </w:rPr>
        <w:t>region</w:t>
      </w:r>
      <w:r>
        <w:rPr>
          <w:rFonts w:eastAsia="等线" w:ascii="Arial" w:cs="Arial" w:hAnsi="Arial"/>
          <w:sz w:val="22"/>
        </w:rPr>
        <w:t>是否在资产GNACS的</w:t>
      </w:r>
      <w:r>
        <w:rPr>
          <w:rFonts w:eastAsia="Consolas" w:ascii="Consolas" w:cs="Consolas" w:hAnsi="Consolas"/>
          <w:sz w:val="22"/>
          <w:shd w:fill="EFF0F1"/>
        </w:rPr>
        <w:t>allowed_regions</w:t>
      </w:r>
      <w:r>
        <w:rPr>
          <w:rFonts w:eastAsia="等线" w:ascii="Arial" w:cs="Arial" w:hAnsi="Arial"/>
          <w:sz w:val="22"/>
        </w:rPr>
        <w:t>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合格投资者</w:t>
      </w:r>
      <w:r>
        <w:rPr>
          <w:rFonts w:eastAsia="等线" w:ascii="Arial" w:cs="Arial" w:hAnsi="Arial"/>
          <w:sz w:val="22"/>
        </w:rPr>
        <w:t>：若资产要求合格投资者，验证用户地址的</w:t>
      </w:r>
      <w:r>
        <w:rPr>
          <w:rFonts w:eastAsia="Consolas" w:ascii="Consolas" w:cs="Consolas" w:hAnsi="Consolas"/>
          <w:sz w:val="22"/>
          <w:shd w:fill="EFF0F1"/>
        </w:rPr>
        <w:t>accredited</w:t>
      </w:r>
      <w:r>
        <w:rPr>
          <w:rFonts w:eastAsia="等线" w:ascii="Arial" w:cs="Arial" w:hAnsi="Arial"/>
          <w:sz w:val="22"/>
        </w:rPr>
        <w:t>标志。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等线" w:ascii="Arial" w:cs="Arial" w:hAnsi="Arial"/>
          <w:b w:val="true"/>
          <w:sz w:val="22"/>
        </w:rPr>
        <w:t>资产状态</w:t>
      </w:r>
      <w:r>
        <w:rPr>
          <w:rFonts w:eastAsia="等线" w:ascii="Arial" w:cs="Arial" w:hAnsi="Arial"/>
          <w:sz w:val="22"/>
        </w:rPr>
        <w:t>：查询资产GNACS的</w:t>
      </w:r>
      <w:r>
        <w:rPr>
          <w:rFonts w:eastAsia="Consolas" w:ascii="Consolas" w:cs="Consolas" w:hAnsi="Consolas"/>
          <w:sz w:val="22"/>
          <w:shd w:fill="EFF0F1"/>
        </w:rPr>
        <w:t>status</w:t>
      </w:r>
      <w:r>
        <w:rPr>
          <w:rFonts w:eastAsia="等线" w:ascii="Arial" w:cs="Arial" w:hAnsi="Arial"/>
          <w:sz w:val="22"/>
        </w:rPr>
        <w:t>字段，确保不是冻结或注销状态。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</w:t>
      </w:r>
      <w:r>
        <w:rPr>
          <w:rFonts w:eastAsia="等线" w:ascii="Arial" w:cs="Arial" w:hAnsi="Arial"/>
          <w:b w:val="true"/>
          <w:sz w:val="22"/>
        </w:rPr>
        <w:t>交易限额</w:t>
      </w:r>
      <w:r>
        <w:rPr>
          <w:rFonts w:eastAsia="等线" w:ascii="Arial" w:cs="Arial" w:hAnsi="Arial"/>
          <w:sz w:val="22"/>
        </w:rPr>
        <w:t>：检查用户当日交易额是否超过宪法</w:t>
      </w:r>
      <w:r>
        <w:rPr>
          <w:rFonts w:eastAsia="Consolas" w:ascii="Consolas" w:cs="Consolas" w:hAnsi="Consolas"/>
          <w:sz w:val="22"/>
          <w:shd w:fill="EFF0F1"/>
        </w:rPr>
        <w:t>MAX_DAILY_TRADE</w:t>
      </w:r>
      <w:r>
        <w:rPr>
          <w:rFonts w:eastAsia="等线" w:ascii="Arial" w:cs="Arial" w:hAnsi="Arial"/>
          <w:sz w:val="22"/>
        </w:rPr>
        <w:t>（按KYC等级分级）。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4.2 宪法收据（CR）验证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对于每笔交易（挂单、撤单、成交），交易所必须获取并验证宪法收据：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挂单CR</w:t>
      </w:r>
      <w:r>
        <w:rPr>
          <w:rFonts w:eastAsia="等线" w:ascii="Arial" w:cs="Arial" w:hAnsi="Arial"/>
          <w:sz w:val="22"/>
        </w:rPr>
        <w:t>：证明用户有权交易该资产、挂单价格符合市场规则等。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成交CR</w:t>
      </w:r>
      <w:r>
        <w:rPr>
          <w:rFonts w:eastAsia="等线" w:ascii="Arial" w:cs="Arial" w:hAnsi="Arial"/>
          <w:sz w:val="22"/>
        </w:rPr>
        <w:t>：证明本次撮合符合宪法（如价格不偏离预言机价格超过宪法允许的百分比）。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交易所内置CR验证模块，可快速验证CEE签名、宪法哈希、有效期。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4.3 交易后审计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所有成交记录附带CR哈希，上链存证。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定期（每日）生成交易合规性报告，供宪法法院审计。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五、资产集成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5.1 XTZH计价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交易所所有交易对以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为计价单位。XTZH与SDR锚定，价格稳定，适合RWA定价。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价格精度：</w:t>
      </w:r>
      <w:r>
        <w:rPr>
          <w:rFonts w:eastAsia="Consolas" w:ascii="Consolas" w:cs="Consolas" w:hAnsi="Consolas"/>
          <w:sz w:val="22"/>
          <w:shd w:fill="EFF0F1"/>
        </w:rPr>
        <w:t>1e6</w:t>
      </w:r>
      <w:r>
        <w:rPr>
          <w:rFonts w:eastAsia="等线" w:ascii="Arial" w:cs="Arial" w:hAnsi="Arial"/>
          <w:sz w:val="22"/>
        </w:rPr>
        <w:t>（1 XTZH = 1,000,000 units）。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交易所实时从预言机获取XTZH/USD、XTZH/SDR汇率，用于显示。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5.2 XIC手续费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交易手续费以</w:t>
      </w:r>
      <w:r>
        <w:rPr>
          <w:rFonts w:eastAsia="等线" w:ascii="Arial" w:cs="Arial" w:hAnsi="Arial"/>
          <w:b w:val="true"/>
          <w:sz w:val="22"/>
        </w:rPr>
        <w:t>XIC</w:t>
      </w:r>
      <w:r>
        <w:rPr>
          <w:rFonts w:eastAsia="等线" w:ascii="Arial" w:cs="Arial" w:hAnsi="Arial"/>
          <w:sz w:val="22"/>
        </w:rPr>
        <w:t>支付，费率由宪法附录定义：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费率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分配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普通交易（taker）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0.25%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50%做市商激励</w:t>
            </w:r>
            <w:r>
              <w:rPr>
                <w:rFonts w:eastAsia="等线" w:ascii="Arial" w:cs="Arial" w:hAnsi="Arial"/>
                <w:sz w:val="22"/>
              </w:rPr>
              <w:t>，30%流动性池，20%销毁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普通交易（maker）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0.15%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返还做市商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大宗交易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0.10%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固定费率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手续费在成交时自动从用户XIC余额扣除，若余额不足，可使用XTZH按汇率兑换后支付。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5.3 ACC-20/ACC-1400资产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交易所自动识别资产类型（通过GNACS中的</w:t>
      </w:r>
      <w:r>
        <w:rPr>
          <w:rFonts w:eastAsia="Consolas" w:ascii="Consolas" w:cs="Consolas" w:hAnsi="Consolas"/>
          <w:sz w:val="22"/>
          <w:shd w:fill="EFF0F1"/>
        </w:rPr>
        <w:t>standard</w:t>
      </w:r>
      <w:r>
        <w:rPr>
          <w:rFonts w:eastAsia="等线" w:ascii="Arial" w:cs="Arial" w:hAnsi="Arial"/>
          <w:sz w:val="22"/>
        </w:rPr>
        <w:t>字段）。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对于ACC-1400证券型代币，支持分区转账，成交后自动调用</w:t>
      </w:r>
      <w:r>
        <w:rPr>
          <w:rFonts w:eastAsia="Consolas" w:ascii="Consolas" w:cs="Consolas" w:hAnsi="Consolas"/>
          <w:sz w:val="22"/>
          <w:shd w:fill="EFF0F1"/>
        </w:rPr>
        <w:t>transferByPartition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5.4 资产状态同步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交易所定期（或通过事件监听）同步链上资产状态：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GNACS状态变更（如冻结、注销）→ 自动下架相关订单。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资产总量变更（增发/销毁）→ 更新市场深度信息。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六、流动性机制</w:t>
      </w:r>
      <w:bookmarkEnd w:id="2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6.1 做市商准入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做市商需满足以下条件，由宪法附录定义：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KYC等级≥3。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质押一定数量XIC（如100万XIC）作为保证金。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通过做市商资格考试（证明理解市场规则）。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做市商享有：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更低的手续费率（maker 0.05%）。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大宗交易优先通道。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流动性挖矿奖励。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6.2 流动性挖矿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对于新上线的RWA资产，可启动流动性挖矿计划：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用户将资产存入流动性池，获得LP代币。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每日按LP代币占比分配XIC奖励。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奖励从交易所收入池支出，规则由宪法附录定义。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6.3 动态费率调整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根据市场波动率（由预言机提供），交易费率可在宪法允许范围内动态调整：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波动率 &lt; 20%：基准费率。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20% ≤ 波动率 &lt; 40%：费率×1.5。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波动率 ≥ 40%：费率×2（同时熔断机制可能触发）。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七、清算与结算</w:t>
      </w:r>
      <w:bookmarkEnd w:id="2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7.1 原子交换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交易所采用</w:t>
      </w:r>
      <w:r>
        <w:rPr>
          <w:rFonts w:eastAsia="等线" w:ascii="Arial" w:cs="Arial" w:hAnsi="Arial"/>
          <w:b w:val="true"/>
          <w:sz w:val="22"/>
        </w:rPr>
        <w:t>原子交换</w:t>
      </w:r>
      <w:r>
        <w:rPr>
          <w:rFonts w:eastAsia="等线" w:ascii="Arial" w:cs="Arial" w:hAnsi="Arial"/>
          <w:sz w:val="22"/>
        </w:rPr>
        <w:t>机制，确保成交的确定性：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撮合引擎生成成交记录（包含买卖双方订单ID、成交价格、数量）。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成交记录签名后提交给链上结算合约。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结算合约同时执行：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从买方XTZH余额扣除成交额 + 手续费。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从卖方资产余额扣除成交数量。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将XTZH转给卖方，资产转给买方。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扣除双方手续费（XIC）。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 若任何一步失败，整个交易回滚。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7.2 结算时间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普通交易：实时结算（单区块内完成）。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大宗交易：可指定结算时间（如T+1），需额外智能合约支持。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7.3 黄金储备联动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对于涉及XTZH大额交易（如单笔超过100万XTZH），交易所自动检查黄金储备覆盖率：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若覆盖率低于宪法底线（125%），熔断机制触发，暂停XTZH提现和交易。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恢复条件：覆盖率恢复至130%以上，且经CEE验证。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8" w:id="28"/>
      <w:r>
        <w:rPr>
          <w:rFonts w:eastAsia="等线" w:ascii="Arial" w:cs="Arial" w:hAnsi="Arial"/>
          <w:b w:val="true"/>
          <w:sz w:val="36"/>
        </w:rPr>
        <w:t>八、市场数据服务</w:t>
      </w:r>
      <w:bookmarkEnd w:id="2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8.1 实时数据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订单簿快照（深度图、买卖盘口）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成交历史（价格、数量、时间）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K线数据（1m、5m、1h、1d）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 资产实时估值（基于预言机）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8.2 数据认证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所有市场数据提供</w:t>
      </w:r>
      <w:r>
        <w:rPr>
          <w:rFonts w:eastAsia="等线" w:ascii="Arial" w:cs="Arial" w:hAnsi="Arial"/>
          <w:b w:val="true"/>
          <w:sz w:val="22"/>
        </w:rPr>
        <w:t>默克尔证明</w:t>
      </w:r>
      <w:r>
        <w:rPr>
          <w:rFonts w:eastAsia="等线" w:ascii="Arial" w:cs="Arial" w:hAnsi="Arial"/>
          <w:sz w:val="22"/>
        </w:rPr>
        <w:t>，确保数据未被篡改。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第三方应用可验证数据源。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8.3 API接口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提供REST API和WebSocket接口，供量化交易、钱包、浏览器接入：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Consolas" w:ascii="Consolas" w:cs="Consolas" w:hAnsi="Consolas"/>
          <w:sz w:val="22"/>
          <w:shd w:fill="EFF0F1"/>
        </w:rPr>
        <w:t>GET /api/v1/orderbook/{asset}</w:t>
      </w:r>
      <w:r>
        <w:rPr>
          <w:rFonts w:eastAsia="等线" w:ascii="Arial" w:cs="Arial" w:hAnsi="Arial"/>
          <w:sz w:val="22"/>
        </w:rPr>
        <w:t>：获取订单簿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Consolas" w:ascii="Consolas" w:cs="Consolas" w:hAnsi="Consolas"/>
          <w:sz w:val="22"/>
          <w:shd w:fill="EFF0F1"/>
        </w:rPr>
        <w:t>GET /api/v1/trades/{asset}</w:t>
      </w:r>
      <w:r>
        <w:rPr>
          <w:rFonts w:eastAsia="等线" w:ascii="Arial" w:cs="Arial" w:hAnsi="Arial"/>
          <w:sz w:val="22"/>
        </w:rPr>
        <w:t>：获取成交历史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Consolas" w:ascii="Consolas" w:cs="Consolas" w:hAnsi="Consolas"/>
          <w:sz w:val="22"/>
          <w:shd w:fill="EFF0F1"/>
        </w:rPr>
        <w:t>WS /ws/orderbook/{asset}</w:t>
      </w:r>
      <w:r>
        <w:rPr>
          <w:rFonts w:eastAsia="等线" w:ascii="Arial" w:cs="Arial" w:hAnsi="Arial"/>
          <w:sz w:val="22"/>
        </w:rPr>
        <w:t>：实时推送订单簿更新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Consolas" w:ascii="Consolas" w:cs="Consolas" w:hAnsi="Consolas"/>
          <w:sz w:val="22"/>
          <w:shd w:fill="EFF0F1"/>
        </w:rPr>
        <w:t>POST /api/v1/order</w:t>
      </w:r>
      <w:r>
        <w:rPr>
          <w:rFonts w:eastAsia="等线" w:ascii="Arial" w:cs="Arial" w:hAnsi="Arial"/>
          <w:sz w:val="22"/>
        </w:rPr>
        <w:t>：提交订单（需签名）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2" w:id="32"/>
      <w:r>
        <w:rPr>
          <w:rFonts w:eastAsia="等线" w:ascii="Arial" w:cs="Arial" w:hAnsi="Arial"/>
          <w:b w:val="true"/>
          <w:sz w:val="36"/>
        </w:rPr>
        <w:t>九、治理与宪法约束</w:t>
      </w:r>
      <w:bookmarkEnd w:id="3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9.1 交易所参数</w:t>
      </w:r>
      <w:bookmarkEnd w:id="3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以下参数由宪法附录定义，修改需辖区协商：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描述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默认值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EXCHANGE_MIN_KYC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</w:t>
            </w:r>
            <w:r>
              <w:rPr>
                <w:rFonts w:eastAsia="等线" w:ascii="Arial" w:cs="Arial" w:hAnsi="Arial"/>
                <w:sz w:val="22"/>
              </w:rPr>
              <w:t>KYC等级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EXCHANGE_MAX_DAILY_TRADE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单日交易额上限（按KYC分级）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KYC2:10万XTZH, KYC3:100万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EXCHANGE_MAKER_FEE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maker费率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0.15%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EXCHANGE_TAKER_FEE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taker费率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0.25%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EXCHANGE_BLOCK_TRADE_MIN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大宗交易最小额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10万XTZH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EXCHANGE_VOLATILITY_MULTIPLIER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波动率系数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1.5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9.2 交易对上架规则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新交易对（新RWA资产）上架需满足：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资产已通过一键上链流程，完成合规审查。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资产GNACS编码有效，状态为</w:t>
      </w:r>
      <w:r>
        <w:rPr>
          <w:rFonts w:eastAsia="Consolas" w:ascii="Consolas" w:cs="Consolas" w:hAnsi="Consolas"/>
          <w:sz w:val="22"/>
          <w:shd w:fill="EFF0F1"/>
        </w:rPr>
        <w:t>Active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发行方提交上架申请，附带宪法收据。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 无辖区反对（若有辖区反对，暂停该辖区用户交易）。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5" w:id="35"/>
      <w:r>
        <w:rPr>
          <w:rFonts w:eastAsia="等线" w:ascii="Arial" w:cs="Arial" w:hAnsi="Arial"/>
          <w:b w:val="true"/>
          <w:sz w:val="32"/>
        </w:rPr>
        <w:t>9.3 熔断机制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以下情况触发熔断：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资产GNACS状态变更为</w:t>
      </w:r>
      <w:r>
        <w:rPr>
          <w:rFonts w:eastAsia="Consolas" w:ascii="Consolas" w:cs="Consolas" w:hAnsi="Consolas"/>
          <w:sz w:val="22"/>
          <w:shd w:fill="EFF0F1"/>
        </w:rPr>
        <w:t>Frozen</w:t>
      </w:r>
      <w:r>
        <w:rPr>
          <w:rFonts w:eastAsia="等线" w:ascii="Arial" w:cs="Arial" w:hAnsi="Arial"/>
          <w:sz w:val="22"/>
        </w:rPr>
        <w:t>或</w:t>
      </w:r>
      <w:r>
        <w:rPr>
          <w:rFonts w:eastAsia="Consolas" w:ascii="Consolas" w:cs="Consolas" w:hAnsi="Consolas"/>
          <w:sz w:val="22"/>
          <w:shd w:fill="EFF0F1"/>
        </w:rPr>
        <w:t>Retired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XTZH黄金覆盖率低于125%持续超过15分钟。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单日涨跌幅超过宪法允许范围（如±30%）。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熔断后，该资产交易暂停，直至状态恢复。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6" w:id="36"/>
      <w:r>
        <w:rPr>
          <w:rFonts w:eastAsia="等线" w:ascii="Arial" w:cs="Arial" w:hAnsi="Arial"/>
          <w:b w:val="true"/>
          <w:sz w:val="36"/>
        </w:rPr>
        <w:t>十、技术规格与性能目标</w:t>
      </w:r>
      <w:bookmarkEnd w:id="3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指标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目标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订单处理吞吐量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≥1</w:t>
            </w:r>
            <w:r>
              <w:rPr>
                <w:rFonts w:eastAsia="等线" w:ascii="Arial" w:cs="Arial" w:hAnsi="Arial"/>
                <w:sz w:val="22"/>
              </w:rPr>
              <w:t>00,000 订单/秒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撮合延迟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&lt;10ms（平均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订单</w:t>
            </w:r>
            <w:r>
              <w:rPr>
                <w:rFonts w:eastAsia="等线" w:ascii="Arial" w:cs="Arial" w:hAnsi="Arial"/>
                <w:sz w:val="22"/>
              </w:rPr>
              <w:t>簿深度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支持百万级订单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可用性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99.99%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宪法合规检查延迟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</w:t>
            </w:r>
            <w:r>
              <w:rPr>
                <w:rFonts w:eastAsia="等线" w:ascii="Arial" w:cs="Arial" w:hAnsi="Arial"/>
                <w:sz w:val="22"/>
              </w:rPr>
              <w:t>00ms（含CEE交互）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7" w:id="37"/>
      <w:r>
        <w:rPr>
          <w:rFonts w:eastAsia="等线" w:ascii="Arial" w:cs="Arial" w:hAnsi="Arial"/>
          <w:b w:val="true"/>
          <w:sz w:val="36"/>
        </w:rPr>
        <w:t>十一、实施路线图</w:t>
      </w:r>
      <w:bookmarkEnd w:id="3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订单簿</w:t>
            </w:r>
            <w:r>
              <w:rPr>
                <w:rFonts w:eastAsia="等线" w:ascii="Arial" w:cs="Arial" w:hAnsi="Arial"/>
                <w:sz w:val="22"/>
              </w:rPr>
              <w:t>引擎原型，支持XTZH交易对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</w:t>
            </w:r>
            <w:r>
              <w:rPr>
                <w:rFonts w:eastAsia="等线" w:ascii="Arial" w:cs="Arial" w:hAnsi="Arial"/>
                <w:sz w:val="22"/>
              </w:rPr>
              <w:t>26.03-04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宪法合规网关集成，CR验证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</w:t>
            </w:r>
            <w:r>
              <w:rPr>
                <w:rFonts w:eastAsia="等线" w:ascii="Arial" w:cs="Arial" w:hAnsi="Arial"/>
                <w:sz w:val="22"/>
              </w:rPr>
              <w:t>-20/ACC-1400资产支持，GNACS解析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做市商系统、流动性挖矿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Phase </w:t>
            </w: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大宗交易协议、MEV防护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</w:t>
            </w:r>
            <w:r>
              <w:rPr>
                <w:rFonts w:eastAsia="等线" w:ascii="Arial" w:cs="Arial" w:hAnsi="Arial"/>
                <w:sz w:val="22"/>
              </w:rPr>
              <w:t>26.07-08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主网上线，首批RWA资产交易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8" w:id="38"/>
      <w:r>
        <w:rPr>
          <w:rFonts w:eastAsia="等线" w:ascii="Arial" w:cs="Arial" w:hAnsi="Arial"/>
          <w:b w:val="true"/>
          <w:sz w:val="36"/>
        </w:rPr>
        <w:t>十二、结论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RWA交易所是宪法规则在二级市场的完整执行者。它不仅提供高效的交易撮合，更确保每一笔交易都在宪法框架内合规执行。通过深度集成GNACS、宪法收据、XTZH、XIC等NAC原生组件，交易所成为RWA生态中不可或缺的流通枢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宪法即规则，交易即服从</w:t>
      </w:r>
      <w:r>
        <w:rPr>
          <w:rFonts w:eastAsia="等线" w:ascii="Arial" w:cs="Arial" w:hAnsi="Arial"/>
          <w:sz w:val="22"/>
        </w:rPr>
        <w:t>——这是NAC交易所的根本设计哲学。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：NAC交易所工作组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2026-02-14T16:35:46Z</dcterms:created>
  <dc:creator>Apache POI</dc:creator>
</cp:coreProperties>
</file>