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UDM与NVM V2规范扩展：XTZH汇率系统的原生支持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——将AI驱动的动态汇率锚定嵌入NAC协议底层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关联版本</w:t>
      </w:r>
      <w:r>
        <w:rPr>
          <w:rFonts w:eastAsia="等线" w:ascii="Arial" w:cs="Arial" w:hAnsi="Arial"/>
          <w:sz w:val="22"/>
        </w:rPr>
        <w:t>：UDM v2.0， NVM v2.1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：NAC核心协议工程组</w:t>
        <w:br/>
      </w:r>
      <w:r>
        <w:rPr>
          <w:rFonts w:eastAsia="等线" w:ascii="Arial" w:cs="Arial" w:hAnsi="Arial"/>
          <w:b w:val="true"/>
          <w:sz w:val="22"/>
        </w:rPr>
        <w:t>生效日期</w:t>
      </w:r>
      <w:r>
        <w:rPr>
          <w:rFonts w:eastAsia="等线" w:ascii="Arial" w:cs="Arial" w:hAnsi="Arial"/>
          <w:sz w:val="22"/>
        </w:rPr>
        <w:t>：2026年Q4（预计）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第一部分：UDM 统一定义模块扩展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1.1 模块标识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模块ID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0x00030001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模块名称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XTZHRateFeed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当前版本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1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兼容版本列表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[1]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激活区块</w:t>
            </w:r>
            <w:r>
              <w:rPr>
                <w:rFonts w:eastAsia="等线" w:ascii="Arial" w:cs="Arial" w:hAnsi="Arial"/>
                <w:sz w:val="22"/>
              </w:rPr>
              <w:t>高度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待治理投票决定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模块类型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系统数据收据验证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模块职责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定义XTZH汇率收据的序列化格式（Protocol Buffers v3）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提供汇率收据的</w:t>
      </w:r>
      <w:r>
        <w:rPr>
          <w:rFonts w:eastAsia="等线" w:ascii="Arial" w:cs="Arial" w:hAnsi="Arial"/>
          <w:b w:val="true"/>
          <w:sz w:val="22"/>
        </w:rPr>
        <w:t>验证规则</w:t>
      </w:r>
      <w:r>
        <w:rPr>
          <w:rFonts w:eastAsia="等线" w:ascii="Arial" w:cs="Arial" w:hAnsi="Arial"/>
          <w:sz w:val="22"/>
        </w:rPr>
        <w:t>（WebAssembly字节码）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管理汇率收据的版本演进（通过UDM热升级）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1.2 数据结构定义（Protocol Buffers）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syntax = "proto3";</w:t>
              <w:br/>
              <w:br/>
              <w:t>package nac.xtzh.rate.v1;</w:t>
              <w:br/>
              <w:br/>
              <w:t>// XTZH汇率收据（宪法收据）</w:t>
              <w:br/>
              <w:t>message XTZHRateReceipt {</w:t>
              <w:br/>
              <w:t xml:space="preserve">    // 核心数据</w:t>
              <w:br/>
              <w:t xml:space="preserve">    uint64 timestamp = 1;          // 数据时间戳（Unix秒，UTC 12:00）</w:t>
              <w:br/>
              <w:t xml:space="preserve">    uint64 rate_sdr = 2;          // 1 XTZH = ? SDR，定点数 1e6 精度</w:t>
              <w:br/>
              <w:t xml:space="preserve">    uint64 rate_usd = 3;          // 美元折算汇率，定点数 1e6 精度</w:t>
              <w:br/>
              <w:t xml:space="preserve">    </w:t>
              <w:br/>
              <w:t xml:space="preserve">    // AI推理中间输出（供审计与可解释性）</w:t>
              <w:br/>
              <w:t xml:space="preserve">    uint32 w_fx = 4;             // 货币层权重（基点，0-10000）</w:t>
              <w:br/>
              <w:t xml:space="preserve">    uint32 w_au = 5;            // 黄金层权重（基点）</w:t>
              <w:br/>
              <w:t xml:space="preserve">    uint32 w_com = 6;          // 商品层权重（基点）</w:t>
              <w:br/>
              <w:t xml:space="preserve">    sint32 deltas = 7;         // 18商品偏离系数，打包为18×6bit有符号整数（自定义压缩）</w:t>
              <w:br/>
              <w:t xml:space="preserve">    </w:t>
              <w:br/>
              <w:t xml:space="preserve">    // 可验证计算证明（三种类型之一）</w:t>
              <w:br/>
              <w:t xml:space="preserve">    oneof proof {</w:t>
              <w:br/>
              <w:t xml:space="preserve">        ZKProof zk = 8;</w:t>
              <w:br/>
              <w:t xml:space="preserve">        TEEProof tee = 9;</w:t>
              <w:br/>
              <w:t xml:space="preserve">        OptimisticProof optimistic = 10;</w:t>
              <w:br/>
              <w:t xml:space="preserve">    }</w:t>
              <w:br/>
              <w:t xml:space="preserve">    </w:t>
              <w:br/>
              <w:t xml:space="preserve">    // 节点签名（BLS聚合签名）</w:t>
              <w:br/>
              <w:t xml:space="preserve">    bytes aggregated_signature = 11;   // 48字节（BLS12-381）</w:t>
              <w:br/>
              <w:t xml:space="preserve">    bytes signers_bitmap = 12;        // 参与签名的节点位图（变长）</w:t>
              <w:br/>
              <w:t xml:space="preserve">    </w:t>
              <w:br/>
              <w:t xml:space="preserve">    // 宪法元数据</w:t>
              <w:br/>
              <w:t xml:space="preserve">    bytes constitutional_hash = 13;   // 当前生效宪法版本哈希（32字节）</w:t>
              <w:br/>
              <w:t xml:space="preserve">    uint32 clause_index = 14;        // 触发宪法条款索引（固定值 0x0101）</w:t>
              <w:br/>
              <w:t>}</w:t>
              <w:br/>
              <w:br/>
              <w:t>// ZK证明（zkSNARK）</w:t>
              <w:br/>
              <w:t>message ZKProof {</w:t>
              <w:br/>
              <w:t xml:space="preserve">    bytes proof = 1;           // 证明数据（大小取决于曲线，约1-2KB）</w:t>
              <w:br/>
              <w:t xml:space="preserve">    bytes public_inputs = 2;   // 序列化后的公开输入（包括模型版本哈希、输入特征哈希等）</w:t>
              <w:br/>
              <w:t>}</w:t>
              <w:br/>
              <w:br/>
              <w:t>// TEE证明（远程认证报告）</w:t>
              <w:br/>
              <w:t>message TEEProof {</w:t>
              <w:br/>
              <w:t xml:space="preserve">    bytes attestation = 1;     // TEE认证报告（Intel SGX/AMD SEV/NVIDIA CC）</w:t>
              <w:br/>
              <w:t xml:space="preserve">    bytes code_hash = 2;      // 运行代码的哈希（模型版本）</w:t>
              <w:br/>
              <w:t xml:space="preserve">    bytes input_hash = 3;     // 推理输入数据的哈希（宏观特征快照）</w:t>
              <w:br/>
              <w:t>}</w:t>
              <w:br/>
              <w:br/>
              <w:t>// 乐观证明（无密码学证明，依赖挑战期）</w:t>
              <w:br/>
              <w:t>message OptimisticProof {</w:t>
              <w:br/>
              <w:t xml:space="preserve">    uint64 challenge_window = 1;   // 挑战窗口时长（秒，默认21600）</w:t>
              <w:br/>
              <w:t xml:space="preserve">    address submitter = 2;        // 提交者地址（CBP节点）</w:t>
              <w:br/>
              <w:t xml:space="preserve">    uint256 bond = 3;            // 质押金额（XIC，单位wei）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1.3 验证规则（WebAssembly）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每个NAC全节点必须执行以下Wasm模块验证汇率收据的合法性。验证通过后，该收据才可被CBPP共识接受。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rust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编译目标：wasm32-unknown-unknown</w:t>
              <w:br/>
              <w:t>// 接口：导出函数 `validate_xtzh_rate_receipt`</w:t>
              <w:br/>
              <w:br/>
              <w:t>#[no_mangle]</w:t>
              <w:br/>
              <w:t>pub extern "C" fn validate_xtzh_rate_receipt(</w:t>
              <w:br/>
              <w:t xml:space="preserve">    receipt_ptr: *const u8,</w:t>
              <w:br/>
              <w:t xml:space="preserve">    receipt_len: usize,</w:t>
              <w:br/>
              <w:t>) -&gt; i32 {</w:t>
              <w:br/>
              <w:t xml:space="preserve">    // 1. 反序列化</w:t>
              <w:br/>
              <w:t xml:space="preserve">    let receipt = match parse_xtzh_rate_receipt(receipt_ptr, receipt_len) {</w:t>
              <w:br/>
              <w:t xml:space="preserve">        Ok(r) =&gt; r,</w:t>
              <w:br/>
              <w:t xml:space="preserve">        Err(_) =&gt; return ERROR_INVALID_FORMAT,</w:t>
              <w:br/>
              <w:t xml:space="preserve">    };</w:t>
              <w:br/>
              <w:t xml:space="preserve">    </w:t>
              <w:br/>
              <w:t xml:space="preserve">    // 2. 宪法哈希验证（必须与当前激活版本一致）</w:t>
              <w:br/>
              <w:t xml:space="preserve">    let current_constitutional_hash = get_constitutional_hash();</w:t>
              <w:br/>
              <w:t xml:space="preserve">    if receipt.constitutional_hash != current_constitutional_hash {</w:t>
              <w:br/>
              <w:t xml:space="preserve">        return ERROR_CONSTITUTION_MISMATCH;</w:t>
              <w:br/>
              <w:t xml:space="preserve">    }</w:t>
              <w:br/>
              <w:t xml:space="preserve">    </w:t>
              <w:br/>
              <w:t xml:space="preserve">    // 3. 时间有效性验证（±1小时窗口）</w:t>
              <w:br/>
              <w:t xml:space="preserve">    let now = get_current_timestamp();</w:t>
              <w:br/>
              <w:t xml:space="preserve">    if (receipt.timestamp as i64 - now as i64).abs() &gt; 3600 {</w:t>
              <w:br/>
              <w:t xml:space="preserve">        return ERROR_TIMESTAMP_OUT_OF_RANGE;</w:t>
              <w:br/>
              <w:t xml:space="preserve">    }</w:t>
              <w:br/>
              <w:t xml:space="preserve">    </w:t>
              <w:br/>
              <w:t xml:space="preserve">    // 4. 签名验证（BLS聚合签名）</w:t>
              <w:br/>
              <w:t xml:space="preserve">    //    调用NVM内置指令完成，此处仅为逻辑表示</w:t>
              <w:br/>
              <w:t xml:space="preserve">    if !verify_bls_aggregated_signature(</w:t>
              <w:br/>
              <w:t xml:space="preserve">        &amp;receipt.aggregated_signature,</w:t>
              <w:br/>
              <w:t xml:space="preserve">        &amp;receipt.signers_bitmap,</w:t>
              <w:br/>
              <w:t xml:space="preserve">        &amp;receipt.encode_for_signing(),</w:t>
              <w:br/>
              <w:t xml:space="preserve">    ) {</w:t>
              <w:br/>
              <w:t xml:space="preserve">        return ERROR_INVALID_SIGNATURE;</w:t>
              <w:br/>
              <w:t xml:space="preserve">    }</w:t>
              <w:br/>
              <w:t xml:space="preserve">    </w:t>
              <w:br/>
              <w:t xml:space="preserve">    // 5. 根据证明类型进行验证</w:t>
              <w:br/>
              <w:t xml:space="preserve">    match receipt.proof {</w:t>
              <w:br/>
              <w:t xml:space="preserve">        Proof::ZK(z) =&gt; {</w:t>
              <w:br/>
              <w:t xml:space="preserve">            // 调用NVM的ZK验证指令（操作码 0xF2）</w:t>
              <w:br/>
              <w:t xml:space="preserve">            if !nvm_zk_verify(z.proof, z.public_inputs) {</w:t>
              <w:br/>
              <w:t xml:space="preserve">                return ERROR_INVALID_ZK_PROOF;</w:t>
              <w:br/>
              <w:t xml:space="preserve">            }</w:t>
              <w:br/>
              <w:t xml:space="preserve">        }</w:t>
              <w:br/>
              <w:t xml:space="preserve">        Proof::TEE(t) =&gt; {</w:t>
              <w:br/>
              <w:t xml:space="preserve">            // 调用NVM的TEE验证指令（操作码 0xF3）</w:t>
              <w:br/>
              <w:t xml:space="preserve">            if !nvm_tee_verify(t.attestation, t.code_hash, t.input_hash) {</w:t>
              <w:br/>
              <w:t xml:space="preserve">                return ERROR_INVALID_TEE_ATTESTATION;</w:t>
              <w:br/>
              <w:t xml:space="preserve">            }</w:t>
              <w:br/>
              <w:t xml:space="preserve">        }</w:t>
              <w:br/>
              <w:t xml:space="preserve">        Proof::Optimistic(o) =&gt; {</w:t>
              <w:br/>
              <w:t xml:space="preserve">            // 乐观验证：检查挑战期是否已过，提交者质押金是否充足</w:t>
              <w:br/>
              <w:t xml:space="preserve">            if !is_challenge_window_passed(o.timestamp, o.challenge_window) {</w:t>
              <w:br/>
              <w:t xml:space="preserve">                return ERROR_CHALLENGE_WINDOW_ACTIVE;</w:t>
              <w:br/>
              <w:t xml:space="preserve">            }</w:t>
              <w:br/>
              <w:t xml:space="preserve">            if get_xic_balance(o.submitter) &lt; o.bond {</w:t>
              <w:br/>
              <w:t xml:space="preserve">                return ERROR_INSUFFICIENT_BOND;</w:t>
              <w:br/>
              <w:t xml:space="preserve">            }</w:t>
              <w:br/>
              <w:t xml:space="preserve">        }</w:t>
              <w:br/>
              <w:t xml:space="preserve">    }</w:t>
              <w:br/>
              <w:t xml:space="preserve">    </w:t>
              <w:br/>
              <w:t xml:space="preserve">    // 6. 权重归一化验证（三层权重之和必须为10000基点）</w:t>
              <w:br/>
              <w:t xml:space="preserve">    if (receipt.w_fx + receipt.w_au + receipt.w_com) != 10000 {</w:t>
              <w:br/>
              <w:t xml:space="preserve">        return ERROR_WEIGHT_SUM_INVALID;</w:t>
              <w:br/>
              <w:t xml:space="preserve">    }</w:t>
              <w:br/>
              <w:t xml:space="preserve">    </w:t>
              <w:br/>
              <w:t xml:space="preserve">    // 7. 商品偏离零和验证（加权和必须为0）</w:t>
              <w:br/>
              <w:t xml:space="preserve">    if !verify_delta_zero_sum(&amp;receipt.deltas) {</w:t>
              <w:br/>
              <w:t xml:space="preserve">        return ERROR_DELTA_SUM_NONZERO;</w:t>
              <w:br/>
              <w:t xml:space="preserve">    }</w:t>
              <w:br/>
              <w:t xml:space="preserve">    </w:t>
              <w:br/>
              <w:t xml:space="preserve">    // 8. 汇率自洽性验证（rate_usd ≈ rate_sdr × USD/SDR）</w:t>
              <w:br/>
              <w:t xml:space="preserve">    let usd_per_sdr = get_usd_sdr_rate(receipt.timestamp);</w:t>
              <w:br/>
              <w:t xml:space="preserve">    if ((receipt.rate_usd as f64) - (receipt.rate_sdr as f64 * usd_per_sdr)).abs() &gt; 0.001 {</w:t>
              <w:br/>
              <w:t xml:space="preserve">        return ERROR_RATE_INCONSISTENT;</w:t>
              <w:br/>
              <w:t xml:space="preserve">    }</w:t>
              <w:br/>
              <w:t xml:space="preserve">    </w:t>
              <w:br/>
              <w:t xml:space="preserve">    SUCCESS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 xml:space="preserve">：此验证规则执行约需 </w:t>
      </w:r>
      <w:r>
        <w:rPr>
          <w:rFonts w:eastAsia="等线" w:ascii="Arial" w:cs="Arial" w:hAnsi="Arial"/>
          <w:b w:val="true"/>
          <w:sz w:val="22"/>
        </w:rPr>
        <w:t>15,000 NVM Gas</w:t>
      </w:r>
      <w:r>
        <w:rPr>
          <w:rFonts w:eastAsia="等线" w:ascii="Arial" w:cs="Arial" w:hAnsi="Arial"/>
          <w:sz w:val="22"/>
        </w:rPr>
        <w:t>（包括密码学操作），由提交收据的交易支付。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1.4 版本演进机制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通过UDM，XTZH汇率收据的格式和验证规则可以平滑升级，</w:t>
      </w:r>
      <w:r>
        <w:rPr>
          <w:rFonts w:eastAsia="等线" w:ascii="Arial" w:cs="Arial" w:hAnsi="Arial"/>
          <w:b w:val="true"/>
          <w:sz w:val="22"/>
        </w:rPr>
        <w:t>无需硬分叉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新增证明类型</w:t>
      </w:r>
      <w:r>
        <w:rPr>
          <w:rFonts w:eastAsia="等线" w:ascii="Arial" w:cs="Arial" w:hAnsi="Arial"/>
          <w:sz w:val="22"/>
        </w:rPr>
        <w:t>：定义新的</w:t>
      </w:r>
      <w:r>
        <w:rPr>
          <w:rFonts w:eastAsia="Consolas" w:ascii="Consolas" w:cs="Consolas" w:hAnsi="Consolas"/>
          <w:sz w:val="22"/>
          <w:shd w:fill="EFF0F1"/>
        </w:rPr>
        <w:t>oneof</w:t>
      </w:r>
      <w:r>
        <w:rPr>
          <w:rFonts w:eastAsia="等线" w:ascii="Arial" w:cs="Arial" w:hAnsi="Arial"/>
          <w:sz w:val="22"/>
        </w:rPr>
        <w:t>分支（如</w:t>
      </w:r>
      <w:r>
        <w:rPr>
          <w:rFonts w:eastAsia="Consolas" w:ascii="Consolas" w:cs="Consolas" w:hAnsi="Consolas"/>
          <w:sz w:val="22"/>
          <w:shd w:fill="EFF0F1"/>
        </w:rPr>
        <w:t>Proof::ZKML</w:t>
      </w:r>
      <w:r>
        <w:rPr>
          <w:rFonts w:eastAsia="等线" w:ascii="Arial" w:cs="Arial" w:hAnsi="Arial"/>
          <w:sz w:val="22"/>
        </w:rPr>
        <w:t>），同时升级验证Wasm模块。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调整权重精度</w:t>
      </w:r>
      <w:r>
        <w:rPr>
          <w:rFonts w:eastAsia="等线" w:ascii="Arial" w:cs="Arial" w:hAnsi="Arial"/>
          <w:sz w:val="22"/>
        </w:rPr>
        <w:t>：从基点（1/10000）升级为更高精度（如1/100000），保留向后兼容解析。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紧急参数修改</w:t>
      </w:r>
      <w:r>
        <w:rPr>
          <w:rFonts w:eastAsia="等线" w:ascii="Arial" w:cs="Arial" w:hAnsi="Arial"/>
          <w:sz w:val="22"/>
        </w:rPr>
        <w:t>：如挑战窗口长度、签名阈值等，通过治理投票后，发布新模块版本，节点自动加载。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版本兼容策略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旧版本收据始终可被新版本节点验证（验证器必须保留旧版本验证逻辑）。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新版本收据不被旧版本节点接受（但旧节点会通过UDM自动升级，或通过激活高度后强制使用新版）。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第二部分：NVM 2.0 虚拟机指令扩展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为高效支持XTZH汇率收据的验证与使用，NVM 2.0新增以下</w:t>
      </w:r>
      <w:r>
        <w:rPr>
          <w:rFonts w:eastAsia="等线" w:ascii="Arial" w:cs="Arial" w:hAnsi="Arial"/>
          <w:b w:val="true"/>
          <w:sz w:val="22"/>
        </w:rPr>
        <w:t>8条专用指令</w:t>
      </w:r>
      <w:r>
        <w:rPr>
          <w:rFonts w:eastAsia="等线" w:ascii="Arial" w:cs="Arial" w:hAnsi="Arial"/>
          <w:sz w:val="22"/>
        </w:rPr>
        <w:t xml:space="preserve">（操作码范围 </w:t>
      </w:r>
      <w:r>
        <w:rPr>
          <w:rFonts w:eastAsia="Consolas" w:ascii="Consolas" w:cs="Consolas" w:hAnsi="Consolas"/>
          <w:sz w:val="22"/>
          <w:shd w:fill="EFF0F1"/>
        </w:rPr>
        <w:t>0xF0</w:t>
      </w:r>
      <w:r>
        <w:rPr>
          <w:rFonts w:eastAsia="等线" w:ascii="Arial" w:cs="Arial" w:hAnsi="Arial"/>
          <w:sz w:val="22"/>
        </w:rPr>
        <w:t>–</w:t>
      </w:r>
      <w:r>
        <w:rPr>
          <w:rFonts w:eastAsia="Consolas" w:ascii="Consolas" w:cs="Consolas" w:hAnsi="Consolas"/>
          <w:sz w:val="22"/>
          <w:shd w:fill="EFF0F1"/>
        </w:rPr>
        <w:t>0xF7</w:t>
      </w:r>
      <w:r>
        <w:rPr>
          <w:rFonts w:eastAsia="等线" w:ascii="Arial" w:cs="Arial" w:hAnsi="Arial"/>
          <w:sz w:val="22"/>
        </w:rPr>
        <w:t>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2.1 指令汇总表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</w:t>
            </w:r>
            <w:r>
              <w:rPr>
                <w:rFonts w:eastAsia="等线" w:ascii="Arial" w:cs="Arial" w:hAnsi="Arial"/>
                <w:sz w:val="22"/>
              </w:rPr>
              <w:t>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指令名称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功能描述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Gas成本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支持版本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XTZH_GET_RATE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获取当前纪元生效的XTZH汇率（从系统状态树</w:t>
            </w:r>
            <w:r>
              <w:rPr>
                <w:rFonts w:eastAsia="等线" w:ascii="Arial" w:cs="Arial" w:hAnsi="Arial"/>
                <w:sz w:val="22"/>
              </w:rPr>
              <w:t>读取）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</w:t>
            </w:r>
            <w:r>
              <w:rPr>
                <w:rFonts w:eastAsia="等线" w:ascii="Arial" w:cs="Arial" w:hAnsi="Arial"/>
                <w:sz w:val="22"/>
              </w:rPr>
              <w:t>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XTZH_COMPOSE_RATE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（预言机专用）</w:t>
            </w:r>
            <w:r>
              <w:rPr>
                <w:rFonts w:eastAsia="等线" w:ascii="Arial" w:cs="Arial" w:hAnsi="Arial"/>
                <w:sz w:val="22"/>
              </w:rPr>
              <w:t xml:space="preserve"> 根据输入的</w:t>
            </w:r>
            <w:r>
              <w:rPr>
                <w:rFonts w:eastAsia="等线" w:ascii="Arial" w:cs="Arial" w:hAnsi="Arial"/>
                <w:sz w:val="22"/>
              </w:rPr>
              <w:t>权重、资产价格计算汇率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1,500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BLS_VERIFY_AGGREGATED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验证BLS聚合签名（48字节公钥聚合，消息任意）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0xF3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ZK_VERIFY_GROTH16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验证Groth16 zkSNARK证明（BN254曲线）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0xF4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TEE_VERIFY_NVIDIA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验证NVIDIA H100机密计算远程认证报告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0xF5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ORACLE_AGGREGATE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聚合多个预言机节点的数据（中位数、加权平均）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1,000 + 每源100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SYSTEM_STATE_WRITE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（仅限CBP）</w:t>
            </w:r>
            <w:r>
              <w:rPr>
                <w:rFonts w:eastAsia="等线" w:ascii="Arial" w:cs="Arial" w:hAnsi="Arial"/>
                <w:sz w:val="22"/>
              </w:rPr>
              <w:t xml:space="preserve"> 向系统状态树写入系统级数据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10,000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0xF7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SYSTEM_STATE_READ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从系统状态树读取系统级数据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v2.1+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2.2 关键指令详细规范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`XTZH_GET_RATE` (0xF0)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栈输入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[epoch] (可选，uint64)  —— 若为0则返回最新汇率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[rate_sdr, rate_usd, timestamp, epoch]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内存/存储</w:t>
      </w:r>
      <w:r>
        <w:rPr>
          <w:rFonts w:eastAsia="等线" w:ascii="Arial" w:cs="Arial" w:hAnsi="Arial"/>
          <w:sz w:val="22"/>
        </w:rPr>
        <w:t>：无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从系统状态树中读取指定纪元（每日）的XTZH汇率记录。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</w:t>
      </w:r>
      <w:r>
        <w:rPr>
          <w:rFonts w:eastAsia="Consolas" w:ascii="Consolas" w:cs="Consolas" w:hAnsi="Consolas"/>
          <w:sz w:val="22"/>
          <w:shd w:fill="EFF0F1"/>
        </w:rPr>
        <w:t>epoch == 0</w:t>
      </w:r>
      <w:r>
        <w:rPr>
          <w:rFonts w:eastAsia="等线" w:ascii="Arial" w:cs="Arial" w:hAnsi="Arial"/>
          <w:sz w:val="22"/>
        </w:rPr>
        <w:t>，返回</w:t>
      </w:r>
      <w:r>
        <w:rPr>
          <w:rFonts w:eastAsia="Consolas" w:ascii="Consolas" w:cs="Consolas" w:hAnsi="Consolas"/>
          <w:sz w:val="22"/>
          <w:shd w:fill="EFF0F1"/>
        </w:rPr>
        <w:t>latest</w:t>
      </w:r>
      <w:r>
        <w:rPr>
          <w:rFonts w:eastAsia="等线" w:ascii="Arial" w:cs="Arial" w:hAnsi="Arial"/>
          <w:sz w:val="22"/>
        </w:rPr>
        <w:t>记录。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若指定纪元不存在，栈顶返回</w:t>
      </w:r>
      <w:r>
        <w:rPr>
          <w:rFonts w:eastAsia="Consolas" w:ascii="Consolas" w:cs="Consolas" w:hAnsi="Consolas"/>
          <w:sz w:val="22"/>
          <w:shd w:fill="EFF0F1"/>
        </w:rPr>
        <w:t>0,0,0,0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200</w:t>
      </w:r>
      <w:r>
        <w:rPr>
          <w:rFonts w:eastAsia="等线" w:ascii="Arial" w:cs="Arial" w:hAnsi="Arial"/>
          <w:sz w:val="22"/>
        </w:rPr>
        <w:t>（固定）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示例（Charter内联汇编）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 getCurrentXTZHRate() -&gt; (uint64, uint64) {</w:t>
              <w:br/>
              <w:t xml:space="preserve">    let (rate_sdr, rate_usd, _, _) = __nvm_xtzh_get_rate(0);</w:t>
              <w:br/>
              <w:t xml:space="preserve">    return (rate_sdr, rate_usd);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`BLS_VERIFY_AGGREGATED` (0xF2)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栈输入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[msg_ptr, msg_len, sig_ptr, sig_len, bitmap_ptr, bitmap_len, pubkeys_ptr, pubkeys_len]</w:t>
            </w:r>
          </w:p>
        </w:tc>
      </w:tr>
    </w:tbl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msg_ptr/len</w:t>
      </w:r>
      <w:r>
        <w:rPr>
          <w:rFonts w:eastAsia="等线" w:ascii="Arial" w:cs="Arial" w:hAnsi="Arial"/>
          <w:sz w:val="22"/>
        </w:rPr>
        <w:t>：待签名消息（收据编码）的内存区域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sig_ptr/len</w:t>
      </w:r>
      <w:r>
        <w:rPr>
          <w:rFonts w:eastAsia="等线" w:ascii="Arial" w:cs="Arial" w:hAnsi="Arial"/>
          <w:sz w:val="22"/>
        </w:rPr>
        <w:t>：聚合签名（48字节）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bitmap_ptr/len</w:t>
      </w:r>
      <w:r>
        <w:rPr>
          <w:rFonts w:eastAsia="等线" w:ascii="Arial" w:cs="Arial" w:hAnsi="Arial"/>
          <w:sz w:val="22"/>
        </w:rPr>
        <w:t>：参与签名的节点位图（变长字节数组）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pubkeys_ptr/len</w:t>
      </w:r>
      <w:r>
        <w:rPr>
          <w:rFonts w:eastAsia="等线" w:ascii="Arial" w:cs="Arial" w:hAnsi="Arial"/>
          <w:sz w:val="22"/>
        </w:rPr>
        <w:t>：所有可能的预言机公钥列表（每个48字节）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[is_valid]  // 0或1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验证BLS12-381聚合签名。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根据位图从公钥列表中选取对应公钥，计算聚合公钥，验证签名。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此指令由NVM原生实现，速度比EVM预编译快约10倍。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5,000 + (参与节点数 × 100)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`ZK_VERIFY_GROTH16` (0xF3)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栈输入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[proof_ptr, proof_len, inputs_ptr, inputs_len, vk_ptr, vk_len]</w:t>
            </w:r>
          </w:p>
        </w:tc>
      </w:tr>
    </w:tbl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proof</w:t>
      </w:r>
      <w:r>
        <w:rPr>
          <w:rFonts w:eastAsia="等线" w:ascii="Arial" w:cs="Arial" w:hAnsi="Arial"/>
          <w:sz w:val="22"/>
        </w:rPr>
        <w:t>：Groth16证明（通常128字节）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inputs</w:t>
      </w:r>
      <w:r>
        <w:rPr>
          <w:rFonts w:eastAsia="等线" w:ascii="Arial" w:cs="Arial" w:hAnsi="Arial"/>
          <w:sz w:val="22"/>
        </w:rPr>
        <w:t>：公开输入（32字节倍数）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vk</w:t>
      </w:r>
      <w:r>
        <w:rPr>
          <w:rFonts w:eastAsia="等线" w:ascii="Arial" w:cs="Arial" w:hAnsi="Arial"/>
          <w:sz w:val="22"/>
        </w:rPr>
        <w:t>：验证密钥（由治理投票固化，不可动态加载）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[is_valid]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验证BN254曲线上的Groth16证明。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验证密钥（vk）由系统级参数预置，普通合约无法修改。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此指令为NVM内置预编译，与以太坊</w:t>
      </w:r>
      <w:r>
        <w:rPr>
          <w:rFonts w:eastAsia="Consolas" w:ascii="Consolas" w:cs="Consolas" w:hAnsi="Consolas"/>
          <w:sz w:val="22"/>
          <w:shd w:fill="EFF0F1"/>
        </w:rPr>
        <w:t>ecpairing</w:t>
      </w:r>
      <w:r>
        <w:rPr>
          <w:rFonts w:eastAsia="等线" w:ascii="Arial" w:cs="Arial" w:hAnsi="Arial"/>
          <w:sz w:val="22"/>
        </w:rPr>
        <w:t>类似但优化。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20,000</w:t>
      </w:r>
      <w:r>
        <w:rPr>
          <w:rFonts w:eastAsia="等线" w:ascii="Arial" w:cs="Arial" w:hAnsi="Arial"/>
          <w:sz w:val="22"/>
        </w:rPr>
        <w:t>（固定，远低于EVM的~200k）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`TEE_VERIFY_NVIDIA` (0xF4)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栈输入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[attestation_ptr, attestation_len, code_hash_ptr, input_hash_ptr]</w:t>
            </w:r>
          </w:p>
        </w:tc>
      </w:tr>
    </w:tbl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attestation</w:t>
      </w:r>
      <w:r>
        <w:rPr>
          <w:rFonts w:eastAsia="等线" w:ascii="Arial" w:cs="Arial" w:hAnsi="Arial"/>
          <w:sz w:val="22"/>
        </w:rPr>
        <w:t>：NVIDIA H100机密计算远程认证报告（DER编码）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code_hash</w:t>
      </w:r>
      <w:r>
        <w:rPr>
          <w:rFonts w:eastAsia="等线" w:ascii="Arial" w:cs="Arial" w:hAnsi="Arial"/>
          <w:sz w:val="22"/>
        </w:rPr>
        <w:t>：32字节，预期运行代码的SHA3-384哈希（取前32字节）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input_hash</w:t>
      </w:r>
      <w:r>
        <w:rPr>
          <w:rFonts w:eastAsia="等线" w:ascii="Arial" w:cs="Arial" w:hAnsi="Arial"/>
          <w:sz w:val="22"/>
        </w:rPr>
        <w:t>：32字节，推理输入数据的SHA3-384哈希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[is_valid]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验证NVIDIA GPU机密计算模式的远程认证报告。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检查报告中的代码哈希与</w:t>
      </w:r>
      <w:r>
        <w:rPr>
          <w:rFonts w:eastAsia="Consolas" w:ascii="Consolas" w:cs="Consolas" w:hAnsi="Consolas"/>
          <w:sz w:val="22"/>
          <w:shd w:fill="EFF0F1"/>
        </w:rPr>
        <w:t>code_hash</w:t>
      </w:r>
      <w:r>
        <w:rPr>
          <w:rFonts w:eastAsia="等线" w:ascii="Arial" w:cs="Arial" w:hAnsi="Arial"/>
          <w:sz w:val="22"/>
        </w:rPr>
        <w:t>一致，且报告由NVIDIA根证书签名。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确保推理在受信任硬件环境中执行且未被篡改。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8,000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`SYSTEM_STATE_WRITE` (0xF6)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权限</w:t>
      </w:r>
      <w:r>
        <w:rPr>
          <w:rFonts w:eastAsia="等线" w:ascii="Arial" w:cs="Arial" w:hAnsi="Arial"/>
          <w:sz w:val="22"/>
        </w:rPr>
        <w:t>：仅允许CBP节点在执行区块生产流程时调用，普通交易调用将失败。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栈输入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[key_ptr, key_len, value_ptr, value_len]</w:t>
            </w:r>
          </w:p>
        </w:tc>
      </w:tr>
    </w:tbl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key</w:t>
      </w:r>
      <w:r>
        <w:rPr>
          <w:rFonts w:eastAsia="等线" w:ascii="Arial" w:cs="Arial" w:hAnsi="Arial"/>
          <w:sz w:val="22"/>
        </w:rPr>
        <w:t>：系统状态键（如</w:t>
      </w:r>
      <w:r>
        <w:rPr>
          <w:rFonts w:eastAsia="Consolas" w:ascii="Consolas" w:cs="Consolas" w:hAnsi="Consolas"/>
          <w:sz w:val="22"/>
          <w:shd w:fill="EFF0F1"/>
        </w:rPr>
        <w:t>XTZH_RATE_&lt;epoch&gt;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value</w:t>
      </w:r>
      <w:r>
        <w:rPr>
          <w:rFonts w:eastAsia="等线" w:ascii="Arial" w:cs="Arial" w:hAnsi="Arial"/>
          <w:sz w:val="22"/>
        </w:rPr>
        <w:t>：序列化的汇率收据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将汇率收据写入系统状态树（Merkle Patricia Trie）。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只有通过CBPP共识验证的区块中的交易才能成功写入。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10,000 + (数据大小 / 32) × 200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`SYSTEM_STATE_READ` (0xF7)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栈输入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[key_ptr, key_len]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栈输出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[value_ptr, value_len]  // 内存中分配的新区域，需由调用者释放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从系统状态树读取指定键的值。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用于合约获取汇率、预言机数据等。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500 + (返回值大小 / 32) × 100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第三部分：集成到Charter语言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为提供更友好的开发体验，Charter编译器将对上述指令进行封装，提供内置函数和类型。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3.1 内置类型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XTZH汇率记录</w:t>
              <w:br/>
              <w:t>public struct XTZHRate {</w:t>
              <w:br/>
              <w:t xml:space="preserve">    timestamp: uint64,</w:t>
              <w:br/>
              <w:t xml:space="preserve">    rate_sdr: uint64,</w:t>
              <w:br/>
              <w:t xml:space="preserve">    rate_usd: uint64,</w:t>
              <w:br/>
              <w:t xml:space="preserve">    epoch: uint64</w:t>
              <w:br/>
              <w:t>}</w:t>
              <w:br/>
              <w:br/>
              <w:t>// 宪法收据（仅系统级使用）</w:t>
              <w:br/>
              <w:t>@system</w:t>
              <w:br/>
              <w:t>public struct ConstitutionalReceipt {</w:t>
              <w:br/>
              <w:t xml:space="preserve">    // ...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3.2 内置函数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获取当前汇率（常用）</w:t>
              <w:br/>
              <w:t>public func xtzh_get_rate() -&gt; XTZHRate {</w:t>
              <w:br/>
              <w:t xml:space="preserve">    let (sdr, usd, ts, epoch) = __builtin_xtzh_get_rate(0);</w:t>
              <w:br/>
              <w:t xml:space="preserve">    return XTZHRate { timestamp: ts, rate_sdr: sdr, rate_usd: usd, epoch: epoch };</w:t>
              <w:br/>
              <w:t>}</w:t>
              <w:br/>
              <w:br/>
              <w:t>// 验证BLS聚合签名</w:t>
              <w:br/>
              <w:t>public func bls_verify_aggregated(</w:t>
              <w:br/>
              <w:t xml:space="preserve">    message: bytes, </w:t>
              <w:br/>
              <w:t xml:space="preserve">    signature: bytes48, </w:t>
              <w:br/>
              <w:t xml:space="preserve">    signers_bitmap: bytes, </w:t>
              <w:br/>
              <w:t xml:space="preserve">    pubkey_set: bytes[]</w:t>
              <w:br/>
              <w:t>) -&gt; bool {</w:t>
              <w:br/>
              <w:t xml:space="preserve">    return __builtin_bls_verify_aggregated(message, signature, signers_bitmap, pubkey_set);</w:t>
              <w:br/>
              <w:t>}</w:t>
              <w:br/>
              <w:br/>
              <w:t>// 汇率收据验证（自动调用UDM模块）</w:t>
              <w:br/>
              <w:t>@system</w:t>
              <w:br/>
              <w:t>public func validate_xtzh_receipt(receipt: bytes) -&gt; bool {</w:t>
              <w:br/>
              <w:t xml:space="preserve">    // 编译器将此调用映射为UDM模块的Wasm验证入口</w:t>
              <w:br/>
              <w:t xml:space="preserve">    return __udm_validate(0x00030001, 1, receipt);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3.3 ACC-20合约使用示例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"xtzh/XTZHFeed.charter";</w:t>
              <w:br/>
              <w:br/>
              <w:t>contract ACC20Token is ACC20 {</w:t>
              <w:br/>
              <w:t xml:space="preserve">    // 铸造时读取当前XTZH汇率</w:t>
              <w:br/>
              <w:t xml:space="preserve">    func mintWithXTZH(xtzhAmount: uint256) {</w:t>
              <w:br/>
              <w:t xml:space="preserve">        let rate = xtzh_get_rate();</w:t>
              <w:br/>
              <w:t xml:space="preserve">        // 计算资产价值（1 XTZH = rate.rate_usd USD，但合约内部以XTZH计价）</w:t>
              <w:br/>
              <w:t xml:space="preserve">        // 此处简化为1:1铸造，实际会考虑GNACS风险权重</w:t>
              <w:br/>
              <w:t xml:space="preserve">        _mint(msg.sender, xtzhAmount);</w:t>
              <w:br/>
              <w:t xml:space="preserve">    }</w:t>
              <w:br/>
              <w:t xml:space="preserve">    </w:t>
              <w:br/>
              <w:t xml:space="preserve">    // 清算时使用汇率</w:t>
              <w:br/>
              <w:t xml:space="preserve">    func getCollateralValueInXTZH(assetAmount: uint256) -&gt; uint256 {</w:t>
              <w:br/>
              <w:t xml:space="preserve">        let rate = xtzh_get_rate();</w:t>
              <w:br/>
              <w:t xml:space="preserve">        // 资产以SDR计价，转换为XTZH</w:t>
              <w:br/>
              <w:t xml:space="preserve">        return assetAmount * 1_000_000 / rate.rate_sdr; // 精度调整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第四部分：部署与激活流程</w:t>
      </w:r>
      <w:bookmarkEnd w:id="18"/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治理提案</w:t>
      </w:r>
      <w:r>
        <w:rPr>
          <w:rFonts w:eastAsia="等线" w:ascii="Arial" w:cs="Arial" w:hAnsi="Arial"/>
          <w:sz w:val="22"/>
        </w:rPr>
        <w:t>：XIC持有者投票通过</w:t>
      </w:r>
      <w:r>
        <w:rPr>
          <w:rFonts w:eastAsia="Consolas" w:ascii="Consolas" w:cs="Consolas" w:hAnsi="Consolas"/>
          <w:sz w:val="22"/>
          <w:shd w:fill="EFF0F1"/>
        </w:rPr>
        <w:t>XTZHRateFeed</w:t>
      </w:r>
      <w:r>
        <w:rPr>
          <w:rFonts w:eastAsia="等线" w:ascii="Arial" w:cs="Arial" w:hAnsi="Arial"/>
          <w:sz w:val="22"/>
        </w:rPr>
        <w:t xml:space="preserve"> UDM模块v1的部署。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预编译合约注册</w:t>
      </w:r>
      <w:r>
        <w:rPr>
          <w:rFonts w:eastAsia="等线" w:ascii="Arial" w:cs="Arial" w:hAnsi="Arial"/>
          <w:sz w:val="22"/>
        </w:rPr>
        <w:t>：将</w:t>
      </w:r>
      <w:r>
        <w:rPr>
          <w:rFonts w:eastAsia="Consolas" w:ascii="Consolas" w:cs="Consolas" w:hAnsi="Consolas"/>
          <w:sz w:val="22"/>
          <w:shd w:fill="EFF0F1"/>
        </w:rPr>
        <w:t>XTZH_GET_RATE</w:t>
      </w:r>
      <w:r>
        <w:rPr>
          <w:rFonts w:eastAsia="等线" w:ascii="Arial" w:cs="Arial" w:hAnsi="Arial"/>
          <w:sz w:val="22"/>
        </w:rPr>
        <w:t>等指令的底层实现硬编码至NVM内核，并通过软分叉（L1热升级）激活。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测试网验证</w:t>
      </w:r>
      <w:r>
        <w:rPr>
          <w:rFonts w:eastAsia="等线" w:ascii="Arial" w:cs="Arial" w:hAnsi="Arial"/>
          <w:sz w:val="22"/>
        </w:rPr>
        <w:t>：预言机节点运行3个月，提交测试收据，验证UDM验证逻辑与NVM指令正确性。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主网激活</w:t>
      </w:r>
      <w:r>
        <w:rPr>
          <w:rFonts w:eastAsia="等线" w:ascii="Arial" w:cs="Arial" w:hAnsi="Arial"/>
          <w:sz w:val="22"/>
        </w:rPr>
        <w:t>：在指定区块高度，系统自动启用XTZH汇率系统；旧版静态汇率合约进入只读模式。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第五部分：安全性分析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攻击向量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防护机制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伪造汇率</w:t>
            </w:r>
            <w:r>
              <w:rPr>
                <w:rFonts w:eastAsia="等线" w:ascii="Arial" w:cs="Arial" w:hAnsi="Arial"/>
                <w:sz w:val="22"/>
              </w:rPr>
              <w:t>收据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BLS聚合签名需要≥2/3预言</w:t>
            </w:r>
            <w:r>
              <w:rPr>
                <w:rFonts w:eastAsia="等线" w:ascii="Arial" w:cs="Arial" w:hAnsi="Arial"/>
                <w:sz w:val="22"/>
              </w:rPr>
              <w:t>机节点签名；ZK/TEE证明密码学可验证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重放攻击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收据包含唯一时间戳，且每个纪元只接受第一笔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预言机合谋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多证明类型混合（ZK/TEE/乐观</w:t>
            </w:r>
            <w:r>
              <w:rPr>
                <w:rFonts w:eastAsia="等线" w:ascii="Arial" w:cs="Arial" w:hAnsi="Arial"/>
                <w:sz w:val="22"/>
              </w:rPr>
              <w:t>），合谋成本极高；单交易所持仓上限降低风险敞口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UDM验证逻辑漏洞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验证规则Wasm模块需经形式化验证与</w:t>
            </w:r>
            <w:r>
              <w:rPr>
                <w:rFonts w:eastAsia="等线" w:ascii="Arial" w:cs="Arial" w:hAnsi="Arial"/>
                <w:sz w:val="22"/>
              </w:rPr>
              <w:t>审计；版本回滚需超级多数治理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NVM指令错误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指令实现通过</w:t>
            </w:r>
            <w:r>
              <w:rPr>
                <w:rFonts w:eastAsia="等线" w:ascii="Arial" w:cs="Arial" w:hAnsi="Arial"/>
                <w:b w:val="true"/>
                <w:sz w:val="22"/>
              </w:rPr>
              <w:t>差异模糊测试</w:t>
            </w:r>
            <w:r>
              <w:rPr>
                <w:rFonts w:eastAsia="等线" w:ascii="Arial" w:cs="Arial" w:hAnsi="Arial"/>
                <w:sz w:val="22"/>
              </w:rPr>
              <w:t>与</w:t>
            </w:r>
            <w:r>
              <w:rPr>
                <w:rFonts w:eastAsia="等线" w:ascii="Arial" w:cs="Arial" w:hAnsi="Arial"/>
                <w:b w:val="true"/>
                <w:sz w:val="22"/>
              </w:rPr>
              <w:t>形式化验证</w:t>
            </w:r>
            <w:r>
              <w:rPr>
                <w:rFonts w:eastAsia="等线" w:ascii="Arial" w:cs="Arial" w:hAnsi="Arial"/>
                <w:sz w:val="22"/>
              </w:rPr>
              <w:t>；紧急熔断可切换至静态权重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第六部分：总结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通过在</w:t>
      </w:r>
      <w:r>
        <w:rPr>
          <w:rFonts w:eastAsia="等线" w:ascii="Arial" w:cs="Arial" w:hAnsi="Arial"/>
          <w:b w:val="true"/>
          <w:sz w:val="22"/>
        </w:rPr>
        <w:t>UDM中明确定义XTZH汇率收据的结构与验证规则</w:t>
      </w:r>
      <w:r>
        <w:rPr>
          <w:rFonts w:eastAsia="等线" w:ascii="Arial" w:cs="Arial" w:hAnsi="Arial"/>
          <w:sz w:val="22"/>
        </w:rPr>
        <w:t>，并在</w:t>
      </w:r>
      <w:r>
        <w:rPr>
          <w:rFonts w:eastAsia="等线" w:ascii="Arial" w:cs="Arial" w:hAnsi="Arial"/>
          <w:b w:val="true"/>
          <w:sz w:val="22"/>
        </w:rPr>
        <w:t>NVM V2中增加专用指令</w:t>
      </w:r>
      <w:r>
        <w:rPr>
          <w:rFonts w:eastAsia="等线" w:ascii="Arial" w:cs="Arial" w:hAnsi="Arial"/>
          <w:sz w:val="22"/>
        </w:rPr>
        <w:t>，NAC公链实现了：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协议级原生支持</w:t>
      </w:r>
      <w:r>
        <w:rPr>
          <w:rFonts w:eastAsia="等线" w:ascii="Arial" w:cs="Arial" w:hAnsi="Arial"/>
          <w:sz w:val="22"/>
        </w:rPr>
        <w:t>：XTZH汇率不再是“外部数据”，而是链上共识的一部分。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可验证计算落地</w:t>
      </w:r>
      <w:r>
        <w:rPr>
          <w:rFonts w:eastAsia="等线" w:ascii="Arial" w:cs="Arial" w:hAnsi="Arial"/>
          <w:sz w:val="22"/>
        </w:rPr>
        <w:t>：ZK/TEE证明的链上验证成本降低至可接受水平。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动态升级能力</w:t>
      </w:r>
      <w:r>
        <w:rPr>
          <w:rFonts w:eastAsia="等线" w:ascii="Arial" w:cs="Arial" w:hAnsi="Arial"/>
          <w:sz w:val="22"/>
        </w:rPr>
        <w:t>：汇率模型、验证规则均可通过UDM无分叉升级。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开发者友好</w:t>
      </w:r>
      <w:r>
        <w:rPr>
          <w:rFonts w:eastAsia="等线" w:ascii="Arial" w:cs="Arial" w:hAnsi="Arial"/>
          <w:sz w:val="22"/>
        </w:rPr>
        <w:t>：Charter语言封装底层指令，ACC-20合约一行代码获取汇率。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XTZH不再是锚定美元的稳定币，而是NAC链上由AI驱动、密码学可验证、宪法级共识背书的“宏观经济温度计”。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而这一切，都始于这几十行UDM定义与八条NVM指令。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规范制定</w:t>
      </w:r>
      <w:r>
        <w:rPr>
          <w:rFonts w:eastAsia="等线" w:ascii="Arial" w:cs="Arial" w:hAnsi="Arial"/>
          <w:sz w:val="22"/>
        </w:rPr>
        <w:t>：NAC核心协议工程组</w:t>
        <w:br/>
      </w: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：1.0.0-draft</w:t>
        <w:br/>
      </w: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：2026年2月12日</w:t>
        <w:br/>
      </w: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：治理提案审议中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236887">
    <w:lvl>
      <w:numFmt w:val="bullet"/>
      <w:suff w:val="tab"/>
      <w:lvlText w:val="•"/>
      <w:rPr>
        <w:color w:val="3370ff"/>
      </w:rPr>
    </w:lvl>
  </w:abstractNum>
  <w:abstractNum w:abstractNumId="2236888">
    <w:lvl>
      <w:numFmt w:val="bullet"/>
      <w:suff w:val="tab"/>
      <w:lvlText w:val="•"/>
      <w:rPr>
        <w:color w:val="3370ff"/>
      </w:rPr>
    </w:lvl>
  </w:abstractNum>
  <w:abstractNum w:abstractNumId="2236889">
    <w:lvl>
      <w:numFmt w:val="bullet"/>
      <w:suff w:val="tab"/>
      <w:lvlText w:val="•"/>
      <w:rPr>
        <w:color w:val="3370ff"/>
      </w:rPr>
    </w:lvl>
  </w:abstractNum>
  <w:abstractNum w:abstractNumId="2236890">
    <w:lvl>
      <w:start w:val="1"/>
      <w:numFmt w:val="decimal"/>
      <w:suff w:val="tab"/>
      <w:lvlText w:val="%1."/>
      <w:rPr>
        <w:color w:val="3370ff"/>
      </w:rPr>
    </w:lvl>
  </w:abstractNum>
  <w:abstractNum w:abstractNumId="2236891">
    <w:lvl>
      <w:start w:val="2"/>
      <w:numFmt w:val="decimal"/>
      <w:suff w:val="tab"/>
      <w:lvlText w:val="%1."/>
      <w:rPr>
        <w:color w:val="3370ff"/>
      </w:rPr>
    </w:lvl>
  </w:abstractNum>
  <w:abstractNum w:abstractNumId="2236892">
    <w:lvl>
      <w:start w:val="3"/>
      <w:numFmt w:val="decimal"/>
      <w:suff w:val="tab"/>
      <w:lvlText w:val="%1."/>
      <w:rPr>
        <w:color w:val="3370ff"/>
      </w:rPr>
    </w:lvl>
  </w:abstractNum>
  <w:abstractNum w:abstractNumId="2236893">
    <w:lvl>
      <w:numFmt w:val="bullet"/>
      <w:suff w:val="tab"/>
      <w:lvlText w:val="•"/>
      <w:rPr>
        <w:color w:val="3370ff"/>
      </w:rPr>
    </w:lvl>
  </w:abstractNum>
  <w:abstractNum w:abstractNumId="2236894">
    <w:lvl>
      <w:numFmt w:val="bullet"/>
      <w:suff w:val="tab"/>
      <w:lvlText w:val="•"/>
      <w:rPr>
        <w:color w:val="3370ff"/>
      </w:rPr>
    </w:lvl>
  </w:abstractNum>
  <w:abstractNum w:abstractNumId="2236895">
    <w:lvl>
      <w:numFmt w:val="bullet"/>
      <w:suff w:val="tab"/>
      <w:lvlText w:val="•"/>
      <w:rPr>
        <w:color w:val="3370ff"/>
      </w:rPr>
    </w:lvl>
  </w:abstractNum>
  <w:abstractNum w:abstractNumId="2236896">
    <w:lvl>
      <w:numFmt w:val="bullet"/>
      <w:suff w:val="tab"/>
      <w:lvlText w:val="•"/>
      <w:rPr>
        <w:color w:val="3370ff"/>
      </w:rPr>
    </w:lvl>
  </w:abstractNum>
  <w:abstractNum w:abstractNumId="2236897">
    <w:lvl>
      <w:numFmt w:val="bullet"/>
      <w:suff w:val="tab"/>
      <w:lvlText w:val="•"/>
      <w:rPr>
        <w:color w:val="3370ff"/>
      </w:rPr>
    </w:lvl>
  </w:abstractNum>
  <w:abstractNum w:abstractNumId="2236898">
    <w:lvl>
      <w:numFmt w:val="bullet"/>
      <w:suff w:val="tab"/>
      <w:lvlText w:val="•"/>
      <w:rPr>
        <w:color w:val="3370ff"/>
      </w:rPr>
    </w:lvl>
  </w:abstractNum>
  <w:abstractNum w:abstractNumId="2236899">
    <w:lvl>
      <w:numFmt w:val="bullet"/>
      <w:suff w:val="tab"/>
      <w:lvlText w:val="•"/>
      <w:rPr>
        <w:color w:val="3370ff"/>
      </w:rPr>
    </w:lvl>
  </w:abstractNum>
  <w:abstractNum w:abstractNumId="2236900">
    <w:lvl>
      <w:numFmt w:val="bullet"/>
      <w:suff w:val="tab"/>
      <w:lvlText w:val="•"/>
      <w:rPr>
        <w:color w:val="3370ff"/>
      </w:rPr>
    </w:lvl>
  </w:abstractNum>
  <w:abstractNum w:abstractNumId="2236901">
    <w:lvl>
      <w:numFmt w:val="bullet"/>
      <w:suff w:val="tab"/>
      <w:lvlText w:val="•"/>
      <w:rPr>
        <w:color w:val="3370ff"/>
      </w:rPr>
    </w:lvl>
  </w:abstractNum>
  <w:abstractNum w:abstractNumId="2236902">
    <w:lvl>
      <w:numFmt w:val="bullet"/>
      <w:suff w:val="tab"/>
      <w:lvlText w:val="•"/>
      <w:rPr>
        <w:color w:val="3370ff"/>
      </w:rPr>
    </w:lvl>
  </w:abstractNum>
  <w:abstractNum w:abstractNumId="2236903">
    <w:lvl>
      <w:numFmt w:val="bullet"/>
      <w:suff w:val="tab"/>
      <w:lvlText w:val="•"/>
      <w:rPr>
        <w:color w:val="3370ff"/>
      </w:rPr>
    </w:lvl>
  </w:abstractNum>
  <w:abstractNum w:abstractNumId="2236904">
    <w:lvl>
      <w:numFmt w:val="bullet"/>
      <w:suff w:val="tab"/>
      <w:lvlText w:val="•"/>
      <w:rPr>
        <w:color w:val="3370ff"/>
      </w:rPr>
    </w:lvl>
  </w:abstractNum>
  <w:abstractNum w:abstractNumId="2236905">
    <w:lvl>
      <w:numFmt w:val="bullet"/>
      <w:suff w:val="tab"/>
      <w:lvlText w:val="•"/>
      <w:rPr>
        <w:color w:val="3370ff"/>
      </w:rPr>
    </w:lvl>
  </w:abstractNum>
  <w:abstractNum w:abstractNumId="2236906">
    <w:lvl>
      <w:numFmt w:val="bullet"/>
      <w:suff w:val="tab"/>
      <w:lvlText w:val="•"/>
      <w:rPr>
        <w:color w:val="3370ff"/>
      </w:rPr>
    </w:lvl>
  </w:abstractNum>
  <w:abstractNum w:abstractNumId="2236907">
    <w:lvl>
      <w:numFmt w:val="bullet"/>
      <w:suff w:val="tab"/>
      <w:lvlText w:val="•"/>
      <w:rPr>
        <w:color w:val="3370ff"/>
      </w:rPr>
    </w:lvl>
  </w:abstractNum>
  <w:abstractNum w:abstractNumId="2236908">
    <w:lvl>
      <w:numFmt w:val="bullet"/>
      <w:suff w:val="tab"/>
      <w:lvlText w:val="•"/>
      <w:rPr>
        <w:color w:val="3370ff"/>
      </w:rPr>
    </w:lvl>
  </w:abstractNum>
  <w:abstractNum w:abstractNumId="2236909">
    <w:lvl>
      <w:numFmt w:val="bullet"/>
      <w:suff w:val="tab"/>
      <w:lvlText w:val="•"/>
      <w:rPr>
        <w:color w:val="3370ff"/>
      </w:rPr>
    </w:lvl>
  </w:abstractNum>
  <w:abstractNum w:abstractNumId="2236910">
    <w:lvl>
      <w:numFmt w:val="bullet"/>
      <w:suff w:val="tab"/>
      <w:lvlText w:val="•"/>
      <w:rPr>
        <w:color w:val="3370ff"/>
      </w:rPr>
    </w:lvl>
  </w:abstractNum>
  <w:abstractNum w:abstractNumId="2236911">
    <w:lvl>
      <w:numFmt w:val="bullet"/>
      <w:suff w:val="tab"/>
      <w:lvlText w:val="•"/>
      <w:rPr>
        <w:color w:val="3370ff"/>
      </w:rPr>
    </w:lvl>
  </w:abstractNum>
  <w:abstractNum w:abstractNumId="2236912">
    <w:lvl>
      <w:numFmt w:val="bullet"/>
      <w:suff w:val="tab"/>
      <w:lvlText w:val="•"/>
      <w:rPr>
        <w:color w:val="3370ff"/>
      </w:rPr>
    </w:lvl>
  </w:abstractNum>
  <w:abstractNum w:abstractNumId="2236913">
    <w:lvl>
      <w:numFmt w:val="bullet"/>
      <w:suff w:val="tab"/>
      <w:lvlText w:val="•"/>
      <w:rPr>
        <w:color w:val="3370ff"/>
      </w:rPr>
    </w:lvl>
  </w:abstractNum>
  <w:abstractNum w:abstractNumId="2236914">
    <w:lvl>
      <w:numFmt w:val="bullet"/>
      <w:suff w:val="tab"/>
      <w:lvlText w:val="•"/>
      <w:rPr>
        <w:color w:val="3370ff"/>
      </w:rPr>
    </w:lvl>
  </w:abstractNum>
  <w:abstractNum w:abstractNumId="2236915">
    <w:lvl>
      <w:numFmt w:val="bullet"/>
      <w:suff w:val="tab"/>
      <w:lvlText w:val="•"/>
      <w:rPr>
        <w:color w:val="3370ff"/>
      </w:rPr>
    </w:lvl>
  </w:abstractNum>
  <w:abstractNum w:abstractNumId="2236916">
    <w:lvl>
      <w:numFmt w:val="bullet"/>
      <w:suff w:val="tab"/>
      <w:lvlText w:val="•"/>
      <w:rPr>
        <w:color w:val="3370ff"/>
      </w:rPr>
    </w:lvl>
  </w:abstractNum>
  <w:abstractNum w:abstractNumId="2236917">
    <w:lvl>
      <w:numFmt w:val="bullet"/>
      <w:suff w:val="tab"/>
      <w:lvlText w:val="•"/>
      <w:rPr>
        <w:color w:val="3370ff"/>
      </w:rPr>
    </w:lvl>
  </w:abstractNum>
  <w:abstractNum w:abstractNumId="2236918">
    <w:lvl>
      <w:numFmt w:val="bullet"/>
      <w:suff w:val="tab"/>
      <w:lvlText w:val="•"/>
      <w:rPr>
        <w:color w:val="3370ff"/>
      </w:rPr>
    </w:lvl>
  </w:abstractNum>
  <w:abstractNum w:abstractNumId="2236919">
    <w:lvl>
      <w:numFmt w:val="bullet"/>
      <w:suff w:val="tab"/>
      <w:lvlText w:val="•"/>
      <w:rPr>
        <w:color w:val="3370ff"/>
      </w:rPr>
    </w:lvl>
  </w:abstractNum>
  <w:abstractNum w:abstractNumId="2236920">
    <w:lvl>
      <w:numFmt w:val="bullet"/>
      <w:suff w:val="tab"/>
      <w:lvlText w:val="•"/>
      <w:rPr>
        <w:color w:val="3370ff"/>
      </w:rPr>
    </w:lvl>
  </w:abstractNum>
  <w:abstractNum w:abstractNumId="2236921">
    <w:lvl>
      <w:numFmt w:val="bullet"/>
      <w:suff w:val="tab"/>
      <w:lvlText w:val="•"/>
      <w:rPr>
        <w:color w:val="3370ff"/>
      </w:rPr>
    </w:lvl>
  </w:abstractNum>
  <w:abstractNum w:abstractNumId="2236922">
    <w:lvl>
      <w:numFmt w:val="bullet"/>
      <w:suff w:val="tab"/>
      <w:lvlText w:val="•"/>
      <w:rPr>
        <w:color w:val="3370ff"/>
      </w:rPr>
    </w:lvl>
  </w:abstractNum>
  <w:abstractNum w:abstractNumId="2236923">
    <w:lvl>
      <w:start w:val="1"/>
      <w:numFmt w:val="decimal"/>
      <w:suff w:val="tab"/>
      <w:lvlText w:val="%1."/>
      <w:rPr>
        <w:color w:val="3370ff"/>
      </w:rPr>
    </w:lvl>
  </w:abstractNum>
  <w:abstractNum w:abstractNumId="2236924">
    <w:lvl>
      <w:start w:val="2"/>
      <w:numFmt w:val="decimal"/>
      <w:suff w:val="tab"/>
      <w:lvlText w:val="%1."/>
      <w:rPr>
        <w:color w:val="3370ff"/>
      </w:rPr>
    </w:lvl>
  </w:abstractNum>
  <w:abstractNum w:abstractNumId="2236925">
    <w:lvl>
      <w:start w:val="3"/>
      <w:numFmt w:val="decimal"/>
      <w:suff w:val="tab"/>
      <w:lvlText w:val="%1."/>
      <w:rPr>
        <w:color w:val="3370ff"/>
      </w:rPr>
    </w:lvl>
  </w:abstractNum>
  <w:abstractNum w:abstractNumId="2236926">
    <w:lvl>
      <w:start w:val="4"/>
      <w:numFmt w:val="decimal"/>
      <w:suff w:val="tab"/>
      <w:lvlText w:val="%1."/>
      <w:rPr>
        <w:color w:val="3370ff"/>
      </w:rPr>
    </w:lvl>
  </w:abstractNum>
  <w:abstractNum w:abstractNumId="2236927">
    <w:lvl>
      <w:start w:val="1"/>
      <w:numFmt w:val="decimal"/>
      <w:suff w:val="tab"/>
      <w:lvlText w:val="%1."/>
      <w:rPr>
        <w:color w:val="3370ff"/>
      </w:rPr>
    </w:lvl>
  </w:abstractNum>
  <w:abstractNum w:abstractNumId="2236928">
    <w:lvl>
      <w:start w:val="2"/>
      <w:numFmt w:val="decimal"/>
      <w:suff w:val="tab"/>
      <w:lvlText w:val="%1."/>
      <w:rPr>
        <w:color w:val="3370ff"/>
      </w:rPr>
    </w:lvl>
  </w:abstractNum>
  <w:abstractNum w:abstractNumId="2236929">
    <w:lvl>
      <w:start w:val="3"/>
      <w:numFmt w:val="decimal"/>
      <w:suff w:val="tab"/>
      <w:lvlText w:val="%1."/>
      <w:rPr>
        <w:color w:val="3370ff"/>
      </w:rPr>
    </w:lvl>
  </w:abstractNum>
  <w:abstractNum w:abstractNumId="2236930">
    <w:lvl>
      <w:start w:val="4"/>
      <w:numFmt w:val="decimal"/>
      <w:suff w:val="tab"/>
      <w:lvlText w:val="%1."/>
      <w:rPr>
        <w:color w:val="3370ff"/>
      </w:rPr>
    </w:lvl>
  </w:abstractNum>
  <w:num w:numId="1">
    <w:abstractNumId w:val="2236887"/>
  </w:num>
  <w:num w:numId="2">
    <w:abstractNumId w:val="2236888"/>
  </w:num>
  <w:num w:numId="3">
    <w:abstractNumId w:val="2236889"/>
  </w:num>
  <w:num w:numId="4">
    <w:abstractNumId w:val="2236890"/>
  </w:num>
  <w:num w:numId="5">
    <w:abstractNumId w:val="2236891"/>
  </w:num>
  <w:num w:numId="6">
    <w:abstractNumId w:val="2236892"/>
  </w:num>
  <w:num w:numId="7">
    <w:abstractNumId w:val="2236893"/>
  </w:num>
  <w:num w:numId="8">
    <w:abstractNumId w:val="2236894"/>
  </w:num>
  <w:num w:numId="9">
    <w:abstractNumId w:val="2236895"/>
  </w:num>
  <w:num w:numId="10">
    <w:abstractNumId w:val="2236896"/>
  </w:num>
  <w:num w:numId="11">
    <w:abstractNumId w:val="2236897"/>
  </w:num>
  <w:num w:numId="12">
    <w:abstractNumId w:val="2236898"/>
  </w:num>
  <w:num w:numId="13">
    <w:abstractNumId w:val="2236899"/>
  </w:num>
  <w:num w:numId="14">
    <w:abstractNumId w:val="2236900"/>
  </w:num>
  <w:num w:numId="15">
    <w:abstractNumId w:val="2236901"/>
  </w:num>
  <w:num w:numId="16">
    <w:abstractNumId w:val="2236902"/>
  </w:num>
  <w:num w:numId="17">
    <w:abstractNumId w:val="2236903"/>
  </w:num>
  <w:num w:numId="18">
    <w:abstractNumId w:val="2236904"/>
  </w:num>
  <w:num w:numId="19">
    <w:abstractNumId w:val="2236905"/>
  </w:num>
  <w:num w:numId="20">
    <w:abstractNumId w:val="2236906"/>
  </w:num>
  <w:num w:numId="21">
    <w:abstractNumId w:val="2236907"/>
  </w:num>
  <w:num w:numId="22">
    <w:abstractNumId w:val="2236908"/>
  </w:num>
  <w:num w:numId="23">
    <w:abstractNumId w:val="2236909"/>
  </w:num>
  <w:num w:numId="24">
    <w:abstractNumId w:val="2236910"/>
  </w:num>
  <w:num w:numId="25">
    <w:abstractNumId w:val="2236911"/>
  </w:num>
  <w:num w:numId="26">
    <w:abstractNumId w:val="2236912"/>
  </w:num>
  <w:num w:numId="27">
    <w:abstractNumId w:val="2236913"/>
  </w:num>
  <w:num w:numId="28">
    <w:abstractNumId w:val="2236914"/>
  </w:num>
  <w:num w:numId="29">
    <w:abstractNumId w:val="2236915"/>
  </w:num>
  <w:num w:numId="30">
    <w:abstractNumId w:val="2236916"/>
  </w:num>
  <w:num w:numId="31">
    <w:abstractNumId w:val="2236917"/>
  </w:num>
  <w:num w:numId="32">
    <w:abstractNumId w:val="2236918"/>
  </w:num>
  <w:num w:numId="33">
    <w:abstractNumId w:val="2236919"/>
  </w:num>
  <w:num w:numId="34">
    <w:abstractNumId w:val="2236920"/>
  </w:num>
  <w:num w:numId="35">
    <w:abstractNumId w:val="2236921"/>
  </w:num>
  <w:num w:numId="36">
    <w:abstractNumId w:val="2236922"/>
  </w:num>
  <w:num w:numId="37">
    <w:abstractNumId w:val="2236923"/>
  </w:num>
  <w:num w:numId="38">
    <w:abstractNumId w:val="2236924"/>
  </w:num>
  <w:num w:numId="39">
    <w:abstractNumId w:val="2236925"/>
  </w:num>
  <w:num w:numId="40">
    <w:abstractNumId w:val="2236926"/>
  </w:num>
  <w:num w:numId="41">
    <w:abstractNumId w:val="2236927"/>
  </w:num>
  <w:num w:numId="42">
    <w:abstractNumId w:val="2236928"/>
  </w:num>
  <w:num w:numId="43">
    <w:abstractNumId w:val="2236929"/>
  </w:num>
  <w:num w:numId="44">
    <w:abstractNumId w:val="2236930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2026-02-12T07:24:27Z</dcterms:created>
  <dc:creator>Apache POI</dc:creator>
</cp:coreProperties>
</file>