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跨链资产上链指引（NAC原生公链合规版）V1</w:t>
      </w:r>
      <w:r>
        <w:rPr>
          <w:rFonts w:eastAsia="等线" w:ascii="Arial" w:cs="Arial" w:hAnsi="Arial"/>
          <w:b w:val="true"/>
          <w:sz w:val="52"/>
        </w:rPr>
        <w:t>.0</w:t>
      </w: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0" w:id="0"/>
      <w:r>
        <w:rPr>
          <w:rFonts w:eastAsia="等线" w:ascii="Arial" w:cs="Arial" w:hAnsi="Arial"/>
          <w:b w:val="true"/>
          <w:sz w:val="32"/>
        </w:rPr>
        <w:t>指引说明</w:t>
      </w:r>
      <w:bookmarkEnd w:id="0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本指引旨在为将外部区块链（如以太坊、Solana、Cosmos等）的原生资产、DeFi权益及NFT，通过去中心化、安全且合规的方式引入NAC生态提供标准化框架。其核心目标是：</w:t>
      </w:r>
      <w:r>
        <w:rPr>
          <w:rFonts w:eastAsia="等线" w:ascii="Arial" w:cs="Arial" w:hAnsi="Arial"/>
          <w:b w:val="true"/>
          <w:sz w:val="22"/>
        </w:rPr>
        <w:t>将NAC公链构建为一个由原生验证者网络和XTZH质押经济保障的“可信资产枢纽”，实现跨链资产在NAC生态内的主权化铸造、合规化流通与创新化应用，同时杜绝常见的桥接安全风险。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" w:id="1"/>
      <w:r>
        <w:rPr>
          <w:rFonts w:eastAsia="等线" w:ascii="Arial" w:cs="Arial" w:hAnsi="Arial"/>
          <w:b w:val="true"/>
          <w:sz w:val="32"/>
        </w:rPr>
        <w:t>第一章：NAC原生框架下的跨链总则</w:t>
      </w:r>
      <w:bookmarkEnd w:id="1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2" w:id="2"/>
      <w:r>
        <w:rPr>
          <w:rFonts w:eastAsia="等线" w:ascii="Arial" w:cs="Arial" w:hAnsi="Arial"/>
          <w:b w:val="true"/>
          <w:sz w:val="30"/>
        </w:rPr>
        <w:t>第1条 核心范式：从“桥接映射”到“主权铸造”</w:t>
      </w:r>
      <w:bookmarkEnd w:id="2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NAC的跨链资产上链，并非传统的双向锚定桥接，而是 </w:t>
      </w:r>
      <w:r>
        <w:rPr>
          <w:rFonts w:eastAsia="等线" w:ascii="Arial" w:cs="Arial" w:hAnsi="Arial"/>
          <w:b w:val="true"/>
          <w:sz w:val="22"/>
        </w:rPr>
        <w:t>“基于多链状态验证的NAC原生主权资产发行”</w:t>
      </w:r>
      <w:r>
        <w:rPr>
          <w:rFonts w:eastAsia="等线" w:ascii="Arial" w:cs="Arial" w:hAnsi="Arial"/>
          <w:sz w:val="22"/>
        </w:rPr>
        <w:t>。这意味着：</w:t>
      </w:r>
    </w:p>
    <w:p>
      <w:pPr>
        <w:numPr>
          <w:numId w:val="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资产为NAC原生发行</w:t>
      </w:r>
      <w:r>
        <w:rPr>
          <w:rFonts w:eastAsia="等线" w:ascii="Arial" w:cs="Arial" w:hAnsi="Arial"/>
          <w:sz w:val="22"/>
        </w:rPr>
        <w:t xml:space="preserve">：所有外来资产在NAC链上均以 </w:t>
      </w:r>
      <w:r>
        <w:rPr>
          <w:rFonts w:eastAsia="Consolas" w:ascii="Consolas" w:cs="Consolas" w:hAnsi="Consolas"/>
          <w:b w:val="true"/>
          <w:sz w:val="22"/>
          <w:shd w:fill="EFF0F1"/>
        </w:rPr>
        <w:t>ACC-20ACC-721</w:t>
      </w:r>
      <w:r>
        <w:rPr>
          <w:rFonts w:eastAsia="等线" w:ascii="Arial" w:cs="Arial" w:hAnsi="Arial"/>
          <w:b w:val="true"/>
          <w:sz w:val="22"/>
        </w:rPr>
        <w:t xml:space="preserve"> 或 </w:t>
      </w:r>
      <w:r>
        <w:rPr>
          <w:rFonts w:eastAsia="等线" w:ascii="Arial" w:cs="Arial" w:hAnsi="Arial"/>
          <w:sz w:val="22"/>
        </w:rPr>
        <w:t xml:space="preserve"> 标准重新铸造，是NAC链上新生的、独立的数字资产，其流通和效用完全在NAC生态内发生。</w:t>
      </w:r>
    </w:p>
    <w:p>
      <w:pPr>
        <w:numPr>
          <w:numId w:val="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安全由XTZH质押保障</w:t>
      </w:r>
      <w:r>
        <w:rPr>
          <w:rFonts w:eastAsia="等线" w:ascii="Arial" w:cs="Arial" w:hAnsi="Arial"/>
          <w:sz w:val="22"/>
        </w:rPr>
        <w:t>：跨链资产的价值背书，首要依赖于一个由质押了</w:t>
      </w:r>
      <w:r>
        <w:rPr>
          <w:rFonts w:eastAsia="等线" w:ascii="Arial" w:cs="Arial" w:hAnsi="Arial"/>
          <w:b w:val="true"/>
          <w:sz w:val="22"/>
        </w:rPr>
        <w:t>XTZH</w:t>
      </w:r>
      <w:r>
        <w:rPr>
          <w:rFonts w:eastAsia="等线" w:ascii="Arial" w:cs="Arial" w:hAnsi="Arial"/>
          <w:sz w:val="22"/>
        </w:rPr>
        <w:t>的NAC原生验证者网络对源链资产状态的</w:t>
      </w:r>
      <w:r>
        <w:rPr>
          <w:rFonts w:eastAsia="等线" w:ascii="Arial" w:cs="Arial" w:hAnsi="Arial"/>
          <w:b w:val="true"/>
          <w:sz w:val="22"/>
        </w:rPr>
        <w:t>共识验证</w:t>
      </w:r>
      <w:r>
        <w:rPr>
          <w:rFonts w:eastAsia="等线" w:ascii="Arial" w:cs="Arial" w:hAnsi="Arial"/>
          <w:sz w:val="22"/>
        </w:rPr>
        <w:t>，其次才是源链上的资产锁定。XTZH质押是安全的第一道防线。</w:t>
      </w:r>
    </w:p>
    <w:p>
      <w:pPr>
        <w:numPr>
          <w:numId w:val="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主权由验证网络赋予</w:t>
      </w:r>
      <w:r>
        <w:rPr>
          <w:rFonts w:eastAsia="等线" w:ascii="Arial" w:cs="Arial" w:hAnsi="Arial"/>
          <w:sz w:val="22"/>
        </w:rPr>
        <w:t xml:space="preserve">：外来资产在NAC链上的“存在证明”和“赎回权”，由去中心化验证者网络的多重签名赋予，构成一种 </w:t>
      </w:r>
      <w:r>
        <w:rPr>
          <w:rFonts w:eastAsia="Consolas" w:ascii="Consolas" w:cs="Consolas" w:hAnsi="Consolas"/>
          <w:b w:val="true"/>
          <w:sz w:val="22"/>
          <w:shd w:fill="EFF0F1"/>
        </w:rPr>
        <w:t>C0</w:t>
      </w:r>
      <w:r>
        <w:rPr>
          <w:rFonts w:eastAsia="等线" w:ascii="Arial" w:cs="Arial" w:hAnsi="Arial"/>
          <w:b w:val="true"/>
          <w:sz w:val="22"/>
        </w:rPr>
        <w:t>（有条件所有权）</w:t>
      </w:r>
      <w:r>
        <w:rPr>
          <w:rFonts w:eastAsia="等线" w:ascii="Arial" w:cs="Arial" w:hAnsi="Arial"/>
          <w:sz w:val="22"/>
        </w:rPr>
        <w:t>，条件即验证者网络的共识。</w:t>
      </w:r>
    </w:p>
    <w:p>
      <w:pPr>
        <w:numPr>
          <w:numId w:val="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身份与合规由GNACS定义</w:t>
      </w:r>
      <w:r>
        <w:rPr>
          <w:rFonts w:eastAsia="等线" w:ascii="Arial" w:cs="Arial" w:hAnsi="Arial"/>
          <w:sz w:val="22"/>
        </w:rPr>
        <w:t xml:space="preserve">：跨链资产获得独立的GNACS编码，其“物理属性”位标识源链与资产类别（如 </w:t>
      </w:r>
      <w:r>
        <w:rPr>
          <w:rFonts w:eastAsia="Consolas" w:ascii="Consolas" w:cs="Consolas" w:hAnsi="Consolas"/>
          <w:sz w:val="22"/>
          <w:shd w:fill="EFF0F1"/>
        </w:rPr>
        <w:t>990102</w:t>
      </w:r>
      <w:r>
        <w:rPr>
          <w:rFonts w:eastAsia="等线" w:ascii="Arial" w:cs="Arial" w:hAnsi="Arial"/>
          <w:sz w:val="22"/>
        </w:rPr>
        <w:t xml:space="preserve"> 为以太坊资产），并继承NAC原生合规层（ACC-1400）的约束。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3" w:id="3"/>
      <w:r>
        <w:rPr>
          <w:rFonts w:eastAsia="等线" w:ascii="Arial" w:cs="Arial" w:hAnsi="Arial"/>
          <w:b w:val="true"/>
          <w:sz w:val="30"/>
        </w:rPr>
        <w:t>第2条 核心支柱</w:t>
      </w:r>
      <w:bookmarkEnd w:id="3"/>
    </w:p>
    <w:p>
      <w:pPr>
        <w:numPr>
          <w:numId w:val="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去中心化验证者网络（Cross-Chain Verifier Set）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由NAC治理选举产生，成员需运行各源链的全节点并质押高额XTZH。</w:t>
      </w:r>
    </w:p>
    <w:p>
      <w:pPr>
        <w:numPr>
          <w:numId w:val="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负责监控源链的特定资产锁定合约，并对“锁定”与“解锁”事件达成共识，以阈值签名（TSS）方式授权NAC链上的相应操作。</w:t>
      </w:r>
    </w:p>
    <w:p>
      <w:pPr>
        <w:numPr>
          <w:numId w:val="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双重安全模型（经济安全 + 链上安全）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经济安全</w:t>
      </w:r>
      <w:r>
        <w:rPr>
          <w:rFonts w:eastAsia="等线" w:ascii="Arial" w:cs="Arial" w:hAnsi="Arial"/>
          <w:sz w:val="22"/>
        </w:rPr>
        <w:t>：验证者质押的XTZH构成“安全池”。若其恶意签名或失职，导致资产被盗或双花，其质押的XTZH将被罚没，用于赔偿用户。</w:t>
      </w:r>
    </w:p>
    <w:p>
      <w:pPr>
        <w:numPr>
          <w:numId w:val="1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链上安全</w:t>
      </w:r>
      <w:r>
        <w:rPr>
          <w:rFonts w:eastAsia="等线" w:ascii="Arial" w:cs="Arial" w:hAnsi="Arial"/>
          <w:sz w:val="22"/>
        </w:rPr>
        <w:t>：源链资产锁定在具备时间锁和多签治理的智能合约中，留有充足的应急响应窗口。</w:t>
      </w:r>
    </w:p>
    <w:p>
      <w:pPr>
        <w:numPr>
          <w:numId w:val="1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状态中继与轻客户端预言机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12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验证者网络运行轻客户端中继协议，将源链区块头持续同步至NAC链上。</w:t>
      </w:r>
    </w:p>
    <w:p>
      <w:pPr>
        <w:numPr>
          <w:numId w:val="1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这使得NAC链上的智能合约能够以去信任方式验证源链上发生的特定交易（如资产锁定）的存在性与正确性，是长期目标。</w:t>
      </w:r>
    </w:p>
    <w:p>
      <w:pPr>
        <w:numPr>
          <w:numId w:val="1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统一封装资产工厂</w:t>
      </w:r>
      <w:r>
        <w:rPr>
          <w:rFonts w:eastAsia="等线" w:ascii="Arial" w:cs="Arial" w:hAnsi="Arial"/>
          <w:sz w:val="22"/>
        </w:rPr>
        <w:t>：</w:t>
      </w:r>
    </w:p>
    <w:p>
      <w:pPr>
        <w:numPr>
          <w:numId w:val="1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提供标准化的合约工厂，支持根据不同源链和资产类型，一键部署符合GNACS标准和合规要求的封装资产合约。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4" w:id="4"/>
      <w:r>
        <w:rPr>
          <w:rFonts w:eastAsia="等线" w:ascii="Arial" w:cs="Arial" w:hAnsi="Arial"/>
          <w:b w:val="true"/>
          <w:sz w:val="32"/>
        </w:rPr>
        <w:t>第二章：跨链架构与参与方</w:t>
      </w:r>
      <w:bookmarkEnd w:id="4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5" w:id="5"/>
      <w:r>
        <w:rPr>
          <w:rFonts w:eastAsia="等线" w:ascii="Arial" w:cs="Arial" w:hAnsi="Arial"/>
          <w:b w:val="true"/>
          <w:sz w:val="30"/>
        </w:rPr>
        <w:t>第3条 系统架构与安全数据流</w:t>
      </w:r>
      <w:bookmarkEnd w:id="5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下图展示了将外部资产引入NAC生态的完整、安全优先的流程：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  <w:shd w:fill="dee0e3"/>
        </w:rPr>
        <w:t>[流程图暂不支持下载]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6" w:id="6"/>
      <w:r>
        <w:rPr>
          <w:rFonts w:eastAsia="等线" w:ascii="Arial" w:cs="Arial" w:hAnsi="Arial"/>
          <w:b w:val="true"/>
          <w:sz w:val="30"/>
        </w:rPr>
        <w:t>第4条 关键参与方职责</w:t>
      </w:r>
      <w:bookmarkEnd w:id="6"/>
    </w:p>
    <w:p>
      <w:pPr>
        <w:numPr>
          <w:numId w:val="1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跨链验证者</w:t>
      </w:r>
      <w:r>
        <w:rPr>
          <w:rFonts w:eastAsia="等线" w:ascii="Arial" w:cs="Arial" w:hAnsi="Arial"/>
          <w:sz w:val="22"/>
        </w:rPr>
        <w:t>：作为系统的</w:t>
      </w:r>
      <w:r>
        <w:rPr>
          <w:rFonts w:eastAsia="等线" w:ascii="Arial" w:cs="Arial" w:hAnsi="Arial"/>
          <w:b w:val="true"/>
          <w:sz w:val="22"/>
        </w:rPr>
        <w:t>去中心化信任层</w:t>
      </w:r>
      <w:r>
        <w:rPr>
          <w:rFonts w:eastAsia="等线" w:ascii="Arial" w:cs="Arial" w:hAnsi="Arial"/>
          <w:sz w:val="22"/>
        </w:rPr>
        <w:t xml:space="preserve">，是 </w:t>
      </w:r>
      <w:r>
        <w:rPr>
          <w:rFonts w:eastAsia="Consolas" w:ascii="Consolas" w:cs="Consolas" w:hAnsi="Consolas"/>
          <w:sz w:val="22"/>
          <w:shd w:fill="EFF0F1"/>
        </w:rPr>
        <w:t>B3</w:t>
      </w:r>
      <w:r>
        <w:rPr>
          <w:rFonts w:eastAsia="等线" w:ascii="Arial" w:cs="Arial" w:hAnsi="Arial"/>
          <w:sz w:val="22"/>
        </w:rPr>
        <w:t>（管理权-验证职能）的行使者。其核心职责是诚实报告源链状态。收入来源于跨链手续费，但其质押的XTZH面临因作恶或宕机而被大幅罚没的风险。</w:t>
      </w:r>
    </w:p>
    <w:p>
      <w:pPr>
        <w:numPr>
          <w:numId w:val="1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治理委员会（DAO）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18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资产上架委员会</w:t>
      </w:r>
      <w:r>
        <w:rPr>
          <w:rFonts w:eastAsia="等线" w:ascii="Arial" w:cs="Arial" w:hAnsi="Arial"/>
          <w:sz w:val="22"/>
        </w:rPr>
        <w:t>：审核并投票决定支持哪条源链的哪些资产，并设定其初始GNACS风险参数与XTZH质押率要求。</w:t>
      </w:r>
    </w:p>
    <w:p>
      <w:pPr>
        <w:numPr>
          <w:numId w:val="1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b w:val="true"/>
          <w:sz w:val="22"/>
        </w:rPr>
        <w:t>安全应急委员会</w:t>
      </w:r>
      <w:r>
        <w:rPr>
          <w:rFonts w:eastAsia="等线" w:ascii="Arial" w:cs="Arial" w:hAnsi="Arial"/>
          <w:sz w:val="22"/>
        </w:rPr>
        <w:t>：在极端情况下（如源链发生回滚攻击），可通过多签暂停桥梁，启动应急处理流程。</w:t>
      </w:r>
    </w:p>
    <w:p>
      <w:pPr>
        <w:numPr>
          <w:numId w:val="2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流动性引导者</w:t>
      </w:r>
      <w:r>
        <w:rPr>
          <w:rFonts w:eastAsia="等线" w:ascii="Arial" w:cs="Arial" w:hAnsi="Arial"/>
          <w:sz w:val="22"/>
        </w:rPr>
        <w:t>：在NAC原生DEX中为新的跨链资产创建初始流动性池，可获得治理代币激励。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7" w:id="7"/>
      <w:r>
        <w:rPr>
          <w:rFonts w:eastAsia="等线" w:ascii="Arial" w:cs="Arial" w:hAnsi="Arial"/>
          <w:b w:val="true"/>
          <w:sz w:val="32"/>
        </w:rPr>
        <w:t>第三章：三类资产上链流程细则</w:t>
      </w:r>
      <w:bookmarkEnd w:id="7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8" w:id="8"/>
      <w:r>
        <w:rPr>
          <w:rFonts w:eastAsia="等线" w:ascii="Arial" w:cs="Arial" w:hAnsi="Arial"/>
          <w:b w:val="true"/>
          <w:sz w:val="30"/>
        </w:rPr>
        <w:t>第5条 类型一：原生代币（如ETH, SOL）上链</w:t>
      </w:r>
      <w:bookmarkEnd w:id="8"/>
    </w:p>
    <w:p>
      <w:pPr>
        <w:numPr>
          <w:numId w:val="2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用户锁定</w:t>
      </w:r>
      <w:r>
        <w:rPr>
          <w:rFonts w:eastAsia="等线" w:ascii="Arial" w:cs="Arial" w:hAnsi="Arial"/>
          <w:sz w:val="22"/>
        </w:rPr>
        <w:t>：用户将ETH存入以太坊上的官方锁定合约。</w:t>
      </w:r>
    </w:p>
    <w:p>
      <w:pPr>
        <w:numPr>
          <w:numId w:val="2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验证与铸造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3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验证者网络监听到该交易，在NAC链上达成共识并生成签名。</w:t>
      </w:r>
    </w:p>
    <w:p>
      <w:pPr>
        <w:numPr>
          <w:numId w:val="24"/>
        </w:numPr>
        <w:spacing w:before="120" w:after="120" w:line="288" w:lineRule="auto"/>
        <w:ind w:left="453"/>
        <w:jc w:val="left"/>
      </w:pPr>
      <w:r>
        <w:rPr>
          <w:rFonts w:eastAsia="Consolas" w:ascii="Consolas" w:cs="Consolas" w:hAnsi="Consolas"/>
          <w:sz w:val="22"/>
          <w:shd w:fill="EFF0F1"/>
        </w:rPr>
        <w:t>CrossChainController</w:t>
      </w:r>
      <w:r>
        <w:rPr>
          <w:rFonts w:eastAsia="等线" w:ascii="Arial" w:cs="Arial" w:hAnsi="Arial"/>
          <w:sz w:val="22"/>
        </w:rPr>
        <w:t xml:space="preserve"> 合约验证签名后，调用 </w:t>
      </w:r>
      <w:r>
        <w:rPr>
          <w:rFonts w:eastAsia="Consolas" w:ascii="Consolas" w:cs="Consolas" w:hAnsi="Consolas"/>
          <w:sz w:val="22"/>
          <w:shd w:fill="EFF0F1"/>
        </w:rPr>
        <w:t>WrapperFactory</w:t>
      </w:r>
      <w:r>
        <w:rPr>
          <w:rFonts w:eastAsia="等线" w:ascii="Arial" w:cs="Arial" w:hAnsi="Arial"/>
          <w:sz w:val="22"/>
        </w:rPr>
        <w:t>。</w:t>
      </w:r>
    </w:p>
    <w:p>
      <w:pPr>
        <w:numPr>
          <w:numId w:val="2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工厂合约根据预定的GNACS编码（标识为“封装以太坊资产”）铸造等额的 </w:t>
      </w:r>
      <w:r>
        <w:rPr>
          <w:rFonts w:eastAsia="Consolas" w:ascii="Consolas" w:cs="Consolas" w:hAnsi="Consolas"/>
          <w:sz w:val="22"/>
          <w:shd w:fill="EFF0F1"/>
        </w:rPr>
        <w:t>nETH</w:t>
      </w:r>
      <w:r>
        <w:rPr>
          <w:rFonts w:eastAsia="等线" w:ascii="Arial" w:cs="Arial" w:hAnsi="Arial"/>
          <w:sz w:val="22"/>
        </w:rPr>
        <w:t xml:space="preserve"> (ACC-20) 给用户。</w:t>
      </w:r>
    </w:p>
    <w:p>
      <w:pPr>
        <w:numPr>
          <w:numId w:val="2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关键技术（动态铸造上限）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  <w:r>
        <w:rPr>
          <w:rFonts w:eastAsia="Consolas" w:ascii="Consolas" w:cs="Consolas" w:hAnsi="Consolas"/>
          <w:sz w:val="22"/>
          <w:shd w:fill="EFF0F1"/>
        </w:rPr>
        <w:t>contract WrapperFactory {</w:t>
        <w:br/>
        <w:t xml:space="preserve">    uint256 public totalMinted;</w:t>
        <w:br/>
        <w:t xml:space="preserve">    uint256 public mintCap; // 由治理设定，与安全池规模挂钩</w:t>
        <w:br/>
        <w:t xml:space="preserve">    </w:t>
        <w:br/>
        <w:t xml:space="preserve">    function mint(address to, uint256 amount, bytes calldata sigs) external {</w:t>
        <w:br/>
        <w:t xml:space="preserve">        require(totalMinted + amount&lt;= mintCap, "Exceeds mint cap");</w:t>
        <w:br/>
        <w:t xml:space="preserve">        require(verifyValidatorSigs(sigs, "LOCK", amount), "Invalid auth");</w:t>
        <w:br/>
        <w:t xml:space="preserve">        totalMinted += amount;</w:t>
        <w:br/>
        <w:t xml:space="preserve">        _mint(to, amount);</w:t>
        <w:br/>
        <w:t xml:space="preserve">    }</w:t>
        <w:br/>
        <w:t>}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9" w:id="9"/>
      <w:r>
        <w:rPr>
          <w:rFonts w:eastAsia="等线" w:ascii="Arial" w:cs="Arial" w:hAnsi="Arial"/>
          <w:b w:val="true"/>
          <w:sz w:val="30"/>
        </w:rPr>
        <w:t>第6条 类型二：DeFi权益代币（如Uniswap LP Token, Aave aToken）上链</w:t>
      </w:r>
      <w:bookmarkEnd w:id="9"/>
    </w:p>
    <w:p>
      <w:pPr>
        <w:numPr>
          <w:numId w:val="2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特殊性与风险</w:t>
      </w:r>
      <w:r>
        <w:rPr>
          <w:rFonts w:eastAsia="等线" w:ascii="Arial" w:cs="Arial" w:hAnsi="Arial"/>
          <w:sz w:val="22"/>
        </w:rPr>
        <w:t>：此类资产价值依赖于源链上的第三方协议，风险更高。</w:t>
      </w:r>
    </w:p>
    <w:p>
      <w:pPr>
        <w:numPr>
          <w:numId w:val="2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上链流程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29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需经过</w:t>
      </w:r>
      <w:r>
        <w:rPr>
          <w:rFonts w:eastAsia="等线" w:ascii="Arial" w:cs="Arial" w:hAnsi="Arial"/>
          <w:b w:val="true"/>
          <w:sz w:val="22"/>
        </w:rPr>
        <w:t>资产上架委员会</w:t>
      </w:r>
      <w:r>
        <w:rPr>
          <w:rFonts w:eastAsia="等线" w:ascii="Arial" w:cs="Arial" w:hAnsi="Arial"/>
          <w:sz w:val="22"/>
        </w:rPr>
        <w:t>专项评审，赋予更高的GNACS风险权重（如150%）。</w:t>
      </w:r>
    </w:p>
    <w:p>
      <w:pPr>
        <w:numPr>
          <w:numId w:val="30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用户锁定LP Token后，验证者除验证交易外，还需通过预言机获取该LP Token对应的底层资产价值，并计算出一个**保守的估值**。</w:t>
      </w:r>
    </w:p>
    <w:p>
      <w:pPr>
        <w:numPr>
          <w:numId w:val="31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在NAC链上铸造的封装资产（如 </w:t>
      </w:r>
      <w:r>
        <w:rPr>
          <w:rFonts w:eastAsia="Consolas" w:ascii="Consolas" w:cs="Consolas" w:hAnsi="Consolas"/>
          <w:sz w:val="22"/>
          <w:shd w:fill="EFF0F1"/>
        </w:rPr>
        <w:t>nUniLP</w:t>
      </w:r>
      <w:r>
        <w:rPr>
          <w:rFonts w:eastAsia="等线" w:ascii="Arial" w:cs="Arial" w:hAnsi="Arial"/>
          <w:sz w:val="22"/>
        </w:rPr>
        <w:t>），其数量代表的是**经保守估值后的稳定币计价单位**，而非源链上的份额单位，以隔离源链协议风险。</w:t>
      </w:r>
    </w:p>
    <w:p>
      <w:pPr>
        <w:numPr>
          <w:numId w:val="3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应用场景</w:t>
      </w:r>
      <w:r>
        <w:rPr>
          <w:rFonts w:eastAsia="等线" w:ascii="Arial" w:cs="Arial" w:hAnsi="Arial"/>
          <w:sz w:val="22"/>
        </w:rPr>
        <w:t xml:space="preserve">：该 </w:t>
      </w:r>
      <w:r>
        <w:rPr>
          <w:rFonts w:eastAsia="Consolas" w:ascii="Consolas" w:cs="Consolas" w:hAnsi="Consolas"/>
          <w:sz w:val="22"/>
          <w:shd w:fill="EFF0F1"/>
        </w:rPr>
        <w:t>nUniLP</w:t>
      </w:r>
      <w:r>
        <w:rPr>
          <w:rFonts w:eastAsia="等线" w:ascii="Arial" w:cs="Arial" w:hAnsi="Arial"/>
          <w:sz w:val="22"/>
        </w:rPr>
        <w:t xml:space="preserve"> 可直接作为抵押品接入NAC的借贷协议，借出稳定币，实现跨链杠杆或现金流优化。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0" w:id="10"/>
      <w:r>
        <w:rPr>
          <w:rFonts w:eastAsia="等线" w:ascii="Arial" w:cs="Arial" w:hAnsi="Arial"/>
          <w:b w:val="true"/>
          <w:sz w:val="30"/>
        </w:rPr>
        <w:t>第7条 类型三：NFT（如CryptoPunks, BAYC）上链</w:t>
      </w:r>
      <w:bookmarkEnd w:id="10"/>
    </w:p>
    <w:p>
      <w:pPr>
        <w:numPr>
          <w:numId w:val="3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挑战</w:t>
      </w:r>
      <w:r>
        <w:rPr>
          <w:rFonts w:eastAsia="等线" w:ascii="Arial" w:cs="Arial" w:hAnsi="Arial"/>
          <w:sz w:val="22"/>
        </w:rPr>
        <w:t>：NFT非标准化，且需保持其唯一性和所有权链的连续性。</w:t>
      </w:r>
    </w:p>
    <w:p>
      <w:pPr>
        <w:numPr>
          <w:numId w:val="3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灵魂绑定式上链</w:t>
      </w:r>
      <w:r>
        <w:rPr>
          <w:rFonts w:eastAsia="等线" w:ascii="Arial" w:cs="Arial" w:hAnsi="Arial"/>
          <w:sz w:val="22"/>
        </w:rPr>
        <w:t>：</w:t>
        <w:br/>
        <w:t xml:space="preserve">        </w:t>
      </w:r>
    </w:p>
    <w:p>
      <w:pPr>
        <w:numPr>
          <w:numId w:val="35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 xml:space="preserve">用户锁定NFT后，NAC链上并非铸造一个通用的替代品，而是铸造一个 </w:t>
      </w:r>
      <w:r>
        <w:rPr>
          <w:rFonts w:eastAsia="等线" w:ascii="Arial" w:cs="Arial" w:hAnsi="Arial"/>
          <w:b w:val="true"/>
          <w:sz w:val="22"/>
        </w:rPr>
        <w:t>“主权映射凭证”</w:t>
      </w:r>
      <w:r>
        <w:rPr>
          <w:rFonts w:eastAsia="等线" w:ascii="Arial" w:cs="Arial" w:hAnsi="Arial"/>
          <w:sz w:val="22"/>
        </w:rPr>
        <w:t>（Soulbound Wrapped NFT， ACC-721）。</w:t>
      </w:r>
    </w:p>
    <w:p>
      <w:pPr>
        <w:numPr>
          <w:numId w:val="36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该凭证唯一绑定原始NFT的ID和原所有者地址，并记录完整的锁定历史。</w:t>
      </w:r>
    </w:p>
    <w:p>
      <w:pPr>
        <w:numPr>
          <w:numId w:val="37"/>
        </w:numPr>
        <w:spacing w:before="120" w:after="120" w:line="288" w:lineRule="auto"/>
        <w:ind w:left="453"/>
        <w:jc w:val="left"/>
      </w:pPr>
      <w:r>
        <w:rPr>
          <w:rFonts w:eastAsia="等线" w:ascii="Arial" w:cs="Arial" w:hAnsi="Arial"/>
          <w:sz w:val="22"/>
        </w:rPr>
        <w:t>它不能在NAC链上被直接交易，但可以作为**身份凭证、社交展示或接入专属DAO**的钥匙。其**经济价值**通过其对**原NFT的赎回权**来体现。</w:t>
      </w:r>
    </w:p>
    <w:p>
      <w:pPr>
        <w:numPr>
          <w:numId w:val="3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金融化路径</w:t>
      </w:r>
      <w:r>
        <w:rPr>
          <w:rFonts w:eastAsia="等线" w:ascii="Arial" w:cs="Arial" w:hAnsi="Arial"/>
          <w:sz w:val="22"/>
        </w:rPr>
        <w:t>：可基于该“映射凭证”，发行以原NFT估值为基础的**碎片化收益权代币**（ACC-20），在NAC链上进行交易和金融化，而不移动原NFT。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1" w:id="11"/>
      <w:r>
        <w:rPr>
          <w:rFonts w:eastAsia="等线" w:ascii="Arial" w:cs="Arial" w:hAnsi="Arial"/>
          <w:b w:val="true"/>
          <w:sz w:val="32"/>
        </w:rPr>
        <w:t>第四章：核心合约模板与安全机制</w:t>
      </w:r>
      <w:bookmarkEnd w:id="11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2" w:id="12"/>
      <w:r>
        <w:rPr>
          <w:rFonts w:eastAsia="等线" w:ascii="Arial" w:cs="Arial" w:hAnsi="Arial"/>
          <w:b w:val="true"/>
          <w:sz w:val="30"/>
        </w:rPr>
        <w:t>第8条 跨链控制器合约（`CrossChainController.sol`）</w:t>
      </w:r>
      <w:bookmarkEnd w:id="12"/>
    </w:p>
    <w:tbl>
      <w:tblPr>
        <w:tblW w:w="0" w:type="auto"/>
        <w:tblInd w:w="0" w:type="dxa"/>
        <w:tblBorders>
          <w:top w:val="single" w:color="dee0e3"/>
          <w:left w:val="single" w:color="dee0e3"/>
          <w:bottom w:val="single" w:color="dee0e3"/>
          <w:right w:val="single" w:color="dee0e3"/>
          <w:insideH w:val="single" w:color="dee0e3"/>
          <w:insideV w:val="single" w:color="dee0e3"/>
        </w:tblBorders>
        <w:tblLayout w:type="fixed"/>
      </w:tblPr>
      <w:tblGrid>
        <w:gridCol w:w="8280"/>
      </w:tblGrid>
      <w:tr>
        <w:tc>
          <w:tcPr>
            <w:tcW w:w="8280" w:type="dxa"/>
            <w:shd w:color="auto" w:val="clear" w:fill="f5f6f7"/>
            <w:tcMar>
              <w:top w:type="dxa" w:w="60"/>
              <w:left w:type="dxa" w:w="120"/>
              <w:bottom w:type="dxa" w:w="30"/>
              <w:right w:type="dxa" w:w="120"/>
            </w:tcMar>
          </w:tcPr>
          <w:p>
            <w:pPr>
              <w:spacing w:before="120" w:after="120" w:line="288" w:lineRule="auto"/>
              <w:jc w:val="left"/>
            </w:pPr>
            <w:r>
              <w:rPr>
                <w:rFonts w:eastAsia="Consolas" w:ascii="Consolas" w:cs="Consolas" w:hAnsi="Consolas"/>
                <w:color w:val="646a73"/>
                <w:sz w:val="22"/>
              </w:rPr>
              <w:t>solidity</w:t>
              <w:br w:type="textWrapping"/>
            </w:r>
            <w:r>
              <w:rPr>
                <w:rFonts w:eastAsia="Consolas" w:ascii="Consolas" w:cs="Consolas" w:hAnsi="Consolas"/>
                <w:sz w:val="22"/>
              </w:rPr>
              <w:t>// 系统的安全大脑</w:t>
              <w:br/>
              <w:t>contract CrossChainController is Ownable2Step {</w:t>
              <w:br/>
              <w:t xml:space="preserve">    mapping(address =&gt; bool) public isValidator;</w:t>
              <w:br/>
              <w:t xml:space="preserve">    uint256 public requiredSignatures;</w:t>
              <w:br/>
              <w:t xml:space="preserve">    </w:t>
              <w:br/>
              <w:t xml:space="preserve">    // 记录每个验证者质押的XTZH</w:t>
              <w:br/>
              <w:t xml:space="preserve">    mapping(address =&gt; uint256) public validatorBond;</w:t>
              <w:br/>
              <w:t xml:space="preserve">    </w:t>
              <w:br/>
              <w:t xml:space="preserve">    // 处理来自验证者网络的签名包</w:t>
              <w:br/>
              <w:t xml:space="preserve">    function processMessage(</w:t>
              <w:br/>
              <w:t xml:space="preserve">        bytes32 sourceChainId,</w:t>
              <w:br/>
              <w:t xml:space="preserve">        bytes32 messageHash, // 包含指令类型（锁/解锁）、资产、数量、用户</w:t>
              <w:br/>
              <w:t xml:space="preserve">        bytes[] calldata signatures,</w:t>
              <w:br/>
              <w:t xml:space="preserve">        uint256 timestamp</w:t>
              <w:br/>
              <w:t xml:space="preserve">    ) external nonReentrant {</w:t>
              <w:br/>
              <w:t xml:space="preserve">        // 1. 检查时间戳防重放</w:t>
              <w:br/>
              <w:t xml:space="preserve">        // 2. 检查签名数量和有效性</w:t>
              <w:br/>
              <w:t xml:space="preserve">        // 3. 检查指令逻辑（如解锁时，NAC端资产需已销毁）</w:t>
              <w:br/>
              <w:t xml:space="preserve">        // 4. 执行指令（调用工厂铸造或通知源链合约解锁）</w:t>
              <w:br/>
              <w:t xml:space="preserve">    }</w:t>
              <w:br/>
              <w:t xml:space="preserve">    </w:t>
              <w:br/>
              <w:t xml:space="preserve">    // 罚没函数</w:t>
              <w:br/>
              <w:t xml:space="preserve">    function slashValidator(address validator, bytes32 proofOfMisconduct) external onlyGovernance {</w:t>
              <w:br/>
              <w:t xml:space="preserve">        uint256 bond = validatorBond[validator];</w:t>
              <w:br/>
              <w:t xml:space="preserve">        validatorBond[validator] = 0;</w:t>
              <w:br/>
              <w:t xml:space="preserve">        // 部分赔偿受影响用户，部分销毁，部分进入安全储备池</w:t>
              <w:br/>
              <w:t xml:space="preserve">        xtzhToken.transfer(treasury, bond / 2);</w:t>
              <w:br/>
              <w:t xml:space="preserve">        xtzhToken.burn(bond / 4);</w:t>
              <w:br/>
              <w:t xml:space="preserve">        xtzhToken.transfer(insuranceFund, bond / 4);</w:t>
              <w:br/>
              <w:t xml:space="preserve">    }</w:t>
              <w:br/>
              <w:t>}</w:t>
            </w:r>
          </w:p>
        </w:tc>
      </w:tr>
    </w:tbl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3" w:id="13"/>
      <w:r>
        <w:rPr>
          <w:rFonts w:eastAsia="等线" w:ascii="Arial" w:cs="Arial" w:hAnsi="Arial"/>
          <w:b w:val="true"/>
          <w:sz w:val="30"/>
        </w:rPr>
        <w:t>第9条 渐进式去信任化路线图</w:t>
      </w:r>
      <w:bookmarkEnd w:id="13"/>
    </w:p>
    <w:p>
      <w:pPr>
        <w:numPr>
          <w:numId w:val="39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阶段一（启动期）</w:t>
      </w:r>
      <w:r>
        <w:rPr>
          <w:rFonts w:eastAsia="等线" w:ascii="Arial" w:cs="Arial" w:hAnsi="Arial"/>
          <w:sz w:val="22"/>
        </w:rPr>
        <w:t>：依赖多签验证者网络，快速支持主流资产。</w:t>
      </w:r>
    </w:p>
    <w:p>
      <w:pPr>
        <w:numPr>
          <w:numId w:val="40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阶段二（优化期）</w:t>
      </w:r>
      <w:r>
        <w:rPr>
          <w:rFonts w:eastAsia="等线" w:ascii="Arial" w:cs="Arial" w:hAnsi="Arial"/>
          <w:sz w:val="22"/>
        </w:rPr>
        <w:t>：引入轻客户端中继，对高频小额的锁定交易实现无签名验证。</w:t>
      </w:r>
    </w:p>
    <w:p>
      <w:pPr>
        <w:numPr>
          <w:numId w:val="41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阶段三（成熟期）</w:t>
      </w:r>
      <w:r>
        <w:rPr>
          <w:rFonts w:eastAsia="等线" w:ascii="Arial" w:cs="Arial" w:hAnsi="Arial"/>
          <w:sz w:val="22"/>
        </w:rPr>
        <w:t>：实现基于零知识证明的通用状态验证，验证者角色弱化，完全由数学和密码学保证安全。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4" w:id="14"/>
      <w:r>
        <w:rPr>
          <w:rFonts w:eastAsia="等线" w:ascii="Arial" w:cs="Arial" w:hAnsi="Arial"/>
          <w:b w:val="true"/>
          <w:sz w:val="32"/>
        </w:rPr>
        <w:t>第五章：风险、合规与治理</w:t>
      </w:r>
      <w:bookmarkEnd w:id="14"/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5" w:id="15"/>
      <w:r>
        <w:rPr>
          <w:rFonts w:eastAsia="等线" w:ascii="Arial" w:cs="Arial" w:hAnsi="Arial"/>
          <w:b w:val="true"/>
          <w:sz w:val="30"/>
        </w:rPr>
        <w:t>第10条 特有风险提示</w:t>
      </w:r>
      <w:bookmarkEnd w:id="15"/>
    </w:p>
    <w:p>
      <w:pPr>
        <w:numPr>
          <w:numId w:val="42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验证者合谋风险</w:t>
      </w:r>
      <w:r>
        <w:rPr>
          <w:rFonts w:eastAsia="等线" w:ascii="Arial" w:cs="Arial" w:hAnsi="Arial"/>
          <w:sz w:val="22"/>
        </w:rPr>
        <w:t>：超过阈值的验证者串通可盗取资金。通过**随机洗牌、物理分散、法律实体隔离**及**高额XTZH质押**提高合谋成本与难度。</w:t>
      </w:r>
    </w:p>
    <w:p>
      <w:pPr>
        <w:numPr>
          <w:numId w:val="43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源头链共识攻击风险</w:t>
      </w:r>
      <w:r>
        <w:rPr>
          <w:rFonts w:eastAsia="等线" w:ascii="Arial" w:cs="Arial" w:hAnsi="Arial"/>
          <w:sz w:val="22"/>
        </w:rPr>
        <w:t>：源链发生51%攻击或确定性回滚（如PoS长程攻击），可能导致跨链状态确认被逆转。需设置**长确认期**，并对高价值资产引入**欺诈证明挑战期**。</w:t>
      </w:r>
    </w:p>
    <w:p>
      <w:pPr>
        <w:numPr>
          <w:numId w:val="44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智能合约升级风险</w:t>
      </w:r>
      <w:r>
        <w:rPr>
          <w:rFonts w:eastAsia="等线" w:ascii="Arial" w:cs="Arial" w:hAnsi="Arial"/>
          <w:sz w:val="22"/>
        </w:rPr>
        <w:t>：源链锁定合约或NAC控制器合约可能需要升级。必须采用**透明的时间锁治理**，所有升级需提前公告并由DAO投票。</w:t>
      </w:r>
    </w:p>
    <w:p>
      <w:pPr>
        <w:numPr>
          <w:numId w:val="45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流动性碎片化风险</w:t>
      </w:r>
      <w:r>
        <w:rPr>
          <w:rFonts w:eastAsia="等线" w:ascii="Arial" w:cs="Arial" w:hAnsi="Arial"/>
          <w:sz w:val="22"/>
        </w:rPr>
        <w:t>：同一资产（如USDC）可能从多条链跨入NAC，产生多个封装版本（nUSDC-Ethereum, nUSDC-Solana）。需通过**流动性聚合器和官方流动性引导**，推动形成统一流动性的主要版本。</w:t>
      </w:r>
    </w:p>
    <w:p>
      <w:pPr>
        <w:pStyle w:val="3"/>
        <w:spacing w:before="300" w:after="120" w:line="288" w:lineRule="auto"/>
        <w:ind w:left="0"/>
        <w:jc w:val="left"/>
        <w:outlineLvl w:val="2"/>
      </w:pPr>
      <w:bookmarkStart w:name="heading_16" w:id="16"/>
      <w:r>
        <w:rPr>
          <w:rFonts w:eastAsia="等线" w:ascii="Arial" w:cs="Arial" w:hAnsi="Arial"/>
          <w:b w:val="true"/>
          <w:sz w:val="30"/>
        </w:rPr>
        <w:t>第11条 合规要点</w:t>
      </w:r>
      <w:bookmarkEnd w:id="16"/>
    </w:p>
    <w:p>
      <w:pPr>
        <w:numPr>
          <w:numId w:val="46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源头责任追溯</w:t>
      </w:r>
      <w:r>
        <w:rPr>
          <w:rFonts w:eastAsia="等线" w:ascii="Arial" w:cs="Arial" w:hAnsi="Arial"/>
          <w:sz w:val="22"/>
        </w:rPr>
        <w:t>：跨链资产需在GNACS编码和元数据中明确其**源头链和原始合约地址**，满足AML/CFT的“旅行规则”要求。</w:t>
      </w:r>
    </w:p>
    <w:p>
      <w:pPr>
        <w:numPr>
          <w:numId w:val="47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封装资产的法律定性</w:t>
      </w:r>
      <w:r>
        <w:rPr>
          <w:rFonts w:eastAsia="等线" w:ascii="Arial" w:cs="Arial" w:hAnsi="Arial"/>
          <w:sz w:val="22"/>
        </w:rPr>
        <w:t>：明确NAC链上的封装资产是**对锁定资产赎回权的凭证**，而非证券，避免不必要的监管复杂度。</w:t>
      </w:r>
    </w:p>
    <w:p>
      <w:pPr>
        <w:numPr>
          <w:numId w:val="48"/>
        </w:num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跨司法辖区合规</w:t>
      </w:r>
      <w:r>
        <w:rPr>
          <w:rFonts w:eastAsia="等线" w:ascii="Arial" w:cs="Arial" w:hAnsi="Arial"/>
          <w:sz w:val="22"/>
        </w:rPr>
        <w:t>：当资产从A司法区链跨入NAC，再被B司法区用户持有时，需通过集成合规层（ACC-1400）对B区用户进行访问控制。</w:t>
      </w:r>
    </w:p>
    <w:p>
      <w:pPr>
        <w:pBdr>
          <w:bottom w:val="single" w:color="dee0e3"/>
          <w:between w:val="single" w:color="dee0e3"/>
        </w:pBdr>
        <w:spacing w:before="120" w:after="120" w:line="288" w:lineRule="auto"/>
        <w:ind w:left="0"/>
      </w:pPr>
    </w:p>
    <w:p>
      <w:pPr>
        <w:pStyle w:val="2"/>
        <w:spacing w:before="320" w:after="120" w:line="288" w:lineRule="auto"/>
        <w:ind w:left="0"/>
        <w:jc w:val="left"/>
        <w:outlineLvl w:val="1"/>
      </w:pPr>
      <w:bookmarkStart w:name="heading_17" w:id="17"/>
      <w:r>
        <w:rPr>
          <w:rFonts w:eastAsia="等线" w:ascii="Arial" w:cs="Arial" w:hAnsi="Arial"/>
          <w:b w:val="true"/>
          <w:sz w:val="32"/>
        </w:rPr>
        <w:t>结语</w:t>
      </w:r>
      <w:bookmarkEnd w:id="17"/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本指引旨在将NAC公链定位为下一代跨链价值互联网的 </w:t>
      </w:r>
      <w:r>
        <w:rPr>
          <w:rFonts w:eastAsia="等线" w:ascii="Arial" w:cs="Arial" w:hAnsi="Arial"/>
          <w:b w:val="true"/>
          <w:sz w:val="22"/>
        </w:rPr>
        <w:t>“安全枢纽”与“创新沙盒”</w:t>
      </w:r>
      <w:r>
        <w:rPr>
          <w:rFonts w:eastAsia="等线" w:ascii="Arial" w:cs="Arial" w:hAnsi="Arial"/>
          <w:sz w:val="22"/>
        </w:rPr>
        <w:t xml:space="preserve"> 。它通过将外部资产转化为具有NAC原生主权和可编程性的新资产，不仅解决了跨链转移问题，更创造了全新的复合金融应用场景。</w:t>
      </w:r>
      <w:r>
        <w:rPr>
          <w:rFonts w:eastAsia="等线" w:ascii="Arial" w:cs="Arial" w:hAnsi="Arial"/>
          <w:b w:val="true"/>
          <w:sz w:val="22"/>
        </w:rPr>
        <w:t>建议的首个概念验证（PoC）</w:t>
      </w:r>
      <w:r>
        <w:rPr>
          <w:rFonts w:eastAsia="等线" w:ascii="Arial" w:cs="Arial" w:hAnsi="Arial"/>
          <w:sz w:val="22"/>
        </w:rPr>
        <w:t xml:space="preserve"> 应选择 </w:t>
      </w:r>
      <w:r>
        <w:rPr>
          <w:rFonts w:eastAsia="等线" w:ascii="Arial" w:cs="Arial" w:hAnsi="Arial"/>
          <w:b w:val="true"/>
          <w:sz w:val="22"/>
        </w:rPr>
        <w:t>以太坊上的USDC</w:t>
      </w:r>
      <w:r>
        <w:rPr>
          <w:rFonts w:eastAsia="等线" w:ascii="Arial" w:cs="Arial" w:hAnsi="Arial"/>
          <w:sz w:val="22"/>
        </w:rPr>
        <w:t xml:space="preserve"> 作为标的，在NAC测试网上完整实现一个由 </w:t>
      </w:r>
      <w:r>
        <w:rPr>
          <w:rFonts w:eastAsia="等线" w:ascii="Arial" w:cs="Arial" w:hAnsi="Arial"/>
          <w:b w:val="true"/>
          <w:sz w:val="22"/>
        </w:rPr>
        <w:t>5-7个分散式验证节点</w:t>
      </w:r>
      <w:r>
        <w:rPr>
          <w:rFonts w:eastAsia="等线" w:ascii="Arial" w:cs="Arial" w:hAnsi="Arial"/>
          <w:sz w:val="22"/>
        </w:rPr>
        <w:t xml:space="preserve"> 守护的跨链铸造与赎回流程，并模拟一次 </w:t>
      </w:r>
      <w:r>
        <w:rPr>
          <w:rFonts w:eastAsia="等线" w:ascii="Arial" w:cs="Arial" w:hAnsi="Arial"/>
          <w:b w:val="true"/>
          <w:sz w:val="22"/>
        </w:rPr>
        <w:t>“验证者作恶罚没”</w:t>
      </w:r>
      <w:r>
        <w:rPr>
          <w:rFonts w:eastAsia="等线" w:ascii="Arial" w:cs="Arial" w:hAnsi="Arial"/>
          <w:sz w:val="22"/>
        </w:rPr>
        <w:t xml:space="preserve"> 事件，以验证其经济安全模型的有效性和威慑力。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指引制定方</w:t>
      </w:r>
      <w:r>
        <w:rPr>
          <w:rFonts w:eastAsia="等线" w:ascii="Arial" w:cs="Arial" w:hAnsi="Arial"/>
          <w:sz w:val="22"/>
        </w:rPr>
        <w:t>：NAC核心协议委员会 与 NAC跨链互操作工作组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版本</w:t>
      </w:r>
      <w:r>
        <w:rPr>
          <w:rFonts w:eastAsia="等线" w:ascii="Arial" w:cs="Arial" w:hAnsi="Arial"/>
          <w:sz w:val="22"/>
        </w:rPr>
        <w:t>：V1.0 (跨链资产原生公链版)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5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numbering.xml><?xml version="1.0" encoding="utf-8"?>
<w:numbering xmlns:w="http://schemas.openxmlformats.org/wordprocessingml/2006/main">
  <w:abstractNum w:abstractNumId="759635">
    <w:lvl>
      <w:start w:val="1"/>
      <w:numFmt w:val="decimal"/>
      <w:suff w:val="tab"/>
      <w:lvlText w:val="%1."/>
      <w:rPr>
        <w:color w:val="3370ff"/>
      </w:rPr>
    </w:lvl>
  </w:abstractNum>
  <w:abstractNum w:abstractNumId="759636">
    <w:lvl>
      <w:start w:val="2"/>
      <w:numFmt w:val="decimal"/>
      <w:suff w:val="tab"/>
      <w:lvlText w:val="%1."/>
      <w:rPr>
        <w:color w:val="3370ff"/>
      </w:rPr>
    </w:lvl>
  </w:abstractNum>
  <w:abstractNum w:abstractNumId="759637">
    <w:lvl>
      <w:start w:val="3"/>
      <w:numFmt w:val="decimal"/>
      <w:suff w:val="tab"/>
      <w:lvlText w:val="%1."/>
      <w:rPr>
        <w:color w:val="3370ff"/>
      </w:rPr>
    </w:lvl>
  </w:abstractNum>
  <w:abstractNum w:abstractNumId="759638">
    <w:lvl>
      <w:start w:val="4"/>
      <w:numFmt w:val="decimal"/>
      <w:suff w:val="tab"/>
      <w:lvlText w:val="%1."/>
      <w:rPr>
        <w:color w:val="3370ff"/>
      </w:rPr>
    </w:lvl>
  </w:abstractNum>
  <w:abstractNum w:abstractNumId="759639">
    <w:lvl>
      <w:start w:val="1"/>
      <w:numFmt w:val="decimal"/>
      <w:suff w:val="tab"/>
      <w:lvlText w:val="%1."/>
      <w:rPr>
        <w:color w:val="3370ff"/>
      </w:rPr>
    </w:lvl>
  </w:abstractNum>
  <w:abstractNum w:abstractNumId="759640">
    <w:lvl>
      <w:numFmt w:val="bullet"/>
      <w:suff w:val="tab"/>
      <w:lvlText w:val="￮"/>
      <w:rPr>
        <w:color w:val="3370ff"/>
      </w:rPr>
    </w:lvl>
  </w:abstractNum>
  <w:abstractNum w:abstractNumId="759641">
    <w:lvl>
      <w:numFmt w:val="bullet"/>
      <w:suff w:val="tab"/>
      <w:lvlText w:val="￮"/>
      <w:rPr>
        <w:color w:val="3370ff"/>
      </w:rPr>
    </w:lvl>
  </w:abstractNum>
  <w:abstractNum w:abstractNumId="759642">
    <w:lvl>
      <w:start w:val="2"/>
      <w:numFmt w:val="decimal"/>
      <w:suff w:val="tab"/>
      <w:lvlText w:val="%1."/>
      <w:rPr>
        <w:color w:val="3370ff"/>
      </w:rPr>
    </w:lvl>
  </w:abstractNum>
  <w:abstractNum w:abstractNumId="759643">
    <w:lvl>
      <w:numFmt w:val="bullet"/>
      <w:suff w:val="tab"/>
      <w:lvlText w:val="￮"/>
      <w:rPr>
        <w:color w:val="3370ff"/>
      </w:rPr>
    </w:lvl>
  </w:abstractNum>
  <w:abstractNum w:abstractNumId="759644">
    <w:lvl>
      <w:numFmt w:val="bullet"/>
      <w:suff w:val="tab"/>
      <w:lvlText w:val="￮"/>
      <w:rPr>
        <w:color w:val="3370ff"/>
      </w:rPr>
    </w:lvl>
  </w:abstractNum>
  <w:abstractNum w:abstractNumId="759645">
    <w:lvl>
      <w:start w:val="3"/>
      <w:numFmt w:val="decimal"/>
      <w:suff w:val="tab"/>
      <w:lvlText w:val="%1."/>
      <w:rPr>
        <w:color w:val="3370ff"/>
      </w:rPr>
    </w:lvl>
  </w:abstractNum>
  <w:abstractNum w:abstractNumId="759646">
    <w:lvl>
      <w:numFmt w:val="bullet"/>
      <w:suff w:val="tab"/>
      <w:lvlText w:val="￮"/>
      <w:rPr>
        <w:color w:val="3370ff"/>
      </w:rPr>
    </w:lvl>
  </w:abstractNum>
  <w:abstractNum w:abstractNumId="759647">
    <w:lvl>
      <w:numFmt w:val="bullet"/>
      <w:suff w:val="tab"/>
      <w:lvlText w:val="￮"/>
      <w:rPr>
        <w:color w:val="3370ff"/>
      </w:rPr>
    </w:lvl>
  </w:abstractNum>
  <w:abstractNum w:abstractNumId="759648">
    <w:lvl>
      <w:start w:val="4"/>
      <w:numFmt w:val="decimal"/>
      <w:suff w:val="tab"/>
      <w:lvlText w:val="%1."/>
      <w:rPr>
        <w:color w:val="3370ff"/>
      </w:rPr>
    </w:lvl>
  </w:abstractNum>
  <w:abstractNum w:abstractNumId="759649">
    <w:lvl>
      <w:numFmt w:val="bullet"/>
      <w:suff w:val="tab"/>
      <w:lvlText w:val="￮"/>
      <w:rPr>
        <w:color w:val="3370ff"/>
      </w:rPr>
    </w:lvl>
  </w:abstractNum>
  <w:abstractNum w:abstractNumId="759650">
    <w:lvl>
      <w:numFmt w:val="bullet"/>
      <w:suff w:val="tab"/>
      <w:lvlText w:val="•"/>
      <w:rPr>
        <w:color w:val="3370ff"/>
      </w:rPr>
    </w:lvl>
  </w:abstractNum>
  <w:abstractNum w:abstractNumId="759651">
    <w:lvl>
      <w:numFmt w:val="bullet"/>
      <w:suff w:val="tab"/>
      <w:lvlText w:val="•"/>
      <w:rPr>
        <w:color w:val="3370ff"/>
      </w:rPr>
    </w:lvl>
  </w:abstractNum>
  <w:abstractNum w:abstractNumId="759652">
    <w:lvl>
      <w:numFmt w:val="bullet"/>
      <w:suff w:val="tab"/>
      <w:lvlText w:val="￮"/>
      <w:rPr>
        <w:color w:val="3370ff"/>
      </w:rPr>
    </w:lvl>
  </w:abstractNum>
  <w:abstractNum w:abstractNumId="759653">
    <w:lvl>
      <w:numFmt w:val="bullet"/>
      <w:suff w:val="tab"/>
      <w:lvlText w:val="￮"/>
      <w:rPr>
        <w:color w:val="3370ff"/>
      </w:rPr>
    </w:lvl>
  </w:abstractNum>
  <w:abstractNum w:abstractNumId="759654">
    <w:lvl>
      <w:numFmt w:val="bullet"/>
      <w:suff w:val="tab"/>
      <w:lvlText w:val="•"/>
      <w:rPr>
        <w:color w:val="3370ff"/>
      </w:rPr>
    </w:lvl>
  </w:abstractNum>
  <w:abstractNum w:abstractNumId="759655">
    <w:lvl>
      <w:start w:val="1"/>
      <w:numFmt w:val="decimal"/>
      <w:suff w:val="tab"/>
      <w:lvlText w:val="%1."/>
      <w:rPr>
        <w:color w:val="3370ff"/>
      </w:rPr>
    </w:lvl>
  </w:abstractNum>
  <w:abstractNum w:abstractNumId="759656">
    <w:lvl>
      <w:start w:val="2"/>
      <w:numFmt w:val="decimal"/>
      <w:suff w:val="tab"/>
      <w:lvlText w:val="%1."/>
      <w:rPr>
        <w:color w:val="3370ff"/>
      </w:rPr>
    </w:lvl>
  </w:abstractNum>
  <w:abstractNum w:abstractNumId="759657">
    <w:lvl>
      <w:numFmt w:val="bullet"/>
      <w:suff w:val="tab"/>
      <w:lvlText w:val="￮"/>
      <w:rPr>
        <w:color w:val="3370ff"/>
      </w:rPr>
    </w:lvl>
  </w:abstractNum>
  <w:abstractNum w:abstractNumId="759658">
    <w:lvl>
      <w:numFmt w:val="bullet"/>
      <w:suff w:val="tab"/>
      <w:lvlText w:val="￮"/>
      <w:rPr>
        <w:color w:val="3370ff"/>
      </w:rPr>
    </w:lvl>
  </w:abstractNum>
  <w:abstractNum w:abstractNumId="759659">
    <w:lvl>
      <w:numFmt w:val="bullet"/>
      <w:suff w:val="tab"/>
      <w:lvlText w:val="￮"/>
      <w:rPr>
        <w:color w:val="3370ff"/>
      </w:rPr>
    </w:lvl>
  </w:abstractNum>
  <w:abstractNum w:abstractNumId="759660">
    <w:lvl>
      <w:start w:val="3"/>
      <w:numFmt w:val="decimal"/>
      <w:suff w:val="tab"/>
      <w:lvlText w:val="%1."/>
      <w:rPr>
        <w:color w:val="3370ff"/>
      </w:rPr>
    </w:lvl>
  </w:abstractNum>
  <w:abstractNum w:abstractNumId="759661">
    <w:lvl>
      <w:start w:val="1"/>
      <w:numFmt w:val="decimal"/>
      <w:suff w:val="tab"/>
      <w:lvlText w:val="%1."/>
      <w:rPr>
        <w:color w:val="3370ff"/>
      </w:rPr>
    </w:lvl>
  </w:abstractNum>
  <w:abstractNum w:abstractNumId="759662">
    <w:lvl>
      <w:start w:val="2"/>
      <w:numFmt w:val="decimal"/>
      <w:suff w:val="tab"/>
      <w:lvlText w:val="%1."/>
      <w:rPr>
        <w:color w:val="3370ff"/>
      </w:rPr>
    </w:lvl>
  </w:abstractNum>
  <w:abstractNum w:abstractNumId="759663">
    <w:lvl>
      <w:numFmt w:val="bullet"/>
      <w:suff w:val="tab"/>
      <w:lvlText w:val="￮"/>
      <w:rPr>
        <w:color w:val="3370ff"/>
      </w:rPr>
    </w:lvl>
  </w:abstractNum>
  <w:abstractNum w:abstractNumId="759664">
    <w:lvl>
      <w:numFmt w:val="bullet"/>
      <w:suff w:val="tab"/>
      <w:lvlText w:val="￮"/>
      <w:rPr>
        <w:color w:val="3370ff"/>
      </w:rPr>
    </w:lvl>
  </w:abstractNum>
  <w:abstractNum w:abstractNumId="759665">
    <w:lvl>
      <w:numFmt w:val="bullet"/>
      <w:suff w:val="tab"/>
      <w:lvlText w:val="￮"/>
      <w:rPr>
        <w:color w:val="3370ff"/>
      </w:rPr>
    </w:lvl>
  </w:abstractNum>
  <w:abstractNum w:abstractNumId="759666">
    <w:lvl>
      <w:start w:val="3"/>
      <w:numFmt w:val="decimal"/>
      <w:suff w:val="tab"/>
      <w:lvlText w:val="%1."/>
      <w:rPr>
        <w:color w:val="3370ff"/>
      </w:rPr>
    </w:lvl>
  </w:abstractNum>
  <w:abstractNum w:abstractNumId="759667">
    <w:lvl>
      <w:start w:val="1"/>
      <w:numFmt w:val="decimal"/>
      <w:suff w:val="tab"/>
      <w:lvlText w:val="%1."/>
      <w:rPr>
        <w:color w:val="3370ff"/>
      </w:rPr>
    </w:lvl>
  </w:abstractNum>
  <w:abstractNum w:abstractNumId="759668">
    <w:lvl>
      <w:start w:val="2"/>
      <w:numFmt w:val="decimal"/>
      <w:suff w:val="tab"/>
      <w:lvlText w:val="%1."/>
      <w:rPr>
        <w:color w:val="3370ff"/>
      </w:rPr>
    </w:lvl>
  </w:abstractNum>
  <w:abstractNum w:abstractNumId="759669">
    <w:lvl>
      <w:numFmt w:val="bullet"/>
      <w:suff w:val="tab"/>
      <w:lvlText w:val="￮"/>
      <w:rPr>
        <w:color w:val="3370ff"/>
      </w:rPr>
    </w:lvl>
  </w:abstractNum>
  <w:abstractNum w:abstractNumId="759670">
    <w:lvl>
      <w:numFmt w:val="bullet"/>
      <w:suff w:val="tab"/>
      <w:lvlText w:val="￮"/>
      <w:rPr>
        <w:color w:val="3370ff"/>
      </w:rPr>
    </w:lvl>
  </w:abstractNum>
  <w:abstractNum w:abstractNumId="759671">
    <w:lvl>
      <w:numFmt w:val="bullet"/>
      <w:suff w:val="tab"/>
      <w:lvlText w:val="￮"/>
      <w:rPr>
        <w:color w:val="3370ff"/>
      </w:rPr>
    </w:lvl>
  </w:abstractNum>
  <w:abstractNum w:abstractNumId="759672">
    <w:lvl>
      <w:start w:val="3"/>
      <w:numFmt w:val="decimal"/>
      <w:suff w:val="tab"/>
      <w:lvlText w:val="%1."/>
      <w:rPr>
        <w:color w:val="3370ff"/>
      </w:rPr>
    </w:lvl>
  </w:abstractNum>
  <w:abstractNum w:abstractNumId="759673">
    <w:lvl>
      <w:start w:val="1"/>
      <w:numFmt w:val="decimal"/>
      <w:suff w:val="tab"/>
      <w:lvlText w:val="%1."/>
      <w:rPr>
        <w:color w:val="3370ff"/>
      </w:rPr>
    </w:lvl>
  </w:abstractNum>
  <w:abstractNum w:abstractNumId="759674">
    <w:lvl>
      <w:start w:val="2"/>
      <w:numFmt w:val="decimal"/>
      <w:suff w:val="tab"/>
      <w:lvlText w:val="%1."/>
      <w:rPr>
        <w:color w:val="3370ff"/>
      </w:rPr>
    </w:lvl>
  </w:abstractNum>
  <w:abstractNum w:abstractNumId="759675">
    <w:lvl>
      <w:start w:val="3"/>
      <w:numFmt w:val="decimal"/>
      <w:suff w:val="tab"/>
      <w:lvlText w:val="%1."/>
      <w:rPr>
        <w:color w:val="3370ff"/>
      </w:rPr>
    </w:lvl>
  </w:abstractNum>
  <w:abstractNum w:abstractNumId="759676">
    <w:lvl>
      <w:start w:val="1"/>
      <w:numFmt w:val="decimal"/>
      <w:suff w:val="tab"/>
      <w:lvlText w:val="%1."/>
      <w:rPr>
        <w:color w:val="3370ff"/>
      </w:rPr>
    </w:lvl>
  </w:abstractNum>
  <w:abstractNum w:abstractNumId="759677">
    <w:lvl>
      <w:start w:val="2"/>
      <w:numFmt w:val="decimal"/>
      <w:suff w:val="tab"/>
      <w:lvlText w:val="%1."/>
      <w:rPr>
        <w:color w:val="3370ff"/>
      </w:rPr>
    </w:lvl>
  </w:abstractNum>
  <w:abstractNum w:abstractNumId="759678">
    <w:lvl>
      <w:start w:val="3"/>
      <w:numFmt w:val="decimal"/>
      <w:suff w:val="tab"/>
      <w:lvlText w:val="%1."/>
      <w:rPr>
        <w:color w:val="3370ff"/>
      </w:rPr>
    </w:lvl>
  </w:abstractNum>
  <w:abstractNum w:abstractNumId="759679">
    <w:lvl>
      <w:start w:val="4"/>
      <w:numFmt w:val="decimal"/>
      <w:suff w:val="tab"/>
      <w:lvlText w:val="%1."/>
      <w:rPr>
        <w:color w:val="3370ff"/>
      </w:rPr>
    </w:lvl>
  </w:abstractNum>
  <w:abstractNum w:abstractNumId="759680">
    <w:lvl>
      <w:numFmt w:val="bullet"/>
      <w:suff w:val="tab"/>
      <w:lvlText w:val="•"/>
      <w:rPr>
        <w:color w:val="3370ff"/>
      </w:rPr>
    </w:lvl>
  </w:abstractNum>
  <w:abstractNum w:abstractNumId="759681">
    <w:lvl>
      <w:numFmt w:val="bullet"/>
      <w:suff w:val="tab"/>
      <w:lvlText w:val="•"/>
      <w:rPr>
        <w:color w:val="3370ff"/>
      </w:rPr>
    </w:lvl>
  </w:abstractNum>
  <w:abstractNum w:abstractNumId="759682">
    <w:lvl>
      <w:numFmt w:val="bullet"/>
      <w:suff w:val="tab"/>
      <w:lvlText w:val="•"/>
      <w:rPr>
        <w:color w:val="3370ff"/>
      </w:rPr>
    </w:lvl>
  </w:abstractNum>
  <w:num w:numId="1">
    <w:abstractNumId w:val="759635"/>
  </w:num>
  <w:num w:numId="2">
    <w:abstractNumId w:val="759636"/>
  </w:num>
  <w:num w:numId="3">
    <w:abstractNumId w:val="759637"/>
  </w:num>
  <w:num w:numId="4">
    <w:abstractNumId w:val="759638"/>
  </w:num>
  <w:num w:numId="5">
    <w:abstractNumId w:val="759639"/>
  </w:num>
  <w:num w:numId="6">
    <w:abstractNumId w:val="759640"/>
  </w:num>
  <w:num w:numId="7">
    <w:abstractNumId w:val="759641"/>
  </w:num>
  <w:num w:numId="8">
    <w:abstractNumId w:val="759642"/>
  </w:num>
  <w:num w:numId="9">
    <w:abstractNumId w:val="759643"/>
  </w:num>
  <w:num w:numId="10">
    <w:abstractNumId w:val="759644"/>
  </w:num>
  <w:num w:numId="11">
    <w:abstractNumId w:val="759645"/>
  </w:num>
  <w:num w:numId="12">
    <w:abstractNumId w:val="759646"/>
  </w:num>
  <w:num w:numId="13">
    <w:abstractNumId w:val="759647"/>
  </w:num>
  <w:num w:numId="14">
    <w:abstractNumId w:val="759648"/>
  </w:num>
  <w:num w:numId="15">
    <w:abstractNumId w:val="759649"/>
  </w:num>
  <w:num w:numId="16">
    <w:abstractNumId w:val="759650"/>
  </w:num>
  <w:num w:numId="17">
    <w:abstractNumId w:val="759651"/>
  </w:num>
  <w:num w:numId="18">
    <w:abstractNumId w:val="759652"/>
  </w:num>
  <w:num w:numId="19">
    <w:abstractNumId w:val="759653"/>
  </w:num>
  <w:num w:numId="20">
    <w:abstractNumId w:val="759654"/>
  </w:num>
  <w:num w:numId="21">
    <w:abstractNumId w:val="759655"/>
  </w:num>
  <w:num w:numId="22">
    <w:abstractNumId w:val="759656"/>
  </w:num>
  <w:num w:numId="23">
    <w:abstractNumId w:val="759657"/>
  </w:num>
  <w:num w:numId="24">
    <w:abstractNumId w:val="759658"/>
  </w:num>
  <w:num w:numId="25">
    <w:abstractNumId w:val="759659"/>
  </w:num>
  <w:num w:numId="26">
    <w:abstractNumId w:val="759660"/>
  </w:num>
  <w:num w:numId="27">
    <w:abstractNumId w:val="759661"/>
  </w:num>
  <w:num w:numId="28">
    <w:abstractNumId w:val="759662"/>
  </w:num>
  <w:num w:numId="29">
    <w:abstractNumId w:val="759663"/>
  </w:num>
  <w:num w:numId="30">
    <w:abstractNumId w:val="759664"/>
  </w:num>
  <w:num w:numId="31">
    <w:abstractNumId w:val="759665"/>
  </w:num>
  <w:num w:numId="32">
    <w:abstractNumId w:val="759666"/>
  </w:num>
  <w:num w:numId="33">
    <w:abstractNumId w:val="759667"/>
  </w:num>
  <w:num w:numId="34">
    <w:abstractNumId w:val="759668"/>
  </w:num>
  <w:num w:numId="35">
    <w:abstractNumId w:val="759669"/>
  </w:num>
  <w:num w:numId="36">
    <w:abstractNumId w:val="759670"/>
  </w:num>
  <w:num w:numId="37">
    <w:abstractNumId w:val="759671"/>
  </w:num>
  <w:num w:numId="38">
    <w:abstractNumId w:val="759672"/>
  </w:num>
  <w:num w:numId="39">
    <w:abstractNumId w:val="759673"/>
  </w:num>
  <w:num w:numId="40">
    <w:abstractNumId w:val="759674"/>
  </w:num>
  <w:num w:numId="41">
    <w:abstractNumId w:val="759675"/>
  </w:num>
  <w:num w:numId="42">
    <w:abstractNumId w:val="759676"/>
  </w:num>
  <w:num w:numId="43">
    <w:abstractNumId w:val="759677"/>
  </w:num>
  <w:num w:numId="44">
    <w:abstractNumId w:val="759678"/>
  </w:num>
  <w:num w:numId="45">
    <w:abstractNumId w:val="759679"/>
  </w:num>
  <w:num w:numId="46">
    <w:abstractNumId w:val="759680"/>
  </w:num>
  <w:num w:numId="47">
    <w:abstractNumId w:val="759681"/>
  </w:num>
  <w:num w:numId="48">
    <w:abstractNumId w:val="759682"/>
  </w:num>
</w:numbering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numbering.xml" Type="http://schemas.openxmlformats.org/officeDocument/2006/relationships/numbering"/><Relationship Id="rId5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2026-02-02T15:13:34Z</dcterms:created>
  <dc:creator>Apache POI</dc:creator>
</cp:coreProperties>
</file>