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NAC公链一键上链前端页面实现方案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</w:t>
      </w:r>
      <w:r>
        <w:rPr>
          <w:rFonts w:eastAsia="等线" w:ascii="Arial" w:cs="Arial" w:hAnsi="Arial"/>
          <w:sz w:val="22"/>
        </w:rPr>
        <w:t>：1.0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制定方</w:t>
      </w:r>
      <w:r>
        <w:rPr>
          <w:rFonts w:eastAsia="等线" w:ascii="Arial" w:cs="Arial" w:hAnsi="Arial"/>
          <w:sz w:val="22"/>
        </w:rPr>
        <w:t>：NAC资产上链工作组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日期</w:t>
      </w:r>
      <w:r>
        <w:rPr>
          <w:rFonts w:eastAsia="等线" w:ascii="Arial" w:cs="Arial" w:hAnsi="Arial"/>
          <w:sz w:val="22"/>
        </w:rPr>
        <w:t>：2026年2月14日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关联文档</w:t>
      </w:r>
      <w:r>
        <w:rPr>
          <w:rFonts w:eastAsia="等线" w:ascii="Arial" w:cs="Arial" w:hAnsi="Arial"/>
          <w:sz w:val="22"/>
        </w:rPr>
        <w:t>：一键上链核心技术白皮书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0. 执行摘要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本方案设计NAC公链“一键上链”功能的Web前端界面，旨在为资产发行方提供</w:t>
      </w:r>
      <w:r>
        <w:rPr>
          <w:rFonts w:eastAsia="等线" w:ascii="Arial" w:cs="Arial" w:hAnsi="Arial"/>
          <w:b w:val="true"/>
          <w:sz w:val="22"/>
        </w:rPr>
        <w:t>极简、直观、可追踪</w:t>
      </w:r>
      <w:r>
        <w:rPr>
          <w:rFonts w:eastAsia="等线" w:ascii="Arial" w:cs="Arial" w:hAnsi="Arial"/>
          <w:sz w:val="22"/>
        </w:rPr>
        <w:t>的资产上链体验。用户无需理解底层区块链技术，只需通过几步向导式操作，即可完成从资产信息提交到代币上线交易所的全过程。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前端将作为</w:t>
      </w:r>
      <w:r>
        <w:rPr>
          <w:rFonts w:eastAsia="Consolas" w:ascii="Consolas" w:cs="Consolas" w:hAnsi="Consolas"/>
          <w:sz w:val="22"/>
          <w:shd w:fill="EFF0F1"/>
        </w:rPr>
        <w:t>nac-toolbox</w:t>
      </w:r>
      <w:r>
        <w:rPr>
          <w:rFonts w:eastAsia="等线" w:ascii="Arial" w:cs="Arial" w:hAnsi="Arial"/>
          <w:sz w:val="22"/>
        </w:rPr>
        <w:t>的Web封装，与后端编排引擎、钱包、区块链浏览器深度集成，并提供实时进度反馈、合规提醒和错误引导。所有交互均受宪法规则约束，确保用户行为符合NAC法律框架。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" w:id="1"/>
      <w:r>
        <w:rPr>
          <w:rFonts w:eastAsia="等线" w:ascii="Arial" w:cs="Arial" w:hAnsi="Arial"/>
          <w:b w:val="true"/>
          <w:sz w:val="36"/>
        </w:rPr>
        <w:t>一、技术选型</w:t>
      </w:r>
      <w:bookmarkEnd w:id="1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组件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技术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理由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框架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React 18 + TypeScript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生态成熟，组件化开发，类型安全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UI组件库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Ant Design / Chakra UI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丰富的预制组件，适合后台管理系统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钱包连接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Web3-Onboard / RainbowKit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支持多种钱包（MetaMask, WalletConnect等）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状态管理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Redux Toolkit / Zustand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管理多步骤表单状态和全局数据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API调用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React Query + Axios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处理异步请求、缓存、重试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文件上传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IPFS上传客户端（web3.storage）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直接将法律文件上传至IPFS，获取哈希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实时进度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Server-Sent Events / WebSocket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推送后端编排引擎的进度更新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宪法提示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自定义组件</w:t>
            </w:r>
            <w:r>
              <w:rPr>
                <w:rFonts w:eastAsia="等线" w:ascii="Arial" w:cs="Arial" w:hAnsi="Arial"/>
                <w:sz w:val="22"/>
              </w:rPr>
              <w:t>，从宪法状态文件读取规则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动态显示当前资产类型</w:t>
            </w:r>
            <w:r>
              <w:rPr>
                <w:rFonts w:eastAsia="等线" w:ascii="Arial" w:cs="Arial" w:hAnsi="Arial"/>
                <w:sz w:val="22"/>
              </w:rPr>
              <w:t>的合规要求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" w:id="2"/>
      <w:r>
        <w:rPr>
          <w:rFonts w:eastAsia="等线" w:ascii="Arial" w:cs="Arial" w:hAnsi="Arial"/>
          <w:b w:val="true"/>
          <w:sz w:val="36"/>
        </w:rPr>
        <w:t>二、页面整体布局</w:t>
      </w:r>
      <w:bookmarkEnd w:id="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页面采用</w:t>
      </w:r>
      <w:r>
        <w:rPr>
          <w:rFonts w:eastAsia="等线" w:ascii="Arial" w:cs="Arial" w:hAnsi="Arial"/>
          <w:b w:val="true"/>
          <w:sz w:val="22"/>
        </w:rPr>
        <w:t>三栏式布局</w:t>
      </w:r>
      <w:r>
        <w:rPr>
          <w:rFonts w:eastAsia="等线" w:ascii="Arial" w:cs="Arial" w:hAnsi="Arial"/>
          <w:sz w:val="22"/>
        </w:rPr>
        <w:t>，清晰区分步骤、表单和状态：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┌─────────────────────────────────────────────────────────────┐</w:t>
              <w:br/>
              <w:t>│   Logo                       连接钱包按钮   用户地址       │</w:t>
              <w:br/>
              <w:t>├─────────────────────────────────────────────────────────────┤</w:t>
              <w:br/>
              <w:t>│  ┌─────────────┐  ┌─────────────────────────────────────┐ │</w:t>
              <w:br/>
              <w:t>│  │ 步骤导航    │  │ 主表单区域                           │ │</w:t>
              <w:br/>
              <w:t>│  │ 1. 基本信息 │  │ (根据当前步骤动态显示表单)          │ │</w:t>
              <w:br/>
              <w:t>│  │ 2. 法律文件 │  │                                      │ │</w:t>
              <w:br/>
              <w:t>│  │ 3. 资产属性 │  │ 包含：输入框、文件上传、预览等      │ │</w:t>
              <w:br/>
              <w:t>│  │ 4. 合规确认 │  │                                      │ │</w:t>
              <w:br/>
              <w:t>│  │ 5. 提交上链 │  │                                      │ │</w:t>
              <w:br/>
              <w:t>│  │ 6. 进度追踪 │  └─────────────────────────────────────┘ │</w:t>
              <w:br/>
              <w:t>│  └─────────────┘  ┌─────────────────────────────────────┐ │</w:t>
              <w:br/>
              <w:t>│                   │ 右侧信息栏                           │ │</w:t>
              <w:br/>
              <w:t>│                   │ • 宪法规则摘要（当前步骤相关）      │ │</w:t>
              <w:br/>
              <w:t>│                   │ • 资产预览（代币符号、GNACS预览）   │ │</w:t>
              <w:br/>
              <w:t>│                   │ • 成本估算（XIC费用）               │ │</w:t>
              <w:br/>
              <w:t>│                   └─────────────────────────────────────┘ │</w:t>
              <w:br/>
              <w:t>└────────────────────────────────────────────────</w:t>
            </w:r>
            <w:r>
              <w:rPr>
                <w:rFonts w:eastAsia="Consolas" w:ascii="Consolas" w:cs="Consolas" w:hAnsi="Consolas"/>
                <w:sz w:val="22"/>
              </w:rPr>
              <w:t>─────────────┘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" w:id="3"/>
      <w:r>
        <w:rPr>
          <w:rFonts w:eastAsia="等线" w:ascii="Arial" w:cs="Arial" w:hAnsi="Arial"/>
          <w:b w:val="true"/>
          <w:sz w:val="36"/>
        </w:rPr>
        <w:t>三、核心流程与界面设计</w:t>
      </w:r>
      <w:bookmarkEnd w:id="3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" w:id="4"/>
      <w:r>
        <w:rPr>
          <w:rFonts w:eastAsia="等线" w:ascii="Arial" w:cs="Arial" w:hAnsi="Arial"/>
          <w:b w:val="true"/>
          <w:sz w:val="32"/>
        </w:rPr>
        <w:t>3.1 连接钱包</w:t>
      </w:r>
      <w:bookmarkEnd w:id="4"/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用户进入页面首先需要连接钱包（支持MetaMask、WalletConnect、NAC原生钱包）。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连接成功后显示用户DID、KYC等级（从地址解析）。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若KYC等级不满足资产发行要求（宪法规定≥2），提示用户升级KYC。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5" w:id="5"/>
      <w:r>
        <w:rPr>
          <w:rFonts w:eastAsia="等线" w:ascii="Arial" w:cs="Arial" w:hAnsi="Arial"/>
          <w:b w:val="true"/>
          <w:sz w:val="32"/>
        </w:rPr>
        <w:t>3.2 步骤一：基本信息</w:t>
      </w:r>
      <w:bookmarkEnd w:id="5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字段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类型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说明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资产名称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文本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人类可读名称（如“上海陆家</w:t>
            </w:r>
            <w:r>
              <w:rPr>
                <w:rFonts w:eastAsia="等线" w:ascii="Arial" w:cs="Arial" w:hAnsi="Arial"/>
                <w:sz w:val="22"/>
              </w:rPr>
              <w:t>嘴写字楼收益权”）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资产类型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下拉框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从宪法定义的资产类型列表中选择（如“</w:t>
            </w:r>
            <w:r>
              <w:rPr>
                <w:rFonts w:eastAsia="等线" w:ascii="Arial" w:cs="Arial" w:hAnsi="Arial"/>
                <w:sz w:val="22"/>
              </w:rPr>
              <w:t>商业地产”、“碳信用”等）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发行量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数字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拟发行的代币总量（单位：份）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发行方DID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只读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自动从钱包地址解析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管辖权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下拉框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资产</w:t>
            </w:r>
            <w:r>
              <w:rPr>
                <w:rFonts w:eastAsia="等线" w:ascii="Arial" w:cs="Arial" w:hAnsi="Arial"/>
                <w:sz w:val="22"/>
              </w:rPr>
              <w:t>所在司法辖区（如“中国”、“新加坡”）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右侧信息栏显示宪法对所选资产类型的最低合规要求（如KYC等级、是否需要法律意见书）。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6" w:id="6"/>
      <w:r>
        <w:rPr>
          <w:rFonts w:eastAsia="等线" w:ascii="Arial" w:cs="Arial" w:hAnsi="Arial"/>
          <w:b w:val="true"/>
          <w:sz w:val="32"/>
        </w:rPr>
        <w:t>3.3 步骤二：法律文件</w:t>
      </w:r>
      <w:bookmarkEnd w:id="6"/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支持上传法律意见书、所有权证明、托管协议等文件（PDF/DOC）。</w:t>
      </w:r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上传后自动推送到IPFS，生成文件哈希并显示。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支持多文件上传，每个文件可备注类型（如“产权证”、“法律意见书”）。</w:t>
      </w:r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右侧信息栏提示宪法要求的文件类型及格式。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7" w:id="7"/>
      <w:r>
        <w:rPr>
          <w:rFonts w:eastAsia="等线" w:ascii="Arial" w:cs="Arial" w:hAnsi="Arial"/>
          <w:b w:val="true"/>
          <w:sz w:val="32"/>
        </w:rPr>
        <w:t>3.4 步骤三：资产属性</w:t>
      </w:r>
      <w:bookmarkEnd w:id="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根据资产类型动态生成表单，例如：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商业地产</w:t>
      </w:r>
      <w:r>
        <w:rPr>
          <w:rFonts w:eastAsia="等线" w:ascii="Arial" w:cs="Arial" w:hAnsi="Arial"/>
          <w:sz w:val="22"/>
        </w:rPr>
        <w:t>：地址、建筑面积、估值（可选，若未填则使用AI估值）、租金收益率等。</w:t>
      </w:r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碳信用</w:t>
      </w:r>
      <w:r>
        <w:rPr>
          <w:rFonts w:eastAsia="等线" w:ascii="Arial" w:cs="Arial" w:hAnsi="Arial"/>
          <w:sz w:val="22"/>
        </w:rPr>
        <w:t>：项目ID、核证标准、年份、签发量等。</w:t>
      </w:r>
    </w:p>
    <w:p>
      <w:pPr>
        <w:numPr>
          <w:numId w:val="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部分字段可留空，由AI自动补充（如市场估值）。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右侧信息栏实时显示</w:t>
      </w:r>
      <w:r>
        <w:rPr>
          <w:rFonts w:eastAsia="等线" w:ascii="Arial" w:cs="Arial" w:hAnsi="Arial"/>
          <w:b w:val="true"/>
          <w:sz w:val="22"/>
        </w:rPr>
        <w:t>GNACS编码预览</w:t>
      </w:r>
      <w:r>
        <w:rPr>
          <w:rFonts w:eastAsia="等线" w:ascii="Arial" w:cs="Arial" w:hAnsi="Arial"/>
          <w:sz w:val="22"/>
        </w:rPr>
        <w:t>（基于已填信息生成48位编码），并展示资产DNA哈希（模拟）。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8" w:id="8"/>
      <w:r>
        <w:rPr>
          <w:rFonts w:eastAsia="等线" w:ascii="Arial" w:cs="Arial" w:hAnsi="Arial"/>
          <w:b w:val="true"/>
          <w:sz w:val="32"/>
        </w:rPr>
        <w:t>3.5 步骤四：合规确认</w:t>
      </w:r>
      <w:bookmarkEnd w:id="8"/>
    </w:p>
    <w:p>
      <w:pPr>
        <w:numPr>
          <w:numId w:val="1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展示宪法相关条款摘要（如</w:t>
      </w:r>
      <w:r>
        <w:rPr>
          <w:rFonts w:eastAsia="Consolas" w:ascii="Consolas" w:cs="Consolas" w:hAnsi="Consolas"/>
          <w:sz w:val="22"/>
          <w:shd w:fill="EFF0F1"/>
        </w:rPr>
        <w:t>ASSET_COMPLIANCE_MIN_STANDARD</w:t>
      </w:r>
      <w:r>
        <w:rPr>
          <w:rFonts w:eastAsia="等线" w:ascii="Arial" w:cs="Arial" w:hAnsi="Arial"/>
          <w:sz w:val="22"/>
        </w:rPr>
        <w:t>、</w:t>
      </w:r>
      <w:r>
        <w:rPr>
          <w:rFonts w:eastAsia="Consolas" w:ascii="Consolas" w:cs="Consolas" w:hAnsi="Consolas"/>
          <w:sz w:val="22"/>
          <w:shd w:fill="EFF0F1"/>
        </w:rPr>
        <w:t>XTZH_GOLD_COVERAGE</w:t>
      </w:r>
      <w:r>
        <w:rPr>
          <w:rFonts w:eastAsia="等线" w:ascii="Arial" w:cs="Arial" w:hAnsi="Arial"/>
          <w:sz w:val="22"/>
        </w:rPr>
        <w:t>等）。</w:t>
      </w:r>
    </w:p>
    <w:p>
      <w:pPr>
        <w:numPr>
          <w:numId w:val="1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列出用户已提供的材料与宪法要求的匹配情况（绿色打勾/红色叉号）。</w:t>
      </w:r>
    </w:p>
    <w:p>
      <w:pPr>
        <w:numPr>
          <w:numId w:val="1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用户需勾选“我已确认上述信息真实有效，并同意遵守NAC宪法”。</w:t>
      </w:r>
    </w:p>
    <w:p>
      <w:pPr>
        <w:numPr>
          <w:numId w:val="1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右侧信息栏显示预估</w:t>
      </w:r>
      <w:r>
        <w:rPr>
          <w:rFonts w:eastAsia="等线" w:ascii="Arial" w:cs="Arial" w:hAnsi="Arial"/>
          <w:b w:val="true"/>
          <w:sz w:val="22"/>
        </w:rPr>
        <w:t>上链成本</w:t>
      </w:r>
      <w:r>
        <w:rPr>
          <w:rFonts w:eastAsia="等线" w:ascii="Arial" w:cs="Arial" w:hAnsi="Arial"/>
          <w:sz w:val="22"/>
        </w:rPr>
        <w:t>（XIC，包括AI计算费、交易费、托管费等）。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9" w:id="9"/>
      <w:r>
        <w:rPr>
          <w:rFonts w:eastAsia="等线" w:ascii="Arial" w:cs="Arial" w:hAnsi="Arial"/>
          <w:b w:val="true"/>
          <w:sz w:val="32"/>
        </w:rPr>
        <w:t>3.6 步骤五：提交上链</w:t>
      </w:r>
      <w:bookmarkEnd w:id="9"/>
    </w:p>
    <w:p>
      <w:pPr>
        <w:numPr>
          <w:numId w:val="1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汇总所有信息，生成一个可读的</w:t>
      </w:r>
      <w:r>
        <w:rPr>
          <w:rFonts w:eastAsia="等线" w:ascii="Arial" w:cs="Arial" w:hAnsi="Arial"/>
          <w:b w:val="true"/>
          <w:sz w:val="22"/>
        </w:rPr>
        <w:t>摘要页面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1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用户点击“提交”后，前端构造交易数据，调用钱包签名并发送至后端编排引擎API。</w:t>
      </w:r>
    </w:p>
    <w:p>
      <w:pPr>
        <w:numPr>
          <w:numId w:val="1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提交后自动跳转到进度追踪页。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0" w:id="10"/>
      <w:r>
        <w:rPr>
          <w:rFonts w:eastAsia="等线" w:ascii="Arial" w:cs="Arial" w:hAnsi="Arial"/>
          <w:b w:val="true"/>
          <w:sz w:val="32"/>
        </w:rPr>
        <w:t>3.7 步骤六：进度追踪</w:t>
      </w:r>
      <w:bookmarkEnd w:id="10"/>
    </w:p>
    <w:p>
      <w:pPr>
        <w:numPr>
          <w:numId w:val="1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显示资产上链的完整流程图（类似进度条），每个阶段用不同颜色标记：</w:t>
        <w:br/>
        <w:t xml:space="preserve">        </w:t>
      </w:r>
    </w:p>
    <w:p>
      <w:pPr>
        <w:numPr>
          <w:numId w:val="19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合规审查</w:t>
      </w:r>
    </w:p>
    <w:p>
      <w:pPr>
        <w:numPr>
          <w:numId w:val="20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AI估值</w:t>
      </w:r>
    </w:p>
    <w:p>
      <w:pPr>
        <w:numPr>
          <w:numId w:val="21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DNA生成</w:t>
      </w:r>
    </w:p>
    <w:p>
      <w:pPr>
        <w:numPr>
          <w:numId w:val="22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托管对接</w:t>
      </w:r>
    </w:p>
    <w:p>
      <w:pPr>
        <w:numPr>
          <w:numId w:val="23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XTZH铸造</w:t>
      </w:r>
    </w:p>
    <w:p>
      <w:pPr>
        <w:numPr>
          <w:numId w:val="24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代币发行</w:t>
      </w:r>
    </w:p>
    <w:p>
      <w:pPr>
        <w:numPr>
          <w:numId w:val="25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交易所上线</w:t>
      </w:r>
    </w:p>
    <w:p>
      <w:pPr>
        <w:numPr>
          <w:numId w:val="2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每个阶段可点击查看详情（如CR收据哈希、CEE节点签名等）。</w:t>
      </w:r>
    </w:p>
    <w:p>
      <w:pPr>
        <w:numPr>
          <w:numId w:val="2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实时更新进度，失败时显示错误原因并提供重试或人工申诉入口。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1" w:id="11"/>
      <w:r>
        <w:rPr>
          <w:rFonts w:eastAsia="等线" w:ascii="Arial" w:cs="Arial" w:hAnsi="Arial"/>
          <w:b w:val="true"/>
          <w:sz w:val="36"/>
        </w:rPr>
        <w:t>四、关键技术实现</w:t>
      </w:r>
      <w:bookmarkEnd w:id="11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2" w:id="12"/>
      <w:r>
        <w:rPr>
          <w:rFonts w:eastAsia="等线" w:ascii="Arial" w:cs="Arial" w:hAnsi="Arial"/>
          <w:b w:val="true"/>
          <w:sz w:val="32"/>
        </w:rPr>
        <w:t>4.1 与后端编排引擎的通信</w:t>
      </w:r>
      <w:bookmarkEnd w:id="12"/>
    </w:p>
    <w:p>
      <w:pPr>
        <w:numPr>
          <w:numId w:val="2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启动上链</w:t>
      </w:r>
      <w:r>
        <w:rPr>
          <w:rFonts w:eastAsia="等线" w:ascii="Arial" w:cs="Arial" w:hAnsi="Arial"/>
          <w:sz w:val="22"/>
        </w:rPr>
        <w:t xml:space="preserve">：POST </w:t>
      </w:r>
      <w:r>
        <w:rPr>
          <w:rFonts w:eastAsia="Consolas" w:ascii="Consolas" w:cs="Consolas" w:hAnsi="Consolas"/>
          <w:sz w:val="22"/>
          <w:shd w:fill="EFF0F1"/>
        </w:rPr>
        <w:t>/api/asset/create</w:t>
      </w:r>
      <w:r>
        <w:rPr>
          <w:rFonts w:eastAsia="等线" w:ascii="Arial" w:cs="Arial" w:hAnsi="Arial"/>
          <w:sz w:val="22"/>
        </w:rPr>
        <w:t>，携带用户签名后的授权信息，返回</w:t>
      </w:r>
      <w:r>
        <w:rPr>
          <w:rFonts w:eastAsia="Consolas" w:ascii="Consolas" w:cs="Consolas" w:hAnsi="Consolas"/>
          <w:sz w:val="22"/>
          <w:shd w:fill="EFF0F1"/>
        </w:rPr>
        <w:t>assetId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2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轮询进度</w:t>
      </w:r>
      <w:r>
        <w:rPr>
          <w:rFonts w:eastAsia="等线" w:ascii="Arial" w:cs="Arial" w:hAnsi="Arial"/>
          <w:sz w:val="22"/>
        </w:rPr>
        <w:t xml:space="preserve">：GET </w:t>
      </w:r>
      <w:r>
        <w:rPr>
          <w:rFonts w:eastAsia="Consolas" w:ascii="Consolas" w:cs="Consolas" w:hAnsi="Consolas"/>
          <w:sz w:val="22"/>
          <w:shd w:fill="EFF0F1"/>
        </w:rPr>
        <w:t>/api/asset/{assetId}/status</w:t>
      </w:r>
      <w:r>
        <w:rPr>
          <w:rFonts w:eastAsia="等线" w:ascii="Arial" w:cs="Arial" w:hAnsi="Arial"/>
          <w:sz w:val="22"/>
        </w:rPr>
        <w:t>，返回当前状态及详情。</w:t>
      </w:r>
    </w:p>
    <w:p>
      <w:pPr>
        <w:numPr>
          <w:numId w:val="3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WebSocket</w:t>
      </w:r>
      <w:r>
        <w:rPr>
          <w:rFonts w:eastAsia="等线" w:ascii="Arial" w:cs="Arial" w:hAnsi="Arial"/>
          <w:sz w:val="22"/>
        </w:rPr>
        <w:t>（可选）：建立连接后实时推送状态更新。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3" w:id="13"/>
      <w:r>
        <w:rPr>
          <w:rFonts w:eastAsia="等线" w:ascii="Arial" w:cs="Arial" w:hAnsi="Arial"/>
          <w:b w:val="true"/>
          <w:sz w:val="32"/>
        </w:rPr>
        <w:t>4.2 宪法规则动态获取</w:t>
      </w:r>
      <w:bookmarkEnd w:id="1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前端在初始化时从后端获取当前宪法状态文件（或直接加载CDN上的JSON），解析出所有资产类型、合规规则、成本参数，用于动态表单和右侧信息栏。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4" w:id="14"/>
      <w:r>
        <w:rPr>
          <w:rFonts w:eastAsia="等线" w:ascii="Arial" w:cs="Arial" w:hAnsi="Arial"/>
          <w:b w:val="true"/>
          <w:sz w:val="32"/>
        </w:rPr>
        <w:t>4.3 钱包交互</w:t>
      </w:r>
      <w:bookmarkEnd w:id="14"/>
    </w:p>
    <w:p>
      <w:pPr>
        <w:numPr>
          <w:numId w:val="3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使用</w:t>
      </w:r>
      <w:r>
        <w:rPr>
          <w:rFonts w:eastAsia="Consolas" w:ascii="Consolas" w:cs="Consolas" w:hAnsi="Consolas"/>
          <w:sz w:val="22"/>
          <w:shd w:fill="EFF0F1"/>
        </w:rPr>
        <w:t>web3-onboard</w:t>
      </w:r>
      <w:r>
        <w:rPr>
          <w:rFonts w:eastAsia="等线" w:ascii="Arial" w:cs="Arial" w:hAnsi="Arial"/>
          <w:sz w:val="22"/>
        </w:rPr>
        <w:t>连接钱包，获取地址和签名能力。</w:t>
      </w:r>
    </w:p>
    <w:p>
      <w:pPr>
        <w:numPr>
          <w:numId w:val="3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提交上链时，需要用户对资产信息摘要进行签名（证明其发起操作），但实际交易由后端构造（因涉及多步操作），用户只需在最后确认时签名一次。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5" w:id="15"/>
      <w:r>
        <w:rPr>
          <w:rFonts w:eastAsia="等线" w:ascii="Arial" w:cs="Arial" w:hAnsi="Arial"/>
          <w:b w:val="true"/>
          <w:sz w:val="32"/>
        </w:rPr>
        <w:t>4.4 文件上传至IPFS</w:t>
      </w:r>
      <w:bookmarkEnd w:id="15"/>
    </w:p>
    <w:p>
      <w:pPr>
        <w:numPr>
          <w:numId w:val="3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使用</w:t>
      </w:r>
      <w:r>
        <w:rPr>
          <w:rFonts w:eastAsia="Consolas" w:ascii="Consolas" w:cs="Consolas" w:hAnsi="Consolas"/>
          <w:sz w:val="22"/>
          <w:shd w:fill="EFF0F1"/>
        </w:rPr>
        <w:t>web3.storage</w:t>
      </w:r>
      <w:r>
        <w:rPr>
          <w:rFonts w:eastAsia="等线" w:ascii="Arial" w:cs="Arial" w:hAnsi="Arial"/>
          <w:sz w:val="22"/>
        </w:rPr>
        <w:t>客户端直接上传，返回CID。</w:t>
      </w:r>
    </w:p>
    <w:p>
      <w:pPr>
        <w:numPr>
          <w:numId w:val="3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上传进度条显示。</w:t>
      </w:r>
    </w:p>
    <w:p>
      <w:pPr>
        <w:numPr>
          <w:numId w:val="3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文件哈希填入表单隐藏字段。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6" w:id="16"/>
      <w:r>
        <w:rPr>
          <w:rFonts w:eastAsia="等线" w:ascii="Arial" w:cs="Arial" w:hAnsi="Arial"/>
          <w:b w:val="true"/>
          <w:sz w:val="32"/>
        </w:rPr>
        <w:t>4.5 宪法沙箱集成</w:t>
      </w:r>
      <w:bookmarkEnd w:id="1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在步骤四提供“模拟运行”按钮，调用后端沙箱API，在测试环境中模拟上链流程，返回预估值和潜在问题，帮助用户提前修正。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7" w:id="17"/>
      <w:r>
        <w:rPr>
          <w:rFonts w:eastAsia="等线" w:ascii="Arial" w:cs="Arial" w:hAnsi="Arial"/>
          <w:b w:val="true"/>
          <w:sz w:val="36"/>
        </w:rPr>
        <w:t>五、错误处理与用户引导</w:t>
      </w:r>
      <w:bookmarkEnd w:id="17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8" w:id="18"/>
      <w:r>
        <w:rPr>
          <w:rFonts w:eastAsia="等线" w:ascii="Arial" w:cs="Arial" w:hAnsi="Arial"/>
          <w:b w:val="true"/>
          <w:sz w:val="32"/>
        </w:rPr>
        <w:t>5.1 表单验证</w:t>
      </w:r>
      <w:bookmarkEnd w:id="18"/>
    </w:p>
    <w:p>
      <w:pPr>
        <w:numPr>
          <w:numId w:val="3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实时验证：如资产名称不能为空、发行量必须为正整数、文件必须上传等。</w:t>
      </w:r>
    </w:p>
    <w:p>
      <w:pPr>
        <w:numPr>
          <w:numId w:val="3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宪法规则验证：如所选资产类型必须与管辖权兼容（例如某些资产仅限特定辖区发行）。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9" w:id="19"/>
      <w:r>
        <w:rPr>
          <w:rFonts w:eastAsia="等线" w:ascii="Arial" w:cs="Arial" w:hAnsi="Arial"/>
          <w:b w:val="true"/>
          <w:sz w:val="32"/>
        </w:rPr>
        <w:t>5.2 流程中断恢复</w:t>
      </w:r>
      <w:bookmarkEnd w:id="19"/>
    </w:p>
    <w:p>
      <w:pPr>
        <w:numPr>
          <w:numId w:val="3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用户关闭页面后重新打开，可通过连接钱包恢复未完成的资产草稿（后端存储草稿）。</w:t>
      </w:r>
    </w:p>
    <w:p>
      <w:pPr>
        <w:numPr>
          <w:numId w:val="3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提供“保存草稿”按钮。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0" w:id="20"/>
      <w:r>
        <w:rPr>
          <w:rFonts w:eastAsia="等线" w:ascii="Arial" w:cs="Arial" w:hAnsi="Arial"/>
          <w:b w:val="true"/>
          <w:sz w:val="32"/>
        </w:rPr>
        <w:t>5.3 失败处理</w:t>
      </w:r>
      <w:bookmarkEnd w:id="20"/>
    </w:p>
    <w:p>
      <w:pPr>
        <w:numPr>
          <w:numId w:val="4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若某一步骤失败（如托管机构拒绝），界面清晰展示失败原因，并提供：</w:t>
        <w:br/>
        <w:t xml:space="preserve">       </w:t>
      </w:r>
    </w:p>
    <w:p>
      <w:pPr>
        <w:numPr>
          <w:numId w:val="41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重试按钮</w:t>
      </w:r>
    </w:p>
    <w:p>
      <w:pPr>
        <w:numPr>
          <w:numId w:val="42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更换托管机构选项（若有备选）</w:t>
      </w:r>
    </w:p>
    <w:p>
      <w:pPr>
        <w:numPr>
          <w:numId w:val="43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人工申诉链接（跳转至宪法法院申诉界面）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1" w:id="21"/>
      <w:r>
        <w:rPr>
          <w:rFonts w:eastAsia="等线" w:ascii="Arial" w:cs="Arial" w:hAnsi="Arial"/>
          <w:b w:val="true"/>
          <w:sz w:val="36"/>
        </w:rPr>
        <w:t>六、示例页面截图描述（示意）</w:t>
      </w:r>
      <w:bookmarkEnd w:id="21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2" w:id="22"/>
      <w:r>
        <w:rPr>
          <w:rFonts w:eastAsia="等线" w:ascii="Arial" w:cs="Arial" w:hAnsi="Arial"/>
          <w:b w:val="true"/>
          <w:sz w:val="32"/>
        </w:rPr>
        <w:t>步骤一：基本信息</w:t>
      </w:r>
      <w:bookmarkEnd w:id="22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+-----------------------------------------------------------+</w:t>
              <w:br/>
              <w:t>| [步骤导航]                 | [主表单]                       |</w:t>
              <w:br/>
              <w:t>| • 基本信息 (当前)          | 资产名称: [输入框]             |</w:t>
              <w:br/>
              <w:t>| • 法律文件                 | 资产类型: [下拉: 商业地产]    |</w:t>
              <w:br/>
              <w:t>| • 资产属性                 | 发行量: [输入框] 份            |</w:t>
              <w:br/>
              <w:t>| • 合规确认                 | 发行方DID: 0x1234... (只读)   |</w:t>
              <w:br/>
              <w:t>| • 提交上链                 | 管辖权: [下拉: 中国]          |</w:t>
              <w:br/>
              <w:t>| • 进度追踪                 |                                |</w:t>
              <w:br/>
              <w:t>+---------------------------+--------------------------------+</w:t>
              <w:br/>
              <w:t>| [右侧信息栏]                                               |</w:t>
              <w:br/>
              <w:t>| 宪法规则摘要:                                              |</w:t>
              <w:br/>
              <w:t>| • KYC等级要求: ≥2 (当前3) ✔️                              |</w:t>
              <w:br/>
              <w:t>| • 需法律意见书: ✔️                                         |</w:t>
              <w:br/>
              <w:t>| • 需托管证明: ✔️                                           |</w:t>
              <w:br/>
              <w:t>| 预计GNACS: 940100 04 02 01 ... (预览)                     |</w:t>
              <w:br/>
              <w:t>| 预估成本: 1250 XIC                                         |</w:t>
              <w:br/>
              <w:t>+-----------------------------------------------------------+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3" w:id="23"/>
      <w:r>
        <w:rPr>
          <w:rFonts w:eastAsia="等线" w:ascii="Arial" w:cs="Arial" w:hAnsi="Arial"/>
          <w:b w:val="true"/>
          <w:sz w:val="32"/>
        </w:rPr>
        <w:t>步骤六：进度追踪</w:t>
      </w:r>
      <w:bookmarkEnd w:id="23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+-----------------------------------------------------------+</w:t>
              <w:br/>
              <w:t>| 资产ID: nac-asset-0x7f3a...                               |</w:t>
              <w:br/>
              <w:t>|                                                           |</w:t>
              <w:br/>
              <w:t>| 合规审查  ✔️  CR: 0xabcd...                               |</w:t>
              <w:br/>
              <w:t>|     ↓                                                     |</w:t>
              <w:br/>
              <w:t>| AI估值    ✔️  CR: 0xef12...  估值: 1,250,000 SDR         |</w:t>
              <w:br/>
              <w:t>|     ↓                                                     |</w:t>
              <w:br/>
              <w:t>| DNA生成   ✔️  GNACS: 940100...                            |</w:t>
              <w:br/>
              <w:t>|     ↓                                                     |</w:t>
              <w:br/>
              <w:t>| 托管对接  ⏳ 等待托管机构确认... (已等待2分钟)           |</w:t>
              <w:br/>
              <w:t>|     ↓                                                     |</w:t>
              <w:br/>
              <w:t>| XTZH铸造  ⏳ 等待中...                                     |</w:t>
              <w:br/>
              <w:t>|     ↓                                                     |</w:t>
              <w:br/>
              <w:t>| 代币发行  ⏳ 等待中...                                     |</w:t>
              <w:br/>
              <w:t>|     ↓                                                     |</w:t>
              <w:br/>
              <w:t>| 交易所上线 ⏳ 等待中...                                    |</w:t>
              <w:br/>
              <w:t>+-----------------------------------------------------------+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4" w:id="24"/>
      <w:r>
        <w:rPr>
          <w:rFonts w:eastAsia="等线" w:ascii="Arial" w:cs="Arial" w:hAnsi="Arial"/>
          <w:b w:val="true"/>
          <w:sz w:val="36"/>
        </w:rPr>
        <w:t>七、开发与部署建议</w:t>
      </w:r>
      <w:bookmarkEnd w:id="24"/>
    </w:p>
    <w:p>
      <w:pPr>
        <w:numPr>
          <w:numId w:val="4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开发环境</w:t>
      </w:r>
      <w:r>
        <w:rPr>
          <w:rFonts w:eastAsia="等线" w:ascii="Arial" w:cs="Arial" w:hAnsi="Arial"/>
          <w:sz w:val="22"/>
        </w:rPr>
        <w:t>：使用Vite构建，快速启动。</w:t>
      </w:r>
    </w:p>
    <w:p>
      <w:pPr>
        <w:numPr>
          <w:numId w:val="4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测试网支持</w:t>
      </w:r>
      <w:r>
        <w:rPr>
          <w:rFonts w:eastAsia="等线" w:ascii="Arial" w:cs="Arial" w:hAnsi="Arial"/>
          <w:sz w:val="22"/>
        </w:rPr>
        <w:t>：前端可切换网络（测试网/主网），测试网使用模拟的宪法状态文件。</w:t>
      </w:r>
    </w:p>
    <w:p>
      <w:pPr>
        <w:numPr>
          <w:numId w:val="4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本地化</w:t>
      </w:r>
      <w:r>
        <w:rPr>
          <w:rFonts w:eastAsia="等线" w:ascii="Arial" w:cs="Arial" w:hAnsi="Arial"/>
          <w:sz w:val="22"/>
        </w:rPr>
        <w:t>：支持多语言（中/英），根据用户钱包地址的</w:t>
      </w:r>
      <w:r>
        <w:rPr>
          <w:rFonts w:eastAsia="Consolas" w:ascii="Consolas" w:cs="Consolas" w:hAnsi="Consolas"/>
          <w:sz w:val="22"/>
          <w:shd w:fill="EFF0F1"/>
        </w:rPr>
        <w:t>region</w:t>
      </w:r>
      <w:r>
        <w:rPr>
          <w:rFonts w:eastAsia="等线" w:ascii="Arial" w:cs="Arial" w:hAnsi="Arial"/>
          <w:sz w:val="22"/>
        </w:rPr>
        <w:t>字段自动切换语言。</w:t>
      </w:r>
    </w:p>
    <w:p>
      <w:pPr>
        <w:numPr>
          <w:numId w:val="4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宪法沙箱</w:t>
      </w:r>
      <w:r>
        <w:rPr>
          <w:rFonts w:eastAsia="等线" w:ascii="Arial" w:cs="Arial" w:hAnsi="Arial"/>
          <w:sz w:val="22"/>
        </w:rPr>
        <w:t>：提供独立入口，允许用户在不消耗真实XIC的情况下模拟上链。</w:t>
      </w:r>
    </w:p>
    <w:p>
      <w:pPr>
        <w:numPr>
          <w:numId w:val="4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安全审计</w:t>
      </w:r>
      <w:r>
        <w:rPr>
          <w:rFonts w:eastAsia="等线" w:ascii="Arial" w:cs="Arial" w:hAnsi="Arial"/>
          <w:sz w:val="22"/>
        </w:rPr>
        <w:t>：前端代码需经过宪法法院授权机构审计，确保不泄露私钥、不上传额外数据。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5" w:id="25"/>
      <w:r>
        <w:rPr>
          <w:rFonts w:eastAsia="等线" w:ascii="Arial" w:cs="Arial" w:hAnsi="Arial"/>
          <w:b w:val="true"/>
          <w:sz w:val="36"/>
        </w:rPr>
        <w:t>八、结语</w:t>
      </w:r>
      <w:bookmarkEnd w:id="2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本前端方案将NAC复杂的资产上链流程封装成简洁的六步向导，结合实时宪法提示、动态表单和进度追踪，使资产发行方能以最低门槛完成上链。所有操作皆在宪法框架内由AI自动执行，真正实现“一键上链，全局合规”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制定人</w:t>
      </w:r>
      <w:r>
        <w:rPr>
          <w:rFonts w:eastAsia="等线" w:ascii="Arial" w:cs="Arial" w:hAnsi="Arial"/>
          <w:sz w:val="22"/>
        </w:rPr>
        <w:t>：NAC资产上链工作组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最后更新</w:t>
      </w:r>
      <w:r>
        <w:rPr>
          <w:rFonts w:eastAsia="等线" w:ascii="Arial" w:cs="Arial" w:hAnsi="Arial"/>
          <w:sz w:val="22"/>
        </w:rPr>
        <w:t>：2026年2月14日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文档状态</w:t>
      </w:r>
      <w:r>
        <w:rPr>
          <w:rFonts w:eastAsia="等线" w:ascii="Arial" w:cs="Arial" w:hAnsi="Arial"/>
          <w:sz w:val="22"/>
        </w:rPr>
        <w:t>：正式发布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3465985">
    <w:lvl>
      <w:numFmt w:val="bullet"/>
      <w:suff w:val="tab"/>
      <w:lvlText w:val="•"/>
      <w:rPr>
        <w:color w:val="3370ff"/>
      </w:rPr>
    </w:lvl>
  </w:abstractNum>
  <w:abstractNum w:abstractNumId="3465986">
    <w:lvl>
      <w:numFmt w:val="bullet"/>
      <w:suff w:val="tab"/>
      <w:lvlText w:val="•"/>
      <w:rPr>
        <w:color w:val="3370ff"/>
      </w:rPr>
    </w:lvl>
  </w:abstractNum>
  <w:abstractNum w:abstractNumId="3465987">
    <w:lvl>
      <w:numFmt w:val="bullet"/>
      <w:suff w:val="tab"/>
      <w:lvlText w:val="•"/>
      <w:rPr>
        <w:color w:val="3370ff"/>
      </w:rPr>
    </w:lvl>
  </w:abstractNum>
  <w:abstractNum w:abstractNumId="3465988">
    <w:lvl>
      <w:numFmt w:val="bullet"/>
      <w:suff w:val="tab"/>
      <w:lvlText w:val="•"/>
      <w:rPr>
        <w:color w:val="3370ff"/>
      </w:rPr>
    </w:lvl>
  </w:abstractNum>
  <w:abstractNum w:abstractNumId="3465989">
    <w:lvl>
      <w:numFmt w:val="bullet"/>
      <w:suff w:val="tab"/>
      <w:lvlText w:val="•"/>
      <w:rPr>
        <w:color w:val="3370ff"/>
      </w:rPr>
    </w:lvl>
  </w:abstractNum>
  <w:abstractNum w:abstractNumId="3465990">
    <w:lvl>
      <w:numFmt w:val="bullet"/>
      <w:suff w:val="tab"/>
      <w:lvlText w:val="•"/>
      <w:rPr>
        <w:color w:val="3370ff"/>
      </w:rPr>
    </w:lvl>
  </w:abstractNum>
  <w:abstractNum w:abstractNumId="3465991">
    <w:lvl>
      <w:numFmt w:val="bullet"/>
      <w:suff w:val="tab"/>
      <w:lvlText w:val="•"/>
      <w:rPr>
        <w:color w:val="3370ff"/>
      </w:rPr>
    </w:lvl>
  </w:abstractNum>
  <w:abstractNum w:abstractNumId="3465992">
    <w:lvl>
      <w:numFmt w:val="bullet"/>
      <w:suff w:val="tab"/>
      <w:lvlText w:val="•"/>
      <w:rPr>
        <w:color w:val="3370ff"/>
      </w:rPr>
    </w:lvl>
  </w:abstractNum>
  <w:abstractNum w:abstractNumId="3465993">
    <w:lvl>
      <w:numFmt w:val="bullet"/>
      <w:suff w:val="tab"/>
      <w:lvlText w:val="•"/>
      <w:rPr>
        <w:color w:val="3370ff"/>
      </w:rPr>
    </w:lvl>
  </w:abstractNum>
  <w:abstractNum w:abstractNumId="3465994">
    <w:lvl>
      <w:numFmt w:val="bullet"/>
      <w:suff w:val="tab"/>
      <w:lvlText w:val="•"/>
      <w:rPr>
        <w:color w:val="3370ff"/>
      </w:rPr>
    </w:lvl>
  </w:abstractNum>
  <w:abstractNum w:abstractNumId="3465995">
    <w:lvl>
      <w:numFmt w:val="bullet"/>
      <w:suff w:val="tab"/>
      <w:lvlText w:val="•"/>
      <w:rPr>
        <w:color w:val="3370ff"/>
      </w:rPr>
    </w:lvl>
  </w:abstractNum>
  <w:abstractNum w:abstractNumId="3465996">
    <w:lvl>
      <w:numFmt w:val="bullet"/>
      <w:suff w:val="tab"/>
      <w:lvlText w:val="•"/>
      <w:rPr>
        <w:color w:val="3370ff"/>
      </w:rPr>
    </w:lvl>
  </w:abstractNum>
  <w:abstractNum w:abstractNumId="3465997">
    <w:lvl>
      <w:numFmt w:val="bullet"/>
      <w:suff w:val="tab"/>
      <w:lvlText w:val="•"/>
      <w:rPr>
        <w:color w:val="3370ff"/>
      </w:rPr>
    </w:lvl>
  </w:abstractNum>
  <w:abstractNum w:abstractNumId="3465998">
    <w:lvl>
      <w:numFmt w:val="bullet"/>
      <w:suff w:val="tab"/>
      <w:lvlText w:val="•"/>
      <w:rPr>
        <w:color w:val="3370ff"/>
      </w:rPr>
    </w:lvl>
  </w:abstractNum>
  <w:abstractNum w:abstractNumId="3465999">
    <w:lvl>
      <w:numFmt w:val="bullet"/>
      <w:suff w:val="tab"/>
      <w:lvlText w:val="•"/>
      <w:rPr>
        <w:color w:val="3370ff"/>
      </w:rPr>
    </w:lvl>
  </w:abstractNum>
  <w:abstractNum w:abstractNumId="3466000">
    <w:lvl>
      <w:numFmt w:val="bullet"/>
      <w:suff w:val="tab"/>
      <w:lvlText w:val="•"/>
      <w:rPr>
        <w:color w:val="3370ff"/>
      </w:rPr>
    </w:lvl>
  </w:abstractNum>
  <w:abstractNum w:abstractNumId="3466001">
    <w:lvl>
      <w:numFmt w:val="bullet"/>
      <w:suff w:val="tab"/>
      <w:lvlText w:val="•"/>
      <w:rPr>
        <w:color w:val="3370ff"/>
      </w:rPr>
    </w:lvl>
  </w:abstractNum>
  <w:abstractNum w:abstractNumId="3466002">
    <w:lvl>
      <w:numFmt w:val="bullet"/>
      <w:suff w:val="tab"/>
      <w:lvlText w:val="•"/>
      <w:rPr>
        <w:color w:val="3370ff"/>
      </w:rPr>
    </w:lvl>
  </w:abstractNum>
  <w:abstractNum w:abstractNumId="3466003">
    <w:lvl>
      <w:numFmt w:val="bullet"/>
      <w:suff w:val="tab"/>
      <w:lvlText w:val="￮"/>
      <w:rPr>
        <w:color w:val="3370ff"/>
      </w:rPr>
    </w:lvl>
  </w:abstractNum>
  <w:abstractNum w:abstractNumId="3466004">
    <w:lvl>
      <w:numFmt w:val="bullet"/>
      <w:suff w:val="tab"/>
      <w:lvlText w:val="￮"/>
      <w:rPr>
        <w:color w:val="3370ff"/>
      </w:rPr>
    </w:lvl>
  </w:abstractNum>
  <w:abstractNum w:abstractNumId="3466005">
    <w:lvl>
      <w:numFmt w:val="bullet"/>
      <w:suff w:val="tab"/>
      <w:lvlText w:val="￮"/>
      <w:rPr>
        <w:color w:val="3370ff"/>
      </w:rPr>
    </w:lvl>
  </w:abstractNum>
  <w:abstractNum w:abstractNumId="3466006">
    <w:lvl>
      <w:numFmt w:val="bullet"/>
      <w:suff w:val="tab"/>
      <w:lvlText w:val="￮"/>
      <w:rPr>
        <w:color w:val="3370ff"/>
      </w:rPr>
    </w:lvl>
  </w:abstractNum>
  <w:abstractNum w:abstractNumId="3466007">
    <w:lvl>
      <w:numFmt w:val="bullet"/>
      <w:suff w:val="tab"/>
      <w:lvlText w:val="￮"/>
      <w:rPr>
        <w:color w:val="3370ff"/>
      </w:rPr>
    </w:lvl>
  </w:abstractNum>
  <w:abstractNum w:abstractNumId="3466008">
    <w:lvl>
      <w:numFmt w:val="bullet"/>
      <w:suff w:val="tab"/>
      <w:lvlText w:val="￮"/>
      <w:rPr>
        <w:color w:val="3370ff"/>
      </w:rPr>
    </w:lvl>
  </w:abstractNum>
  <w:abstractNum w:abstractNumId="3466009">
    <w:lvl>
      <w:numFmt w:val="bullet"/>
      <w:suff w:val="tab"/>
      <w:lvlText w:val="￮"/>
      <w:rPr>
        <w:color w:val="3370ff"/>
      </w:rPr>
    </w:lvl>
  </w:abstractNum>
  <w:abstractNum w:abstractNumId="3466010">
    <w:lvl>
      <w:numFmt w:val="bullet"/>
      <w:suff w:val="tab"/>
      <w:lvlText w:val="•"/>
      <w:rPr>
        <w:color w:val="3370ff"/>
      </w:rPr>
    </w:lvl>
  </w:abstractNum>
  <w:abstractNum w:abstractNumId="3466011">
    <w:lvl>
      <w:numFmt w:val="bullet"/>
      <w:suff w:val="tab"/>
      <w:lvlText w:val="•"/>
      <w:rPr>
        <w:color w:val="3370ff"/>
      </w:rPr>
    </w:lvl>
  </w:abstractNum>
  <w:abstractNum w:abstractNumId="3466012">
    <w:lvl>
      <w:numFmt w:val="bullet"/>
      <w:suff w:val="tab"/>
      <w:lvlText w:val="•"/>
      <w:rPr>
        <w:color w:val="3370ff"/>
      </w:rPr>
    </w:lvl>
  </w:abstractNum>
  <w:abstractNum w:abstractNumId="3466013">
    <w:lvl>
      <w:numFmt w:val="bullet"/>
      <w:suff w:val="tab"/>
      <w:lvlText w:val="•"/>
      <w:rPr>
        <w:color w:val="3370ff"/>
      </w:rPr>
    </w:lvl>
  </w:abstractNum>
  <w:abstractNum w:abstractNumId="3466014">
    <w:lvl>
      <w:numFmt w:val="bullet"/>
      <w:suff w:val="tab"/>
      <w:lvlText w:val="•"/>
      <w:rPr>
        <w:color w:val="3370ff"/>
      </w:rPr>
    </w:lvl>
  </w:abstractNum>
  <w:abstractNum w:abstractNumId="3466015">
    <w:lvl>
      <w:numFmt w:val="bullet"/>
      <w:suff w:val="tab"/>
      <w:lvlText w:val="•"/>
      <w:rPr>
        <w:color w:val="3370ff"/>
      </w:rPr>
    </w:lvl>
  </w:abstractNum>
  <w:abstractNum w:abstractNumId="3466016">
    <w:lvl>
      <w:numFmt w:val="bullet"/>
      <w:suff w:val="tab"/>
      <w:lvlText w:val="•"/>
      <w:rPr>
        <w:color w:val="3370ff"/>
      </w:rPr>
    </w:lvl>
  </w:abstractNum>
  <w:abstractNum w:abstractNumId="3466017">
    <w:lvl>
      <w:numFmt w:val="bullet"/>
      <w:suff w:val="tab"/>
      <w:lvlText w:val="•"/>
      <w:rPr>
        <w:color w:val="3370ff"/>
      </w:rPr>
    </w:lvl>
  </w:abstractNum>
  <w:abstractNum w:abstractNumId="3466018">
    <w:lvl>
      <w:numFmt w:val="bullet"/>
      <w:suff w:val="tab"/>
      <w:lvlText w:val="•"/>
      <w:rPr>
        <w:color w:val="3370ff"/>
      </w:rPr>
    </w:lvl>
  </w:abstractNum>
  <w:abstractNum w:abstractNumId="3466019">
    <w:lvl>
      <w:numFmt w:val="bullet"/>
      <w:suff w:val="tab"/>
      <w:lvlText w:val="•"/>
      <w:rPr>
        <w:color w:val="3370ff"/>
      </w:rPr>
    </w:lvl>
  </w:abstractNum>
  <w:abstractNum w:abstractNumId="3466020">
    <w:lvl>
      <w:numFmt w:val="bullet"/>
      <w:suff w:val="tab"/>
      <w:lvlText w:val="•"/>
      <w:rPr>
        <w:color w:val="3370ff"/>
      </w:rPr>
    </w:lvl>
  </w:abstractNum>
  <w:abstractNum w:abstractNumId="3466021">
    <w:lvl>
      <w:numFmt w:val="bullet"/>
      <w:suff w:val="tab"/>
      <w:lvlText w:val="•"/>
      <w:rPr>
        <w:color w:val="3370ff"/>
      </w:rPr>
    </w:lvl>
  </w:abstractNum>
  <w:abstractNum w:abstractNumId="3466022">
    <w:lvl>
      <w:numFmt w:val="bullet"/>
      <w:suff w:val="tab"/>
      <w:lvlText w:val="•"/>
      <w:rPr>
        <w:color w:val="3370ff"/>
      </w:rPr>
    </w:lvl>
  </w:abstractNum>
  <w:abstractNum w:abstractNumId="3466023">
    <w:lvl>
      <w:numFmt w:val="bullet"/>
      <w:suff w:val="tab"/>
      <w:lvlText w:val="•"/>
      <w:rPr>
        <w:color w:val="3370ff"/>
      </w:rPr>
    </w:lvl>
  </w:abstractNum>
  <w:abstractNum w:abstractNumId="3466024">
    <w:lvl>
      <w:numFmt w:val="bullet"/>
      <w:suff w:val="tab"/>
      <w:lvlText w:val="•"/>
      <w:rPr>
        <w:color w:val="3370ff"/>
      </w:rPr>
    </w:lvl>
  </w:abstractNum>
  <w:abstractNum w:abstractNumId="3466025">
    <w:lvl>
      <w:numFmt w:val="bullet"/>
      <w:suff w:val="tab"/>
      <w:lvlText w:val="￮"/>
      <w:rPr>
        <w:color w:val="3370ff"/>
      </w:rPr>
    </w:lvl>
  </w:abstractNum>
  <w:abstractNum w:abstractNumId="3466026">
    <w:lvl>
      <w:numFmt w:val="bullet"/>
      <w:suff w:val="tab"/>
      <w:lvlText w:val="￮"/>
      <w:rPr>
        <w:color w:val="3370ff"/>
      </w:rPr>
    </w:lvl>
  </w:abstractNum>
  <w:abstractNum w:abstractNumId="3466027">
    <w:lvl>
      <w:numFmt w:val="bullet"/>
      <w:suff w:val="tab"/>
      <w:lvlText w:val="￮"/>
      <w:rPr>
        <w:color w:val="3370ff"/>
      </w:rPr>
    </w:lvl>
  </w:abstractNum>
  <w:abstractNum w:abstractNumId="3466028">
    <w:lvl>
      <w:start w:val="1"/>
      <w:numFmt w:val="decimal"/>
      <w:suff w:val="tab"/>
      <w:lvlText w:val="%1."/>
      <w:rPr>
        <w:color w:val="3370ff"/>
      </w:rPr>
    </w:lvl>
  </w:abstractNum>
  <w:abstractNum w:abstractNumId="3466029">
    <w:lvl>
      <w:start w:val="2"/>
      <w:numFmt w:val="decimal"/>
      <w:suff w:val="tab"/>
      <w:lvlText w:val="%1."/>
      <w:rPr>
        <w:color w:val="3370ff"/>
      </w:rPr>
    </w:lvl>
  </w:abstractNum>
  <w:abstractNum w:abstractNumId="3466030">
    <w:lvl>
      <w:start w:val="3"/>
      <w:numFmt w:val="decimal"/>
      <w:suff w:val="tab"/>
      <w:lvlText w:val="%1."/>
      <w:rPr>
        <w:color w:val="3370ff"/>
      </w:rPr>
    </w:lvl>
  </w:abstractNum>
  <w:abstractNum w:abstractNumId="3466031">
    <w:lvl>
      <w:start w:val="4"/>
      <w:numFmt w:val="decimal"/>
      <w:suff w:val="tab"/>
      <w:lvlText w:val="%1."/>
      <w:rPr>
        <w:color w:val="3370ff"/>
      </w:rPr>
    </w:lvl>
  </w:abstractNum>
  <w:abstractNum w:abstractNumId="3466032">
    <w:lvl>
      <w:start w:val="5"/>
      <w:numFmt w:val="decimal"/>
      <w:suff w:val="tab"/>
      <w:lvlText w:val="%1."/>
      <w:rPr>
        <w:color w:val="3370ff"/>
      </w:rPr>
    </w:lvl>
  </w:abstractNum>
  <w:num w:numId="1">
    <w:abstractNumId w:val="3465985"/>
  </w:num>
  <w:num w:numId="2">
    <w:abstractNumId w:val="3465986"/>
  </w:num>
  <w:num w:numId="3">
    <w:abstractNumId w:val="3465987"/>
  </w:num>
  <w:num w:numId="4">
    <w:abstractNumId w:val="3465988"/>
  </w:num>
  <w:num w:numId="5">
    <w:abstractNumId w:val="3465989"/>
  </w:num>
  <w:num w:numId="6">
    <w:abstractNumId w:val="3465990"/>
  </w:num>
  <w:num w:numId="7">
    <w:abstractNumId w:val="3465991"/>
  </w:num>
  <w:num w:numId="8">
    <w:abstractNumId w:val="3465992"/>
  </w:num>
  <w:num w:numId="9">
    <w:abstractNumId w:val="3465993"/>
  </w:num>
  <w:num w:numId="10">
    <w:abstractNumId w:val="3465994"/>
  </w:num>
  <w:num w:numId="11">
    <w:abstractNumId w:val="3465995"/>
  </w:num>
  <w:num w:numId="12">
    <w:abstractNumId w:val="3465996"/>
  </w:num>
  <w:num w:numId="13">
    <w:abstractNumId w:val="3465997"/>
  </w:num>
  <w:num w:numId="14">
    <w:abstractNumId w:val="3465998"/>
  </w:num>
  <w:num w:numId="15">
    <w:abstractNumId w:val="3465999"/>
  </w:num>
  <w:num w:numId="16">
    <w:abstractNumId w:val="3466000"/>
  </w:num>
  <w:num w:numId="17">
    <w:abstractNumId w:val="3466001"/>
  </w:num>
  <w:num w:numId="18">
    <w:abstractNumId w:val="3466002"/>
  </w:num>
  <w:num w:numId="19">
    <w:abstractNumId w:val="3466003"/>
  </w:num>
  <w:num w:numId="20">
    <w:abstractNumId w:val="3466004"/>
  </w:num>
  <w:num w:numId="21">
    <w:abstractNumId w:val="3466005"/>
  </w:num>
  <w:num w:numId="22">
    <w:abstractNumId w:val="3466006"/>
  </w:num>
  <w:num w:numId="23">
    <w:abstractNumId w:val="3466007"/>
  </w:num>
  <w:num w:numId="24">
    <w:abstractNumId w:val="3466008"/>
  </w:num>
  <w:num w:numId="25">
    <w:abstractNumId w:val="3466009"/>
  </w:num>
  <w:num w:numId="26">
    <w:abstractNumId w:val="3466010"/>
  </w:num>
  <w:num w:numId="27">
    <w:abstractNumId w:val="3466011"/>
  </w:num>
  <w:num w:numId="28">
    <w:abstractNumId w:val="3466012"/>
  </w:num>
  <w:num w:numId="29">
    <w:abstractNumId w:val="3466013"/>
  </w:num>
  <w:num w:numId="30">
    <w:abstractNumId w:val="3466014"/>
  </w:num>
  <w:num w:numId="31">
    <w:abstractNumId w:val="3466015"/>
  </w:num>
  <w:num w:numId="32">
    <w:abstractNumId w:val="3466016"/>
  </w:num>
  <w:num w:numId="33">
    <w:abstractNumId w:val="3466017"/>
  </w:num>
  <w:num w:numId="34">
    <w:abstractNumId w:val="3466018"/>
  </w:num>
  <w:num w:numId="35">
    <w:abstractNumId w:val="3466019"/>
  </w:num>
  <w:num w:numId="36">
    <w:abstractNumId w:val="3466020"/>
  </w:num>
  <w:num w:numId="37">
    <w:abstractNumId w:val="3466021"/>
  </w:num>
  <w:num w:numId="38">
    <w:abstractNumId w:val="3466022"/>
  </w:num>
  <w:num w:numId="39">
    <w:abstractNumId w:val="3466023"/>
  </w:num>
  <w:num w:numId="40">
    <w:abstractNumId w:val="3466024"/>
  </w:num>
  <w:num w:numId="41">
    <w:abstractNumId w:val="3466025"/>
  </w:num>
  <w:num w:numId="42">
    <w:abstractNumId w:val="3466026"/>
  </w:num>
  <w:num w:numId="43">
    <w:abstractNumId w:val="3466027"/>
  </w:num>
  <w:num w:numId="44">
    <w:abstractNumId w:val="3466028"/>
  </w:num>
  <w:num w:numId="45">
    <w:abstractNumId w:val="3466029"/>
  </w:num>
  <w:num w:numId="46">
    <w:abstractNumId w:val="3466030"/>
  </w:num>
  <w:num w:numId="47">
    <w:abstractNumId w:val="3466031"/>
  </w:num>
  <w:num w:numId="48">
    <w:abstractNumId w:val="3466032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2026-02-14T15:31:48Z</dcterms:created>
  <dc:creator>Apache POI</dc:creator>
</cp:coreProperties>
</file>