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《NAC原生公链资产上链综合法典》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（依据《NAC RWA原生公链核心技术白皮书》、《GNACS Pro》、《NAC原生资产主权规则法典》、《AI合规与审批细则法典》、《XTZH黄金永续合约储备法典》、《XTZH铸造与跨链质押细则法典》、《加密DNA生成法则》、《AI估值系统法典》综合制定）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版本号：</w:t>
      </w:r>
      <w:r>
        <w:rPr>
          <w:rFonts w:eastAsia="等线" w:ascii="Arial" w:cs="Arial" w:hAnsi="Arial"/>
          <w:sz w:val="22"/>
        </w:rPr>
        <w:t>1.0.0 (宪法版)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生效日期：</w:t>
      </w:r>
      <w:r>
        <w:rPr>
          <w:rFonts w:eastAsia="等线" w:ascii="Arial" w:cs="Arial" w:hAnsi="Arial"/>
          <w:sz w:val="22"/>
        </w:rPr>
        <w:t>待XIC持有者超级多数治理投票通过后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制定机构：</w:t>
      </w:r>
      <w:r>
        <w:rPr>
          <w:rFonts w:eastAsia="等线" w:ascii="Arial" w:cs="Arial" w:hAnsi="Arial"/>
          <w:sz w:val="22"/>
        </w:rPr>
        <w:t>NAC公链治理委员会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法典地位：</w:t>
      </w:r>
      <w:r>
        <w:rPr>
          <w:rFonts w:eastAsia="等线" w:ascii="Arial" w:cs="Arial" w:hAnsi="Arial"/>
          <w:sz w:val="22"/>
        </w:rPr>
        <w:t>本法典为NAC公链资产上链活动的最高操作准则，与前述各专项法典共同构成链上宪法体系，任何冲突以前述宪法级专项法典及本法典为准。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序章：法典总纲与宪法原则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第零条 法典宗旨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规范全球真实资产（RWA）在NAC原生公链上的数字化映射，确立“真实、合规、主权明晰、价值稳固”的核心准则，特依据NAC公链技术栈与治理哲学，制定本法典。本法典旨在构建一个独立于既有ERC/虚拟资产体系、专为真实资产服务的数字原生法律与技术框架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第一条 核心宪法原则</w:t>
      </w:r>
      <w:bookmarkEnd w:id="2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原生独立原则</w:t>
      </w:r>
      <w:r>
        <w:rPr>
          <w:rFonts w:eastAsia="等线" w:ascii="Arial" w:cs="Arial" w:hAnsi="Arial"/>
          <w:sz w:val="22"/>
        </w:rPr>
        <w:t>：所有流程、协议与标准均基于NAC原生技术栈（ACC-20协议、PoRWA共识、加密DNA、Apollo调度中枢、四大存储组件），与ERC-20/721/1155等协议无兼容、继承或映射关系。NAC链上资产为具备原生主权的数字存在。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真实性锚定原则</w:t>
      </w:r>
      <w:r>
        <w:rPr>
          <w:rFonts w:eastAsia="等线" w:ascii="Arial" w:cs="Arial" w:hAnsi="Arial"/>
          <w:sz w:val="22"/>
        </w:rPr>
        <w:t>：任何申请上链的资产，必须存在可验证、可审计的链下对应物（物理实体、法律权利、金融债权），并通过“物理/法律特征-链上DNA-所有权DID”三重锚定予以证明。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合规先行原则</w:t>
      </w:r>
      <w:r>
        <w:rPr>
          <w:rFonts w:eastAsia="等线" w:ascii="Arial" w:cs="Arial" w:hAnsi="Arial"/>
          <w:sz w:val="22"/>
        </w:rPr>
        <w:t>：AI驱动的七层合规检查（依据《AI合规与审批细则法典》）是资产进入估值、确权等后续流程的</w:t>
      </w:r>
      <w:r>
        <w:rPr>
          <w:rFonts w:eastAsia="等线" w:ascii="Arial" w:cs="Arial" w:hAnsi="Arial"/>
          <w:b w:val="true"/>
          <w:sz w:val="22"/>
        </w:rPr>
        <w:t>强制性前置唯一入口</w:t>
      </w:r>
      <w:r>
        <w:rPr>
          <w:rFonts w:eastAsia="等线" w:ascii="Arial" w:cs="Arial" w:hAnsi="Arial"/>
          <w:sz w:val="22"/>
        </w:rPr>
        <w:t>。合规掩码（Compliance Mask）是资产在链上活动的数字通行证。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主权明确原则</w:t>
      </w:r>
      <w:r>
        <w:rPr>
          <w:rFonts w:eastAsia="等线" w:ascii="Arial" w:cs="Arial" w:hAnsi="Arial"/>
          <w:sz w:val="22"/>
        </w:rPr>
        <w:t>：资产上链即通过</w:t>
      </w:r>
      <w:r>
        <w:rPr>
          <w:rFonts w:eastAsia="等线" w:ascii="Arial" w:cs="Arial" w:hAnsi="Arial"/>
          <w:b w:val="true"/>
          <w:sz w:val="22"/>
        </w:rPr>
        <w:t>OwnerDID</w:t>
      </w:r>
      <w:r>
        <w:rPr>
          <w:rFonts w:eastAsia="等线" w:ascii="Arial" w:cs="Arial" w:hAnsi="Arial"/>
          <w:sz w:val="22"/>
        </w:rPr>
        <w:t>在链上确立其数字主权，该主权范围（处置、收益、知情）依据《NAC原生资产主权规则法典》严格界定。所有主权变更全程留痕、不可抵赖。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价值双重锚定原则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一级锚定</w:t>
      </w:r>
      <w:r>
        <w:rPr>
          <w:rFonts w:eastAsia="等线" w:ascii="Arial" w:cs="Arial" w:hAnsi="Arial"/>
          <w:sz w:val="22"/>
        </w:rPr>
        <w:t>：XTZH的铸造严格与通过</w:t>
      </w:r>
      <w:r>
        <w:rPr>
          <w:rFonts w:eastAsia="等线" w:ascii="Arial" w:cs="Arial" w:hAnsi="Arial"/>
          <w:b w:val="true"/>
          <w:sz w:val="22"/>
        </w:rPr>
        <w:t>豆包AI估值引擎</w:t>
      </w:r>
      <w:r>
        <w:rPr>
          <w:rFonts w:eastAsia="等线" w:ascii="Arial" w:cs="Arial" w:hAnsi="Arial"/>
          <w:sz w:val="22"/>
        </w:rPr>
        <w:t>计算的资产公允价值（以XTZH为计价单位）1:1锚定。</w:t>
      </w:r>
    </w:p>
    <w:p>
      <w:pPr>
        <w:numPr>
          <w:numId w:val="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终极锚定</w:t>
      </w:r>
      <w:r>
        <w:rPr>
          <w:rFonts w:eastAsia="等线" w:ascii="Arial" w:cs="Arial" w:hAnsi="Arial"/>
          <w:sz w:val="22"/>
        </w:rPr>
        <w:t>：为每一枚新铸XTZH，系统自动建立</w:t>
      </w:r>
      <w:r>
        <w:rPr>
          <w:rFonts w:eastAsia="等线" w:ascii="Arial" w:cs="Arial" w:hAnsi="Arial"/>
          <w:b w:val="true"/>
          <w:sz w:val="22"/>
        </w:rPr>
        <w:t>1.25倍价值</w:t>
      </w:r>
      <w:r>
        <w:rPr>
          <w:rFonts w:eastAsia="等线" w:ascii="Arial" w:cs="Arial" w:hAnsi="Arial"/>
          <w:sz w:val="22"/>
        </w:rPr>
        <w:t>的黄金永续合约储备（依据《XTZH黄金永续合约储备法典》），提供硬通货价值兜底。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能耗经济闭环原则</w:t>
      </w:r>
      <w:r>
        <w:rPr>
          <w:rFonts w:eastAsia="等线" w:ascii="Arial" w:cs="Arial" w:hAnsi="Arial"/>
          <w:sz w:val="22"/>
        </w:rPr>
        <w:t>：上链全流程消耗</w:t>
      </w:r>
      <w:r>
        <w:rPr>
          <w:rFonts w:eastAsia="等线" w:ascii="Arial" w:cs="Arial" w:hAnsi="Arial"/>
          <w:b w:val="true"/>
          <w:sz w:val="22"/>
        </w:rPr>
        <w:t>XIC治理币</w:t>
      </w:r>
      <w:r>
        <w:rPr>
          <w:rFonts w:eastAsia="等线" w:ascii="Arial" w:cs="Arial" w:hAnsi="Arial"/>
          <w:sz w:val="22"/>
        </w:rPr>
        <w:t>作为AI算力、合规校验、网络安全的能量成本。成本根据资产GNACS分类、风险权重、审批复杂度动态计算，形成“消耗-激励-安全”的经济闭环。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第二条 管辖与定义</w:t>
      </w:r>
      <w:bookmarkEnd w:id="3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适用资产</w:t>
      </w:r>
      <w:r>
        <w:rPr>
          <w:rFonts w:eastAsia="等线" w:ascii="Arial" w:cs="Arial" w:hAnsi="Arial"/>
          <w:sz w:val="22"/>
        </w:rPr>
        <w:t>：本法典适用于所有依据《GNACS Pro》标准可分类，并寻求在NAC公链上生成原生数字镜像的资产。包括但不限于：</w:t>
        <w:br/>
        <w:t xml:space="preserve">        </w:t>
      </w:r>
    </w:p>
    <w:p>
      <w:pPr>
        <w:numPr>
          <w:numId w:val="1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实物资产</w:t>
      </w:r>
      <w:r>
        <w:rPr>
          <w:rFonts w:eastAsia="等线" w:ascii="Arial" w:cs="Arial" w:hAnsi="Arial"/>
          <w:sz w:val="22"/>
        </w:rPr>
        <w:t>：不动产（R）、动产（M）、车辆（V）、收藏品（C）。</w:t>
      </w:r>
    </w:p>
    <w:p>
      <w:pPr>
        <w:numPr>
          <w:numId w:val="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金融资产</w:t>
      </w:r>
      <w:r>
        <w:rPr>
          <w:rFonts w:eastAsia="等线" w:ascii="Arial" w:cs="Arial" w:hAnsi="Arial"/>
          <w:sz w:val="22"/>
        </w:rPr>
        <w:t>：应收账款、债券、股权、基金份额、结构化产品。</w:t>
      </w:r>
    </w:p>
    <w:p>
      <w:pPr>
        <w:numPr>
          <w:numId w:val="1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权益资产</w:t>
      </w:r>
      <w:r>
        <w:rPr>
          <w:rFonts w:eastAsia="等线" w:ascii="Arial" w:cs="Arial" w:hAnsi="Arial"/>
          <w:sz w:val="22"/>
        </w:rPr>
        <w:t>：知识产权、数据权益、碳排放权。</w:t>
      </w:r>
    </w:p>
    <w:p>
      <w:pPr>
        <w:numPr>
          <w:numId w:val="1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数字原生资产</w:t>
      </w:r>
      <w:r>
        <w:rPr>
          <w:rFonts w:eastAsia="等线" w:ascii="Arial" w:cs="Arial" w:hAnsi="Arial"/>
          <w:sz w:val="22"/>
        </w:rPr>
        <w:t>：符合NAC标准的数字创作（9901系列）。</w:t>
      </w:r>
    </w:p>
    <w:p>
      <w:pPr>
        <w:numPr>
          <w:numId w:val="1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公共部门资产</w:t>
      </w:r>
      <w:r>
        <w:rPr>
          <w:rFonts w:eastAsia="等线" w:ascii="Arial" w:cs="Arial" w:hAnsi="Arial"/>
          <w:sz w:val="22"/>
        </w:rPr>
        <w:t>：基础设施收益权、特许经营权。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禁止上链资产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a. 法律明令禁止或限制交易的资产。</w:t>
      </w:r>
    </w:p>
    <w:p>
      <w:pPr>
        <w:numPr>
          <w:numId w:val="1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b. 权属存在争议或无法清晰界定的资产。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c. 来源非法或涉及洗钱、恐怖融资的资产。</w:t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d. 无法通过AI估值系统验证或无市场公允价值的资产。</w:t>
      </w:r>
    </w:p>
    <w:p>
      <w:pPr>
        <w:numPr>
          <w:numId w:val="2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e. 其存在或交易严重违背公序良俗的资产。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关键术语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OwnerDID</w:t>
      </w:r>
      <w:r>
        <w:rPr>
          <w:rFonts w:eastAsia="等线" w:ascii="Arial" w:cs="Arial" w:hAnsi="Arial"/>
          <w:sz w:val="22"/>
        </w:rPr>
        <w:t>：资产所有者的去中心化身份标识，是链上主权的唯一归属依据。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Asset DNA</w:t>
      </w:r>
      <w:r>
        <w:rPr>
          <w:rFonts w:eastAsia="等线" w:ascii="Arial" w:cs="Arial" w:hAnsi="Arial"/>
          <w:sz w:val="22"/>
        </w:rPr>
        <w:t>：由32字节哈希（DNA_Hash）和可读编码（DNA_Code）组成的资产唯一身份标识，遵循《加密DNA生成法则》。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：NAC链上法币，价值由AI估值系统确定，并受黄金永续合约储备支持，是资产价值的计价与流通单位。</w:t>
      </w:r>
    </w:p>
    <w:p>
      <w:pPr>
        <w:numPr>
          <w:numId w:val="2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XIC</w:t>
      </w:r>
      <w:r>
        <w:rPr>
          <w:rFonts w:eastAsia="等线" w:ascii="Arial" w:cs="Arial" w:hAnsi="Arial"/>
          <w:sz w:val="22"/>
        </w:rPr>
        <w:t>：NAC治理币，用于支付上链能耗、参与治理投票、获取生态激励。</w:t>
      </w:r>
    </w:p>
    <w:p>
      <w:pPr>
        <w:numPr>
          <w:numId w:val="2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GNACS Pro编码</w:t>
      </w:r>
      <w:r>
        <w:rPr>
          <w:rFonts w:eastAsia="等线" w:ascii="Arial" w:cs="Arial" w:hAnsi="Arial"/>
          <w:sz w:val="22"/>
        </w:rPr>
        <w:t>：资产的34位国际标准分类编码，是启动所有AI流程的钥匙。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第一章：资产上链通用流程（十三步宪法闭环）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所有资产上链，无论其类型或所有者，必须严格遵循以下十三个步骤，缺一不可。流程由</w:t>
      </w:r>
      <w:r>
        <w:rPr>
          <w:rFonts w:eastAsia="等线" w:ascii="Arial" w:cs="Arial" w:hAnsi="Arial"/>
          <w:b w:val="true"/>
          <w:sz w:val="22"/>
        </w:rPr>
        <w:t>Apollo调度中枢</w:t>
      </w:r>
      <w:r>
        <w:rPr>
          <w:rFonts w:eastAsia="等线" w:ascii="Arial" w:cs="Arial" w:hAnsi="Arial"/>
          <w:sz w:val="22"/>
        </w:rPr>
        <w:t>统一编排与监控。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第一步：资产申请与初步锚定</w:t>
      </w:r>
      <w:bookmarkEnd w:id="5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申请人</w:t>
      </w:r>
      <w:r>
        <w:rPr>
          <w:rFonts w:eastAsia="等线" w:ascii="Arial" w:cs="Arial" w:hAnsi="Arial"/>
          <w:sz w:val="22"/>
        </w:rPr>
        <w:t>：通过合规钱包或DApp提交上链申请。必须使用已完成KYC/AML验证的OwnerDID。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申请材料</w:t>
      </w:r>
      <w:r>
        <w:rPr>
          <w:rFonts w:eastAsia="等线" w:ascii="Arial" w:cs="Arial" w:hAnsi="Arial"/>
          <w:sz w:val="22"/>
        </w:rPr>
        <w:t>：必须提交符合《GNACS Pro》要求的资产描述文件包，至少包括：</w:t>
        <w:br/>
        <w:t xml:space="preserve">        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a. </w:t>
      </w:r>
      <w:r>
        <w:rPr>
          <w:rFonts w:eastAsia="等线" w:ascii="Arial" w:cs="Arial" w:hAnsi="Arial"/>
          <w:b w:val="true"/>
          <w:sz w:val="22"/>
        </w:rPr>
        <w:t>基础信息表</w:t>
      </w:r>
      <w:r>
        <w:rPr>
          <w:rFonts w:eastAsia="等线" w:ascii="Arial" w:cs="Arial" w:hAnsi="Arial"/>
          <w:sz w:val="22"/>
        </w:rPr>
        <w:t>：明确资产名称、描述、物理/法律唯一标识码。</w:t>
      </w:r>
    </w:p>
    <w:p>
      <w:pPr>
        <w:numPr>
          <w:numId w:val="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b. </w:t>
      </w:r>
      <w:r>
        <w:rPr>
          <w:rFonts w:eastAsia="等线" w:ascii="Arial" w:cs="Arial" w:hAnsi="Arial"/>
          <w:b w:val="true"/>
          <w:sz w:val="22"/>
        </w:rPr>
        <w:t>权属证明文件</w:t>
      </w:r>
      <w:r>
        <w:rPr>
          <w:rFonts w:eastAsia="等线" w:ascii="Arial" w:cs="Arial" w:hAnsi="Arial"/>
          <w:sz w:val="22"/>
        </w:rPr>
        <w:t>：产权证、合同、发票、登记证明等的数字哈希。</w:t>
      </w:r>
    </w:p>
    <w:p>
      <w:pPr>
        <w:numPr>
          <w:numId w:val="3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c. </w:t>
      </w:r>
      <w:r>
        <w:rPr>
          <w:rFonts w:eastAsia="等线" w:ascii="Arial" w:cs="Arial" w:hAnsi="Arial"/>
          <w:b w:val="true"/>
          <w:sz w:val="22"/>
        </w:rPr>
        <w:t>特征数据</w:t>
      </w:r>
      <w:r>
        <w:rPr>
          <w:rFonts w:eastAsia="等线" w:ascii="Arial" w:cs="Arial" w:hAnsi="Arial"/>
          <w:sz w:val="22"/>
        </w:rPr>
        <w:t>：实物资产的3D扫描、RFID/NFC芯片ID、序列号；金融资产的完整合同文本；数字资产的源文件哈希。</w:t>
      </w:r>
    </w:p>
    <w:p>
      <w:pPr>
        <w:numPr>
          <w:numId w:val="3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d. </w:t>
      </w:r>
      <w:r>
        <w:rPr>
          <w:rFonts w:eastAsia="等线" w:ascii="Arial" w:cs="Arial" w:hAnsi="Arial"/>
          <w:b w:val="true"/>
          <w:sz w:val="22"/>
        </w:rPr>
        <w:t>合规承诺</w:t>
      </w:r>
      <w:r>
        <w:rPr>
          <w:rFonts w:eastAsia="等线" w:ascii="Arial" w:cs="Arial" w:hAnsi="Arial"/>
          <w:sz w:val="22"/>
        </w:rPr>
        <w:t>：申请人声明资产合法性、权属清晰性，并授权进行AI合规检查。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系统动作</w:t>
      </w:r>
      <w:r>
        <w:rPr>
          <w:rFonts w:eastAsia="等线" w:ascii="Arial" w:cs="Arial" w:hAnsi="Arial"/>
          <w:sz w:val="22"/>
        </w:rPr>
        <w:t>：申请提交后，系统自动冻结一笔预估的XIC作为能耗准备金。申请记录初始化于PostgreSQL，状态为</w:t>
      </w:r>
      <w:r>
        <w:rPr>
          <w:rFonts w:eastAsia="Consolas" w:ascii="Consolas" w:cs="Consolas" w:hAnsi="Consolas"/>
          <w:sz w:val="22"/>
          <w:shd w:fill="EFF0F1"/>
        </w:rPr>
        <w:t>待合规校验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第二步：GNACS编码映射与AI合规启动</w:t>
      </w:r>
      <w:bookmarkEnd w:id="6"/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自动映射</w:t>
      </w:r>
      <w:r>
        <w:rPr>
          <w:rFonts w:eastAsia="等线" w:ascii="Arial" w:cs="Arial" w:hAnsi="Arial"/>
          <w:sz w:val="22"/>
        </w:rPr>
        <w:t>：AI合规引擎自动解析申请材料，将其映射为34位</w:t>
      </w:r>
      <w:r>
        <w:rPr>
          <w:rFonts w:eastAsia="等线" w:ascii="Arial" w:cs="Arial" w:hAnsi="Arial"/>
          <w:b w:val="true"/>
          <w:sz w:val="22"/>
        </w:rPr>
        <w:t>GNACS Pro编码</w:t>
      </w:r>
      <w:r>
        <w:rPr>
          <w:rFonts w:eastAsia="等线" w:ascii="Arial" w:cs="Arial" w:hAnsi="Arial"/>
          <w:sz w:val="22"/>
        </w:rPr>
        <w:t>。此编码决定后续所有合规、估值、质押率参数。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七层合规检查</w:t>
      </w:r>
      <w:r>
        <w:rPr>
          <w:rFonts w:eastAsia="等线" w:ascii="Arial" w:cs="Arial" w:hAnsi="Arial"/>
          <w:sz w:val="22"/>
        </w:rPr>
        <w:t>：AI合规引擎（豆包驱动）依据《AI合规与审批细则法典》启动全维度检查：</w:t>
        <w:br/>
        <w:t xml:space="preserve">        </w:t>
      </w:r>
    </w:p>
    <w:p>
      <w:pPr>
        <w:numPr>
          <w:numId w:val="3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层1（物理/法律存在）</w:t>
      </w:r>
      <w:r>
        <w:rPr>
          <w:rFonts w:eastAsia="等线" w:ascii="Arial" w:cs="Arial" w:hAnsi="Arial"/>
          <w:sz w:val="22"/>
        </w:rPr>
        <w:t>：验证特征数据与权属证明的真实性与一致性。</w:t>
      </w:r>
    </w:p>
    <w:p>
      <w:pPr>
        <w:numPr>
          <w:numId w:val="3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层2（权属闭环）</w:t>
      </w:r>
      <w:r>
        <w:rPr>
          <w:rFonts w:eastAsia="等线" w:ascii="Arial" w:cs="Arial" w:hAnsi="Arial"/>
          <w:sz w:val="22"/>
        </w:rPr>
        <w:t>：核查所有权链，筛查是否存在抵押、查封、共有等限制。</w:t>
      </w:r>
    </w:p>
    <w:p>
      <w:pPr>
        <w:numPr>
          <w:numId w:val="3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层3（风险分类）</w:t>
      </w:r>
      <w:r>
        <w:rPr>
          <w:rFonts w:eastAsia="等线" w:ascii="Arial" w:cs="Arial" w:hAnsi="Arial"/>
          <w:sz w:val="22"/>
        </w:rPr>
        <w:t>：根据巴塞尔协议III框架，计算资产风险权重（0%-150%+）。</w:t>
      </w:r>
    </w:p>
    <w:p>
      <w:pPr>
        <w:numPr>
          <w:numId w:val="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层4（市场准入）</w:t>
      </w:r>
      <w:r>
        <w:rPr>
          <w:rFonts w:eastAsia="等线" w:ascii="Arial" w:cs="Arial" w:hAnsi="Arial"/>
          <w:sz w:val="22"/>
        </w:rPr>
        <w:t>：检查资产是否符合其所在行业及目标市场的准入规定。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层5（ESG与伦理）</w:t>
      </w:r>
      <w:r>
        <w:rPr>
          <w:rFonts w:eastAsia="等线" w:ascii="Arial" w:cs="Arial" w:hAnsi="Arial"/>
          <w:sz w:val="22"/>
        </w:rPr>
        <w:t>：评估环境、社会、治理影响及伦理合规性。</w:t>
      </w:r>
    </w:p>
    <w:p>
      <w:pPr>
        <w:numPr>
          <w:numId w:val="4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层6（数据与隐私）</w:t>
      </w:r>
      <w:r>
        <w:rPr>
          <w:rFonts w:eastAsia="等线" w:ascii="Arial" w:cs="Arial" w:hAnsi="Arial"/>
          <w:sz w:val="22"/>
        </w:rPr>
        <w:t>：确保数据采集、存储、使用符合GDPR等法规。</w:t>
      </w:r>
    </w:p>
    <w:p>
      <w:pPr>
        <w:numPr>
          <w:numId w:val="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层7（跨辖区适配）</w:t>
      </w:r>
      <w:r>
        <w:rPr>
          <w:rFonts w:eastAsia="等线" w:ascii="Arial" w:cs="Arial" w:hAnsi="Arial"/>
          <w:sz w:val="22"/>
        </w:rPr>
        <w:t>：根据OwnerDID归属地和资产属性，适配多司法辖区监管要求。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>：生成</w:t>
      </w:r>
      <w:r>
        <w:rPr>
          <w:rFonts w:eastAsia="等线" w:ascii="Arial" w:cs="Arial" w:hAnsi="Arial"/>
          <w:b w:val="true"/>
          <w:sz w:val="22"/>
        </w:rPr>
        <w:t>合规评分</w:t>
      </w:r>
      <w:r>
        <w:rPr>
          <w:rFonts w:eastAsia="等线" w:ascii="Arial" w:cs="Arial" w:hAnsi="Arial"/>
          <w:sz w:val="22"/>
        </w:rPr>
        <w:t>（0-100分）和</w:t>
      </w:r>
      <w:r>
        <w:rPr>
          <w:rFonts w:eastAsia="等线" w:ascii="Arial" w:cs="Arial" w:hAnsi="Arial"/>
          <w:b w:val="true"/>
          <w:sz w:val="22"/>
        </w:rPr>
        <w:t>合规掩码</w:t>
      </w:r>
      <w:r>
        <w:rPr>
          <w:rFonts w:eastAsia="等线" w:ascii="Arial" w:cs="Arial" w:hAnsi="Arial"/>
          <w:sz w:val="22"/>
        </w:rPr>
        <w:t>（64位，标识各层具体合规状态）。评分&lt;80分，流程终止，退还部分XIC准备金。评分≥80分，进入下一步。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第三步：AI审批路径决策与执行</w:t>
      </w:r>
      <w:bookmarkEnd w:id="7"/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路径决策</w:t>
      </w:r>
      <w:r>
        <w:rPr>
          <w:rFonts w:eastAsia="等线" w:ascii="Arial" w:cs="Arial" w:hAnsi="Arial"/>
          <w:sz w:val="22"/>
        </w:rPr>
        <w:t>：根据资产类型、风险权重、合规评分、估值预估，自动匹配审批路径：</w:t>
        <w:br/>
        <w:t xml:space="preserve">        </w:t>
      </w:r>
    </w:p>
    <w:p>
      <w:pPr>
        <w:numPr>
          <w:numId w:val="4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快速通道</w:t>
      </w:r>
      <w:r>
        <w:rPr>
          <w:rFonts w:eastAsia="等线" w:ascii="Arial" w:cs="Arial" w:hAnsi="Arial"/>
          <w:sz w:val="22"/>
        </w:rPr>
        <w:t>：低风险、标准化资产（如部分数字资产），AI自动审批。</w:t>
      </w:r>
    </w:p>
    <w:p>
      <w:pPr>
        <w:numPr>
          <w:numId w:val="4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标准通道</w:t>
      </w:r>
      <w:r>
        <w:rPr>
          <w:rFonts w:eastAsia="等线" w:ascii="Arial" w:cs="Arial" w:hAnsi="Arial"/>
          <w:sz w:val="22"/>
        </w:rPr>
        <w:t>：大多数资产，AI审批为主，5%概率随机抽检触发人工复核。</w:t>
      </w:r>
    </w:p>
    <w:p>
      <w:pPr>
        <w:numPr>
          <w:numId w:val="4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加强通道</w:t>
      </w:r>
      <w:r>
        <w:rPr>
          <w:rFonts w:eastAsia="等线" w:ascii="Arial" w:cs="Arial" w:hAnsi="Arial"/>
          <w:sz w:val="22"/>
        </w:rPr>
        <w:t>：高风险、高价值或非标资产（如艺术品、大型不动产），强制“AI初审+领域专家委员会复核”。</w:t>
      </w:r>
    </w:p>
    <w:p>
      <w:pPr>
        <w:numPr>
          <w:numId w:val="4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特殊通道</w:t>
      </w:r>
      <w:r>
        <w:rPr>
          <w:rFonts w:eastAsia="等线" w:ascii="Arial" w:cs="Arial" w:hAnsi="Arial"/>
          <w:sz w:val="22"/>
        </w:rPr>
        <w:t>：涉及跨境、跨链、新型资产，由治理委员会指定的特别小组审批。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审批执行</w:t>
      </w:r>
      <w:r>
        <w:rPr>
          <w:rFonts w:eastAsia="等线" w:ascii="Arial" w:cs="Arial" w:hAnsi="Arial"/>
          <w:sz w:val="22"/>
        </w:rPr>
        <w:t>：审批节点（人或AI）调用完整合规报告进行决策。批准后，资产状态更新为</w:t>
      </w:r>
      <w:r>
        <w:rPr>
          <w:rFonts w:eastAsia="Consolas" w:ascii="Consolas" w:cs="Consolas" w:hAnsi="Consolas"/>
          <w:sz w:val="22"/>
          <w:shd w:fill="EFF0F1"/>
        </w:rPr>
        <w:t>待估值</w:t>
      </w:r>
      <w:r>
        <w:rPr>
          <w:rFonts w:eastAsia="等线" w:ascii="Arial" w:cs="Arial" w:hAnsi="Arial"/>
          <w:sz w:val="22"/>
        </w:rPr>
        <w:t>，审批意见哈希上链。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第四步：AI估值与XTZH计价锚定</w:t>
      </w:r>
      <w:bookmarkEnd w:id="8"/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估值启动</w:t>
      </w:r>
      <w:r>
        <w:rPr>
          <w:rFonts w:eastAsia="等线" w:ascii="Arial" w:cs="Arial" w:hAnsi="Arial"/>
          <w:sz w:val="22"/>
        </w:rPr>
        <w:t>：AI估值引擎（豆包驱动）依据《NAC公链AI估值系统法典》启动。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数据输入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a. 资产具体特征与市场数据。</w:t>
      </w:r>
    </w:p>
    <w:p>
      <w:pPr>
        <w:numPr>
          <w:numId w:val="5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b. </w:t>
      </w:r>
      <w:r>
        <w:rPr>
          <w:rFonts w:eastAsia="等线" w:ascii="Arial" w:cs="Arial" w:hAnsi="Arial"/>
          <w:b w:val="true"/>
          <w:sz w:val="22"/>
        </w:rPr>
        <w:t>XTZH实时定价篮</w:t>
      </w:r>
      <w:r>
        <w:rPr>
          <w:rFonts w:eastAsia="等线" w:ascii="Arial" w:cs="Arial" w:hAnsi="Arial"/>
          <w:sz w:val="22"/>
        </w:rPr>
        <w:t>：黄金(10%) + SDR货币篮(40%) + 18种民生商品篮(50%)的实时价格。</w:t>
      </w:r>
    </w:p>
    <w:p>
      <w:pPr>
        <w:numPr>
          <w:numId w:val="5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c. 豆包AI抓取的12项宏观经济指标（CPI、PMI、GDP增速等）。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模型计算</w:t>
      </w:r>
      <w:r>
        <w:rPr>
          <w:rFonts w:eastAsia="等线" w:ascii="Arial" w:cs="Arial" w:hAnsi="Arial"/>
          <w:sz w:val="22"/>
        </w:rPr>
        <w:t>：根据GNACS编码选择主估值模型（成本法、收益法、市场法），结合XTZH定价篮进行加权计算，得出资产以</w:t>
      </w:r>
      <w:r>
        <w:rPr>
          <w:rFonts w:eastAsia="等线" w:ascii="Arial" w:cs="Arial" w:hAnsi="Arial"/>
          <w:b w:val="true"/>
          <w:sz w:val="22"/>
        </w:rPr>
        <w:t>XTZH个数</w:t>
      </w:r>
      <w:r>
        <w:rPr>
          <w:rFonts w:eastAsia="等线" w:ascii="Arial" w:cs="Arial" w:hAnsi="Arial"/>
          <w:sz w:val="22"/>
        </w:rPr>
        <w:t xml:space="preserve">为单位的公允价值 </w:t>
      </w:r>
      <w:r>
        <w:rPr>
          <w:rFonts w:eastAsia="Consolas" w:ascii="Consolas" w:cs="Consolas" w:hAnsi="Consolas"/>
          <w:sz w:val="22"/>
          <w:shd w:fill="EFF0F1"/>
        </w:rPr>
        <w:t>V_xtzh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>：生成详尽估值报告（模型、参数、数据源），存储于IPFS，哈希记录于链上。</w:t>
      </w:r>
      <w:r>
        <w:rPr>
          <w:rFonts w:eastAsia="Consolas" w:ascii="Consolas" w:cs="Consolas" w:hAnsi="Consolas"/>
          <w:sz w:val="22"/>
          <w:shd w:fill="EFF0F1"/>
        </w:rPr>
        <w:t>V_xtzh</w:t>
      </w:r>
      <w:r>
        <w:rPr>
          <w:rFonts w:eastAsia="等线" w:ascii="Arial" w:cs="Arial" w:hAnsi="Arial"/>
          <w:sz w:val="22"/>
        </w:rPr>
        <w:t xml:space="preserve"> 作为核心输出，写入资产智能合约。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第五步：链上确权与主权注册</w:t>
      </w:r>
      <w:bookmarkEnd w:id="9"/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主权绑定</w:t>
      </w:r>
      <w:r>
        <w:rPr>
          <w:rFonts w:eastAsia="等线" w:ascii="Arial" w:cs="Arial" w:hAnsi="Arial"/>
          <w:sz w:val="22"/>
        </w:rPr>
        <w:t>：系统将资产与申请人的</w:t>
      </w:r>
      <w:r>
        <w:rPr>
          <w:rFonts w:eastAsia="等线" w:ascii="Arial" w:cs="Arial" w:hAnsi="Arial"/>
          <w:b w:val="true"/>
          <w:sz w:val="22"/>
        </w:rPr>
        <w:t>OwnerDID</w:t>
      </w:r>
      <w:r>
        <w:rPr>
          <w:rFonts w:eastAsia="等线" w:ascii="Arial" w:cs="Arial" w:hAnsi="Arial"/>
          <w:sz w:val="22"/>
        </w:rPr>
        <w:t>在链上进行不可逆的绑定，此操作即构成数字主权的创设。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权利登记</w:t>
      </w:r>
      <w:r>
        <w:rPr>
          <w:rFonts w:eastAsia="等线" w:ascii="Arial" w:cs="Arial" w:hAnsi="Arial"/>
          <w:sz w:val="22"/>
        </w:rPr>
        <w:t>：依据《NAC原生资产主权规则法典》，在ACC-20资产合约中明确记录该资产享有的具体权利束（如：处置权、收益权、使用权、质押权）。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状态更新</w:t>
      </w:r>
      <w:r>
        <w:rPr>
          <w:rFonts w:eastAsia="等线" w:ascii="Arial" w:cs="Arial" w:hAnsi="Arial"/>
          <w:sz w:val="22"/>
        </w:rPr>
        <w:t>：资产状态更新为</w:t>
      </w:r>
      <w:r>
        <w:rPr>
          <w:rFonts w:eastAsia="Consolas" w:ascii="Consolas" w:cs="Consolas" w:hAnsi="Consolas"/>
          <w:sz w:val="22"/>
          <w:shd w:fill="EFF0F1"/>
        </w:rPr>
        <w:t>已确权</w:t>
      </w:r>
      <w:r>
        <w:rPr>
          <w:rFonts w:eastAsia="等线" w:ascii="Arial" w:cs="Arial" w:hAnsi="Arial"/>
          <w:sz w:val="22"/>
        </w:rPr>
        <w:t>。此记录同步至PostgreSQL（主权映射表）和OpenLDAP（权限目录）。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第六步：加密DNA生成与多组件注册</w:t>
      </w:r>
      <w:bookmarkEnd w:id="10"/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DNA生成</w:t>
      </w:r>
      <w:r>
        <w:rPr>
          <w:rFonts w:eastAsia="等线" w:ascii="Arial" w:cs="Arial" w:hAnsi="Arial"/>
          <w:sz w:val="22"/>
        </w:rPr>
        <w:t>：DNA引擎依据《加密DNA生成法则》，汇聚资产特征哈希、OwnerDID、GNACS编码、时间戳等信息，生成全球唯一的：</w:t>
        <w:br/>
        <w:t xml:space="preserve">        </w:t>
      </w:r>
    </w:p>
    <w:p>
      <w:pPr>
        <w:numPr>
          <w:numId w:val="6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Consolas" w:ascii="Consolas" w:cs="Consolas" w:hAnsi="Consolas"/>
          <w:sz w:val="22"/>
          <w:shd w:fill="EFF0F1"/>
        </w:rPr>
        <w:t>DNA_Hash</w:t>
      </w:r>
      <w:r>
        <w:rPr>
          <w:rFonts w:eastAsia="等线" w:ascii="Arial" w:cs="Arial" w:hAnsi="Arial"/>
          <w:sz w:val="22"/>
        </w:rPr>
        <w:t xml:space="preserve"> (32字节哈希)</w:t>
      </w:r>
    </w:p>
    <w:p>
      <w:pPr>
        <w:numPr>
          <w:numId w:val="6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Consolas" w:ascii="Consolas" w:cs="Consolas" w:hAnsi="Consolas"/>
          <w:sz w:val="22"/>
          <w:shd w:fill="EFF0F1"/>
        </w:rPr>
        <w:t>DNA_Code</w:t>
      </w:r>
      <w:r>
        <w:rPr>
          <w:rFonts w:eastAsia="等线" w:ascii="Arial" w:cs="Arial" w:hAnsi="Arial"/>
          <w:sz w:val="22"/>
        </w:rPr>
        <w:t xml:space="preserve"> (可读编码，如 </w:t>
      </w:r>
      <w:r>
        <w:rPr>
          <w:rFonts w:eastAsia="Consolas" w:ascii="Consolas" w:cs="Consolas" w:hAnsi="Consolas"/>
          <w:sz w:val="22"/>
          <w:shd w:fill="EFF0F1"/>
        </w:rPr>
        <w:t>PERSON.R10.BJ.2024.001A</w:t>
      </w:r>
      <w:r>
        <w:rPr>
          <w:rFonts w:eastAsia="等线" w:ascii="Arial" w:cs="Arial" w:hAnsi="Arial"/>
          <w:sz w:val="22"/>
        </w:rPr>
        <w:t>)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多组件注册</w:t>
      </w:r>
      <w:r>
        <w:rPr>
          <w:rFonts w:eastAsia="等线" w:ascii="Arial" w:cs="Arial" w:hAnsi="Arial"/>
          <w:sz w:val="22"/>
        </w:rPr>
        <w:t>：DNA及资产核心元数据通过</w:t>
      </w:r>
      <w:r>
        <w:rPr>
          <w:rFonts w:eastAsia="等线" w:ascii="Arial" w:cs="Arial" w:hAnsi="Arial"/>
          <w:b w:val="true"/>
          <w:sz w:val="22"/>
        </w:rPr>
        <w:t>数据同步引擎</w:t>
      </w:r>
      <w:r>
        <w:rPr>
          <w:rFonts w:eastAsia="等线" w:ascii="Arial" w:cs="Arial" w:hAnsi="Arial"/>
          <w:sz w:val="22"/>
        </w:rPr>
        <w:t>，原子性地写入四大存储组件：</w:t>
        <w:br/>
        <w:t xml:space="preserve">        </w:t>
      </w:r>
    </w:p>
    <w:p>
      <w:pPr>
        <w:numPr>
          <w:numId w:val="6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PostgreSQL</w:t>
      </w:r>
      <w:r>
        <w:rPr>
          <w:rFonts w:eastAsia="等线" w:ascii="Arial" w:cs="Arial" w:hAnsi="Arial"/>
          <w:sz w:val="22"/>
        </w:rPr>
        <w:t>：作为真理源，存储DNA核心映射关系。</w:t>
      </w:r>
    </w:p>
    <w:p>
      <w:pPr>
        <w:numPr>
          <w:numId w:val="6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MySQL</w:t>
      </w:r>
      <w:r>
        <w:rPr>
          <w:rFonts w:eastAsia="等线" w:ascii="Arial" w:cs="Arial" w:hAnsi="Arial"/>
          <w:sz w:val="22"/>
        </w:rPr>
        <w:t>：存储资产结构化配置与版本。</w:t>
      </w:r>
    </w:p>
    <w:p>
      <w:pPr>
        <w:numPr>
          <w:numId w:val="6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MongoDB</w:t>
      </w:r>
      <w:r>
        <w:rPr>
          <w:rFonts w:eastAsia="等线" w:ascii="Arial" w:cs="Arial" w:hAnsi="Arial"/>
          <w:sz w:val="22"/>
        </w:rPr>
        <w:t>：存储估值日志、审批流水等动态数据。</w:t>
      </w:r>
    </w:p>
    <w:p>
      <w:pPr>
        <w:numPr>
          <w:numId w:val="6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OpenLDAP</w:t>
      </w:r>
      <w:r>
        <w:rPr>
          <w:rFonts w:eastAsia="等线" w:ascii="Arial" w:cs="Arial" w:hAnsi="Arial"/>
          <w:sz w:val="22"/>
        </w:rPr>
        <w:t>：创建以DNA为核心的权限条目，关联OwnerDID和访问控制列表（ACL）。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DNA生效</w:t>
      </w:r>
      <w:r>
        <w:rPr>
          <w:rFonts w:eastAsia="等线" w:ascii="Arial" w:cs="Arial" w:hAnsi="Arial"/>
          <w:sz w:val="22"/>
        </w:rPr>
        <w:t>：DNA注册完成是资产在链上获得“数字存在”的法律技术标志。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第七步：第三方合规托管/存证</w:t>
      </w:r>
      <w:bookmarkEnd w:id="11"/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：依据资产类型和风险等级，强制要求进行第三方托管或存证：</w:t>
        <w:br/>
        <w:t xml:space="preserve">        </w:t>
      </w:r>
    </w:p>
    <w:p>
      <w:pPr>
        <w:numPr>
          <w:numId w:val="7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A类（实物高价值）</w:t>
      </w:r>
      <w:r>
        <w:rPr>
          <w:rFonts w:eastAsia="等线" w:ascii="Arial" w:cs="Arial" w:hAnsi="Arial"/>
          <w:sz w:val="22"/>
        </w:rPr>
        <w:t>：如房产、艺术品，必须物理托管于认证的、具备物联网监控的托管机构。</w:t>
      </w:r>
    </w:p>
    <w:p>
      <w:pPr>
        <w:numPr>
          <w:numId w:val="7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B类（金融债权）</w:t>
      </w:r>
      <w:r>
        <w:rPr>
          <w:rFonts w:eastAsia="等线" w:ascii="Arial" w:cs="Arial" w:hAnsi="Arial"/>
          <w:sz w:val="22"/>
        </w:rPr>
        <w:t>：如应收账款，法律文件必须托管于持牌托管机构。</w:t>
      </w:r>
    </w:p>
    <w:p>
      <w:pPr>
        <w:numPr>
          <w:numId w:val="7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C类（数字资产）</w:t>
      </w:r>
      <w:r>
        <w:rPr>
          <w:rFonts w:eastAsia="等线" w:ascii="Arial" w:cs="Arial" w:hAnsi="Arial"/>
          <w:sz w:val="22"/>
        </w:rPr>
        <w:t>：原始数字文件必须存证于去中心化存储网络（IPFS/Arweave）。</w:t>
      </w:r>
    </w:p>
    <w:p>
      <w:pPr>
        <w:numPr>
          <w:numId w:val="7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D类（标准化动产）</w:t>
      </w:r>
      <w:r>
        <w:rPr>
          <w:rFonts w:eastAsia="等线" w:ascii="Arial" w:cs="Arial" w:hAnsi="Arial"/>
          <w:sz w:val="22"/>
        </w:rPr>
        <w:t>：可存证于具备区块链对接能力的智能仓库。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链上记录</w:t>
      </w:r>
      <w:r>
        <w:rPr>
          <w:rFonts w:eastAsia="等线" w:ascii="Arial" w:cs="Arial" w:hAnsi="Arial"/>
          <w:sz w:val="22"/>
        </w:rPr>
        <w:t>：托管合同哈希、托管方DID、资产DNA、监控数据接入点等信息上链存证。托管状态同步更新。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第八步：XTZH铸造与分配</w:t>
      </w:r>
      <w:bookmarkEnd w:id="12"/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铸造计算</w:t>
      </w:r>
      <w:r>
        <w:rPr>
          <w:rFonts w:eastAsia="等线" w:ascii="Arial" w:cs="Arial" w:hAnsi="Arial"/>
          <w:sz w:val="22"/>
        </w:rPr>
        <w:t xml:space="preserve">：可铸造的XTZH数量 </w:t>
      </w:r>
      <w:r>
        <w:rPr>
          <w:rFonts w:eastAsia="Consolas" w:ascii="Consolas" w:cs="Consolas" w:hAnsi="Consolas"/>
          <w:sz w:val="22"/>
          <w:shd w:fill="EFF0F1"/>
        </w:rPr>
        <w:t>M_xtzh</w:t>
      </w:r>
      <w:r>
        <w:rPr>
          <w:rFonts w:eastAsia="等线" w:ascii="Arial" w:cs="Arial" w:hAnsi="Arial"/>
          <w:sz w:val="22"/>
        </w:rPr>
        <w:t xml:space="preserve"> 由以下公式确定：</w:t>
        <w:br/>
        <w:t xml:space="preserve">        </w:t>
      </w:r>
      <w:r>
        <w:rPr>
          <w:rFonts w:eastAsia="Consolas" w:ascii="Consolas" w:cs="Consolas" w:hAnsi="Consolas"/>
          <w:sz w:val="22"/>
          <w:shd w:fill="EFF0F1"/>
        </w:rPr>
        <w:t>M_xtzh = V_xtzh * L</w:t>
      </w:r>
      <w:r>
        <w:rPr>
          <w:rFonts w:eastAsia="等线" w:ascii="Arial" w:cs="Arial" w:hAnsi="Arial"/>
          <w:sz w:val="22"/>
        </w:rPr>
        <w:t>其中，</w:t>
      </w:r>
      <w:r>
        <w:rPr>
          <w:rFonts w:eastAsia="Consolas" w:ascii="Consolas" w:cs="Consolas" w:hAnsi="Consolas"/>
          <w:sz w:val="22"/>
          <w:shd w:fill="EFF0F1"/>
        </w:rPr>
        <w:t>L</w:t>
      </w:r>
      <w:r>
        <w:rPr>
          <w:rFonts w:eastAsia="等线" w:ascii="Arial" w:cs="Arial" w:hAnsi="Arial"/>
          <w:sz w:val="22"/>
        </w:rPr>
        <w:t xml:space="preserve"> 为动态质押率，根据资产GNACS风险权重、市场流动性、估值置信度等因素动态计算（范围30%-90%），具体见《XTZH铸造与跨链质押细则法典》。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铸造执行</w:t>
      </w:r>
      <w:r>
        <w:rPr>
          <w:rFonts w:eastAsia="等线" w:ascii="Arial" w:cs="Arial" w:hAnsi="Arial"/>
          <w:sz w:val="22"/>
        </w:rPr>
        <w:t xml:space="preserve">：ACC-20协议自动铸造 </w:t>
      </w:r>
      <w:r>
        <w:rPr>
          <w:rFonts w:eastAsia="Consolas" w:ascii="Consolas" w:cs="Consolas" w:hAnsi="Consolas"/>
          <w:sz w:val="22"/>
          <w:shd w:fill="EFF0F1"/>
        </w:rPr>
        <w:t>M_xtzh</w:t>
      </w:r>
      <w:r>
        <w:rPr>
          <w:rFonts w:eastAsia="等线" w:ascii="Arial" w:cs="Arial" w:hAnsi="Arial"/>
          <w:sz w:val="22"/>
        </w:rPr>
        <w:t xml:space="preserve"> 数量的XTZH。铸造记录包含：关联的DNA_Hash、估值报告哈希、铸造数量、时间戳。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资产分配</w:t>
      </w:r>
      <w:r>
        <w:rPr>
          <w:rFonts w:eastAsia="等线" w:ascii="Arial" w:cs="Arial" w:hAnsi="Arial"/>
          <w:sz w:val="22"/>
        </w:rPr>
        <w:t>：铸造的XTZH自动转入</w:t>
      </w:r>
      <w:r>
        <w:rPr>
          <w:rFonts w:eastAsia="等线" w:ascii="Arial" w:cs="Arial" w:hAnsi="Arial"/>
          <w:b w:val="true"/>
          <w:sz w:val="22"/>
        </w:rPr>
        <w:t>OwnerDID</w:t>
      </w:r>
      <w:r>
        <w:rPr>
          <w:rFonts w:eastAsia="等线" w:ascii="Arial" w:cs="Arial" w:hAnsi="Arial"/>
          <w:sz w:val="22"/>
        </w:rPr>
        <w:t>对应的地址。资产合约中</w:t>
      </w:r>
      <w:r>
        <w:rPr>
          <w:rFonts w:eastAsia="Consolas" w:ascii="Consolas" w:cs="Consolas" w:hAnsi="Consolas"/>
          <w:sz w:val="22"/>
          <w:shd w:fill="EFF0F1"/>
        </w:rPr>
        <w:t>AppraisedValue</w:t>
      </w:r>
      <w:r>
        <w:rPr>
          <w:rFonts w:eastAsia="等线" w:ascii="Arial" w:cs="Arial" w:hAnsi="Arial"/>
          <w:sz w:val="22"/>
        </w:rPr>
        <w:t xml:space="preserve">字段更新为 </w:t>
      </w:r>
      <w:r>
        <w:rPr>
          <w:rFonts w:eastAsia="Consolas" w:ascii="Consolas" w:cs="Consolas" w:hAnsi="Consolas"/>
          <w:sz w:val="22"/>
          <w:shd w:fill="EFF0F1"/>
        </w:rPr>
        <w:t>V_xtzh</w:t>
      </w:r>
      <w:r>
        <w:rPr>
          <w:rFonts w:eastAsia="等线" w:ascii="Arial" w:cs="Arial" w:hAnsi="Arial"/>
          <w:sz w:val="22"/>
        </w:rPr>
        <w:t>，</w:t>
      </w:r>
      <w:r>
        <w:rPr>
          <w:rFonts w:eastAsia="Consolas" w:ascii="Consolas" w:cs="Consolas" w:hAnsi="Consolas"/>
          <w:sz w:val="22"/>
          <w:shd w:fill="EFF0F1"/>
        </w:rPr>
        <w:t>MaxPawnAmount</w:t>
      </w:r>
      <w:r>
        <w:rPr>
          <w:rFonts w:eastAsia="等线" w:ascii="Arial" w:cs="Arial" w:hAnsi="Arial"/>
          <w:sz w:val="22"/>
        </w:rPr>
        <w:t xml:space="preserve">字段更新为 </w:t>
      </w:r>
      <w:r>
        <w:rPr>
          <w:rFonts w:eastAsia="Consolas" w:ascii="Consolas" w:cs="Consolas" w:hAnsi="Consolas"/>
          <w:sz w:val="22"/>
          <w:shd w:fill="EFF0F1"/>
        </w:rPr>
        <w:t>M_xtzh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第九步：黄金永续合约储备联动</w:t>
      </w:r>
      <w:bookmarkEnd w:id="13"/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储备计算</w:t>
      </w:r>
      <w:r>
        <w:rPr>
          <w:rFonts w:eastAsia="等线" w:ascii="Arial" w:cs="Arial" w:hAnsi="Arial"/>
          <w:sz w:val="22"/>
        </w:rPr>
        <w:t>：在XTZH铸造完成的同一区块内，储备管理系统自动计算需建立的黄金合约储备价值：</w:t>
        <w:br/>
        <w:t xml:space="preserve">        </w:t>
      </w:r>
      <w:r>
        <w:rPr>
          <w:rFonts w:eastAsia="Consolas" w:ascii="Consolas" w:cs="Consolas" w:hAnsi="Consolas"/>
          <w:sz w:val="22"/>
          <w:shd w:fill="EFF0F1"/>
        </w:rPr>
        <w:t>G_value_usd = M_xtzh * P_xtzh_usd * 1.25</w:t>
      </w:r>
      <w:r>
        <w:rPr>
          <w:rFonts w:eastAsia="等线" w:ascii="Arial" w:cs="Arial" w:hAnsi="Arial"/>
          <w:sz w:val="22"/>
        </w:rPr>
        <w:t>其中，</w:t>
      </w:r>
      <w:r>
        <w:rPr>
          <w:rFonts w:eastAsia="Consolas" w:ascii="Consolas" w:cs="Consolas" w:hAnsi="Consolas"/>
          <w:sz w:val="22"/>
          <w:shd w:fill="EFF0F1"/>
        </w:rPr>
        <w:t>P_xtzh_usd</w:t>
      </w:r>
      <w:r>
        <w:rPr>
          <w:rFonts w:eastAsia="等线" w:ascii="Arial" w:cs="Arial" w:hAnsi="Arial"/>
          <w:sz w:val="22"/>
        </w:rPr>
        <w:t>为铸造发生时XTZH对美元的实时价格。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储备执行</w:t>
      </w:r>
      <w:r>
        <w:rPr>
          <w:rFonts w:eastAsia="等线" w:ascii="Arial" w:cs="Arial" w:hAnsi="Arial"/>
          <w:sz w:val="22"/>
        </w:rPr>
        <w:t xml:space="preserve">：通过智能合约指令，在预设的合格交易所（如CME）开立价值为 </w:t>
      </w:r>
      <w:r>
        <w:rPr>
          <w:rFonts w:eastAsia="Consolas" w:ascii="Consolas" w:cs="Consolas" w:hAnsi="Consolas"/>
          <w:sz w:val="22"/>
          <w:shd w:fill="EFF0F1"/>
        </w:rPr>
        <w:t>G_value_usd</w:t>
      </w:r>
      <w:r>
        <w:rPr>
          <w:rFonts w:eastAsia="等线" w:ascii="Arial" w:cs="Arial" w:hAnsi="Arial"/>
          <w:sz w:val="22"/>
        </w:rPr>
        <w:t xml:space="preserve"> 的黄金永续合约多头头寸。开仓详情（交易所、合约代码、数量、价格）上链。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覆盖监控</w:t>
      </w:r>
      <w:r>
        <w:rPr>
          <w:rFonts w:eastAsia="等线" w:ascii="Arial" w:cs="Arial" w:hAnsi="Arial"/>
          <w:sz w:val="22"/>
        </w:rPr>
        <w:t>：系统实时监控</w:t>
      </w:r>
      <w:r>
        <w:rPr>
          <w:rFonts w:eastAsia="等线" w:ascii="Arial" w:cs="Arial" w:hAnsi="Arial"/>
          <w:b w:val="true"/>
          <w:sz w:val="22"/>
        </w:rPr>
        <w:t>黄金储备覆盖率</w:t>
      </w:r>
      <w:r>
        <w:rPr>
          <w:rFonts w:eastAsia="等线" w:ascii="Arial" w:cs="Arial" w:hAnsi="Arial"/>
          <w:sz w:val="22"/>
        </w:rPr>
        <w:t>（GCR = 黄金储备市值 / XTZH总流通市值），确保始终 ≥ 1.0，目标区间1.0-1.1。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第十步：链上资产凭证化</w:t>
      </w:r>
      <w:bookmarkEnd w:id="14"/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凭证生成</w:t>
      </w:r>
      <w:r>
        <w:rPr>
          <w:rFonts w:eastAsia="等线" w:ascii="Arial" w:cs="Arial" w:hAnsi="Arial"/>
          <w:sz w:val="22"/>
        </w:rPr>
        <w:t>：系统自动生成代表该资产完整数字主权的</w:t>
      </w:r>
      <w:r>
        <w:rPr>
          <w:rFonts w:eastAsia="等线" w:ascii="Arial" w:cs="Arial" w:hAnsi="Arial"/>
          <w:b w:val="true"/>
          <w:sz w:val="22"/>
        </w:rPr>
        <w:t>原生资产凭证</w:t>
      </w:r>
      <w:r>
        <w:rPr>
          <w:rFonts w:eastAsia="等线" w:ascii="Arial" w:cs="Arial" w:hAnsi="Arial"/>
          <w:sz w:val="22"/>
        </w:rPr>
        <w:t>。此凭证非ERC-721，而是遵循ACC-20协议内嵌标准的数字权证。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凭证内容</w:t>
      </w:r>
      <w:r>
        <w:rPr>
          <w:rFonts w:eastAsia="等线" w:ascii="Arial" w:cs="Arial" w:hAnsi="Arial"/>
          <w:sz w:val="22"/>
        </w:rPr>
        <w:t>：包含DNA_Hash、DNA_Code、OwnerDID、</w:t>
      </w:r>
      <w:r>
        <w:rPr>
          <w:rFonts w:eastAsia="Consolas" w:ascii="Consolas" w:cs="Consolas" w:hAnsi="Consolas"/>
          <w:sz w:val="22"/>
          <w:shd w:fill="EFF0F1"/>
        </w:rPr>
        <w:t>V_xtzh</w:t>
      </w:r>
      <w:r>
        <w:rPr>
          <w:rFonts w:eastAsia="等线" w:ascii="Arial" w:cs="Arial" w:hAnsi="Arial"/>
          <w:sz w:val="22"/>
        </w:rPr>
        <w:t>、权利束、托管信息、XTZH铸造记录等核心信息的密码学摘要。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凭证发放</w:t>
      </w:r>
      <w:r>
        <w:rPr>
          <w:rFonts w:eastAsia="等线" w:ascii="Arial" w:cs="Arial" w:hAnsi="Arial"/>
          <w:sz w:val="22"/>
        </w:rPr>
        <w:t>：该凭证可被所有者钱包加载和展示，作为资产所有权的直观证明，并可用于某些特定场景的权限验证（如展示性访问）。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第十一步：资产衍生与碎片化（可选）</w:t>
      </w:r>
      <w:bookmarkEnd w:id="15"/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申请</w:t>
      </w:r>
      <w:r>
        <w:rPr>
          <w:rFonts w:eastAsia="等线" w:ascii="Arial" w:cs="Arial" w:hAnsi="Arial"/>
          <w:sz w:val="22"/>
        </w:rPr>
        <w:t>：所有者可基于已上链的完整资产，申请进行权益碎片化（如发行REITs、ABS）。</w:t>
      </w:r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合规与审批</w:t>
      </w:r>
      <w:r>
        <w:rPr>
          <w:rFonts w:eastAsia="等线" w:ascii="Arial" w:cs="Arial" w:hAnsi="Arial"/>
          <w:sz w:val="22"/>
        </w:rPr>
        <w:t>：碎片化方案需重新经过简化的AI合规与审批，确保符合证券法规。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执行</w:t>
      </w:r>
      <w:r>
        <w:rPr>
          <w:rFonts w:eastAsia="等线" w:ascii="Arial" w:cs="Arial" w:hAnsi="Arial"/>
          <w:sz w:val="22"/>
        </w:rPr>
        <w:t>：通过智能合约将资产权益拆分为均等或不同等级的份额。每一份额生成子DNA（与父DNA关联），并发行对应的</w:t>
      </w:r>
      <w:r>
        <w:rPr>
          <w:rFonts w:eastAsia="等线" w:ascii="Arial" w:cs="Arial" w:hAnsi="Arial"/>
          <w:b w:val="true"/>
          <w:sz w:val="22"/>
        </w:rPr>
        <w:t>权益代币</w:t>
      </w:r>
      <w:r>
        <w:rPr>
          <w:rFonts w:eastAsia="等线" w:ascii="Arial" w:cs="Arial" w:hAnsi="Arial"/>
          <w:sz w:val="22"/>
        </w:rPr>
        <w:t>（遵循ACC-20协议扩展标准）。碎片化不创造新的XTZH，而是分割资产的收益与处置权。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第十二步：资产信息公示与浏览器集成</w:t>
      </w:r>
      <w:bookmarkEnd w:id="16"/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仪表板公示</w:t>
      </w:r>
      <w:r>
        <w:rPr>
          <w:rFonts w:eastAsia="等线" w:ascii="Arial" w:cs="Arial" w:hAnsi="Arial"/>
          <w:sz w:val="22"/>
        </w:rPr>
        <w:t>：资产的非敏感核心信息（DNA_Code匿名化、资产大类、估值范围、合规评级）在公共透明度仪表板展示。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浏览器可查</w:t>
      </w:r>
      <w:r>
        <w:rPr>
          <w:rFonts w:eastAsia="等线" w:ascii="Arial" w:cs="Arial" w:hAnsi="Arial"/>
          <w:sz w:val="22"/>
        </w:rPr>
        <w:t>：通过官方区块链浏览器，可依据DNA_Code或OwnerDID（经授权）查询资产上链全流程的关键节点哈希、状态变迁、XTZH铸造与储备记录。</w:t>
      </w:r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审计接口</w:t>
      </w:r>
      <w:r>
        <w:rPr>
          <w:rFonts w:eastAsia="等线" w:ascii="Arial" w:cs="Arial" w:hAnsi="Arial"/>
          <w:sz w:val="22"/>
        </w:rPr>
        <w:t>：为监管机构和授权审计方提供标准API，通过数字签名验证权限后，可查询更深层的合规报告与交易流水。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第十三步：进入流通与持续监控</w:t>
      </w:r>
      <w:bookmarkEnd w:id="17"/>
    </w:p>
    <w:p>
      <w:pPr>
        <w:numPr>
          <w:numId w:val="9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交易许可</w:t>
      </w:r>
      <w:r>
        <w:rPr>
          <w:rFonts w:eastAsia="等线" w:ascii="Arial" w:cs="Arial" w:hAnsi="Arial"/>
          <w:sz w:val="22"/>
        </w:rPr>
        <w:t>：完成上述所有步骤的资产，其对应的XTZH及衍生权益代币可在接入NAC的合规去中心化交易所（DEX）或中心化交易所（CEX）上线交易。</w:t>
      </w:r>
    </w:p>
    <w:p>
      <w:pPr>
        <w:numPr>
          <w:numId w:val="9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持续监控</w:t>
      </w:r>
      <w:r>
        <w:rPr>
          <w:rFonts w:eastAsia="等线" w:ascii="Arial" w:cs="Arial" w:hAnsi="Arial"/>
          <w:sz w:val="22"/>
        </w:rPr>
        <w:t>：资产进入持续监控周期：</w:t>
        <w:br/>
        <w:t xml:space="preserve">        </w:t>
      </w:r>
    </w:p>
    <w:p>
      <w:pPr>
        <w:numPr>
          <w:numId w:val="9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合规状态监控</w:t>
      </w:r>
      <w:r>
        <w:rPr>
          <w:rFonts w:eastAsia="等线" w:ascii="Arial" w:cs="Arial" w:hAnsi="Arial"/>
          <w:sz w:val="22"/>
        </w:rPr>
        <w:t>：AI合规引擎定期（每日/每月）重检资产合规掩码。</w:t>
      </w:r>
    </w:p>
    <w:p>
      <w:pPr>
        <w:numPr>
          <w:numId w:val="9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价值重估</w:t>
      </w:r>
      <w:r>
        <w:rPr>
          <w:rFonts w:eastAsia="等线" w:ascii="Arial" w:cs="Arial" w:hAnsi="Arial"/>
          <w:sz w:val="22"/>
        </w:rPr>
        <w:t xml:space="preserve">：根据资产类型，定期（每季/每年）或由事件（市场剧烈波动）触发AI重估，更新 </w:t>
      </w:r>
      <w:r>
        <w:rPr>
          <w:rFonts w:eastAsia="Consolas" w:ascii="Consolas" w:cs="Consolas" w:hAnsi="Consolas"/>
          <w:sz w:val="22"/>
          <w:shd w:fill="EFF0F1"/>
        </w:rPr>
        <w:t>V_xtzh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9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储备再平衡</w:t>
      </w:r>
      <w:r>
        <w:rPr>
          <w:rFonts w:eastAsia="等线" w:ascii="Arial" w:cs="Arial" w:hAnsi="Arial"/>
          <w:sz w:val="22"/>
        </w:rPr>
        <w:t>：每日根据GCR进行黄金持仓的微调。</w:t>
      </w:r>
    </w:p>
    <w:p>
      <w:pPr>
        <w:numPr>
          <w:numId w:val="9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风险预警</w:t>
      </w:r>
      <w:r>
        <w:rPr>
          <w:rFonts w:eastAsia="等线" w:ascii="Arial" w:cs="Arial" w:hAnsi="Arial"/>
          <w:sz w:val="22"/>
        </w:rPr>
        <w:t>：对质押率、健康因子、流动性指标进行实时监控，触发预警或清算。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第二章：分则一 —— 私人资产上链特别规定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第一条 适用范围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本章适用于所有权归属于</w:t>
      </w:r>
      <w:r>
        <w:rPr>
          <w:rFonts w:eastAsia="等线" w:ascii="Arial" w:cs="Arial" w:hAnsi="Arial"/>
          <w:b w:val="true"/>
          <w:sz w:val="22"/>
        </w:rPr>
        <w:t>自然人</w:t>
      </w:r>
      <w:r>
        <w:rPr>
          <w:rFonts w:eastAsia="等线" w:ascii="Arial" w:cs="Arial" w:hAnsi="Arial"/>
          <w:sz w:val="22"/>
        </w:rPr>
        <w:t>（以个人DID标识）的所有资产。核心是平衡</w:t>
      </w:r>
      <w:r>
        <w:rPr>
          <w:rFonts w:eastAsia="等线" w:ascii="Arial" w:cs="Arial" w:hAnsi="Arial"/>
          <w:b w:val="true"/>
          <w:sz w:val="22"/>
        </w:rPr>
        <w:t>用户友好性、强身份验证与个人隐私保护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第二条 通用流程调整</w:t>
      </w:r>
      <w:bookmarkEnd w:id="20"/>
    </w:p>
    <w:p>
      <w:pPr>
        <w:numPr>
          <w:numId w:val="9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申请入口</w:t>
      </w:r>
      <w:r>
        <w:rPr>
          <w:rFonts w:eastAsia="等线" w:ascii="Arial" w:cs="Arial" w:hAnsi="Arial"/>
          <w:sz w:val="22"/>
        </w:rPr>
        <w:t>：提供高度简化的移动端DApp引导式申请界面。</w:t>
      </w:r>
    </w:p>
    <w:p>
      <w:pPr>
        <w:numPr>
          <w:numId w:val="9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KYC强化</w:t>
      </w:r>
      <w:r>
        <w:rPr>
          <w:rFonts w:eastAsia="等线" w:ascii="Arial" w:cs="Arial" w:hAnsi="Arial"/>
          <w:sz w:val="22"/>
        </w:rPr>
        <w:t>：个人DID的KYC等级必须达到</w:t>
      </w:r>
      <w:r>
        <w:rPr>
          <w:rFonts w:eastAsia="等线" w:ascii="Arial" w:cs="Arial" w:hAnsi="Arial"/>
          <w:b w:val="true"/>
          <w:sz w:val="22"/>
        </w:rPr>
        <w:t>二级（强化KYC）</w:t>
      </w:r>
      <w:r>
        <w:rPr>
          <w:rFonts w:eastAsia="等线" w:ascii="Arial" w:cs="Arial" w:hAnsi="Arial"/>
          <w:sz w:val="22"/>
        </w:rPr>
        <w:t>以上，需关联官方身份证明、生物特征（可选）及居住证明。</w:t>
      </w:r>
    </w:p>
    <w:p>
      <w:pPr>
        <w:numPr>
          <w:numId w:val="9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隐私保护</w:t>
      </w:r>
      <w:r>
        <w:rPr>
          <w:rFonts w:eastAsia="等线" w:ascii="Arial" w:cs="Arial" w:hAnsi="Arial"/>
          <w:sz w:val="22"/>
        </w:rPr>
        <w:t>：在公共仪表板及浏览器中，个人资产的DNA_Code及OwnerDID进行强匿名化处理（如显示为</w:t>
      </w:r>
      <w:r>
        <w:rPr>
          <w:rFonts w:eastAsia="Consolas" w:ascii="Consolas" w:cs="Consolas" w:hAnsi="Consolas"/>
          <w:sz w:val="22"/>
          <w:shd w:fill="EFF0F1"/>
        </w:rPr>
        <w:t>P****.R10.***.****</w:t>
      </w:r>
      <w:r>
        <w:rPr>
          <w:rFonts w:eastAsia="等线" w:ascii="Arial" w:cs="Arial" w:hAnsi="Arial"/>
          <w:sz w:val="22"/>
        </w:rPr>
        <w:t>）。</w:t>
      </w:r>
    </w:p>
    <w:p>
      <w:pPr>
        <w:numPr>
          <w:numId w:val="9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能耗优惠</w:t>
      </w:r>
      <w:r>
        <w:rPr>
          <w:rFonts w:eastAsia="等线" w:ascii="Arial" w:cs="Arial" w:hAnsi="Arial"/>
          <w:sz w:val="22"/>
        </w:rPr>
        <w:t>：首次上链的个人用户，享受首笔业务XIC能耗费用</w:t>
      </w:r>
      <w:r>
        <w:rPr>
          <w:rFonts w:eastAsia="等线" w:ascii="Arial" w:cs="Arial" w:hAnsi="Arial"/>
          <w:b w:val="true"/>
          <w:sz w:val="22"/>
        </w:rPr>
        <w:t>50%</w:t>
      </w:r>
      <w:r>
        <w:rPr>
          <w:rFonts w:eastAsia="等线" w:ascii="Arial" w:cs="Arial" w:hAnsi="Arial"/>
          <w:sz w:val="22"/>
        </w:rPr>
        <w:t>的减免。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第三条 分类资产细则</w:t>
      </w:r>
      <w:bookmarkEnd w:id="21"/>
    </w:p>
    <w:p>
      <w:pPr>
        <w:numPr>
          <w:numId w:val="10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私人不动产（GNACS大类：R，如R10住宅）</w:t>
      </w:r>
    </w:p>
    <w:p>
      <w:pPr>
        <w:numPr>
          <w:numId w:val="10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申请材料</w:t>
      </w:r>
      <w:r>
        <w:rPr>
          <w:rFonts w:eastAsia="等线" w:ascii="Arial" w:cs="Arial" w:hAnsi="Arial"/>
          <w:sz w:val="22"/>
        </w:rPr>
        <w:t>：产权证、身份证、房屋测绘报告/3D扫描、近期完税证明。</w:t>
      </w:r>
    </w:p>
    <w:p>
      <w:pPr>
        <w:numPr>
          <w:numId w:val="10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合规重点</w:t>
      </w:r>
      <w:r>
        <w:rPr>
          <w:rFonts w:eastAsia="等线" w:ascii="Arial" w:cs="Arial" w:hAnsi="Arial"/>
          <w:sz w:val="22"/>
        </w:rPr>
        <w:t>：层1（产权验真）、层2（抵押查封核查）、层5（建筑能效评估）。</w:t>
      </w:r>
    </w:p>
    <w:p>
      <w:pPr>
        <w:numPr>
          <w:numId w:val="10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审批路径</w:t>
      </w:r>
      <w:r>
        <w:rPr>
          <w:rFonts w:eastAsia="等线" w:ascii="Arial" w:cs="Arial" w:hAnsi="Arial"/>
          <w:sz w:val="22"/>
        </w:rPr>
        <w:t>：标准通道。若产权历史复杂或涉及多继承人，升格至加强通道。</w:t>
      </w:r>
    </w:p>
    <w:p>
      <w:pPr>
        <w:numPr>
          <w:numId w:val="10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估值模型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市场比较法</w:t>
      </w:r>
      <w:r>
        <w:rPr>
          <w:rFonts w:eastAsia="等线" w:ascii="Arial" w:cs="Arial" w:hAnsi="Arial"/>
          <w:sz w:val="22"/>
        </w:rPr>
        <w:t>为主（接入当地房产平台数据），</w:t>
      </w:r>
      <w:r>
        <w:rPr>
          <w:rFonts w:eastAsia="等线" w:ascii="Arial" w:cs="Arial" w:hAnsi="Arial"/>
          <w:b w:val="true"/>
          <w:sz w:val="22"/>
        </w:rPr>
        <w:t>收益法</w:t>
      </w:r>
      <w:r>
        <w:rPr>
          <w:rFonts w:eastAsia="等线" w:ascii="Arial" w:cs="Arial" w:hAnsi="Arial"/>
          <w:sz w:val="22"/>
        </w:rPr>
        <w:t>（租金）为辅。AI重点抓取小区成交均价、学区、交通等微观因子。</w:t>
      </w:r>
    </w:p>
    <w:p>
      <w:pPr>
        <w:numPr>
          <w:numId w:val="10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：C类存证。产权证复印件由系统合作的法律存证机构进行数字存档。</w:t>
      </w:r>
    </w:p>
    <w:p>
      <w:pPr>
        <w:numPr>
          <w:numId w:val="10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衍生化</w:t>
      </w:r>
      <w:r>
        <w:rPr>
          <w:rFonts w:eastAsia="等线" w:ascii="Arial" w:cs="Arial" w:hAnsi="Arial"/>
          <w:sz w:val="22"/>
        </w:rPr>
        <w:t>：支持碎片化为“住宅收益权”代币，但单资产持有者不得超过200人（遵循小额豁免规定）。</w:t>
      </w:r>
    </w:p>
    <w:p>
      <w:pPr>
        <w:numPr>
          <w:numId w:val="10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私人动产-收藏品（GNACS大类：V/C，如V20绘画、C10名表）</w:t>
      </w:r>
    </w:p>
    <w:p>
      <w:pPr>
        <w:numPr>
          <w:numId w:val="10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申请材料</w:t>
      </w:r>
      <w:r>
        <w:rPr>
          <w:rFonts w:eastAsia="等线" w:ascii="Arial" w:cs="Arial" w:hAnsi="Arial"/>
          <w:sz w:val="22"/>
        </w:rPr>
        <w:t>：藏品多角度高清影像/视频、红外/紫外检测报告、权威鉴定证书、流转记录、购买凭证。</w:t>
      </w:r>
    </w:p>
    <w:p>
      <w:pPr>
        <w:numPr>
          <w:numId w:val="10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合规重点</w:t>
      </w:r>
      <w:r>
        <w:rPr>
          <w:rFonts w:eastAsia="等线" w:ascii="Arial" w:cs="Arial" w:hAnsi="Arial"/>
          <w:sz w:val="22"/>
        </w:rPr>
        <w:t>：层1（真伪鉴定）、层2（来源合法性，严查赃物）、层5（文化遗产伦理）。</w:t>
      </w:r>
    </w:p>
    <w:p>
      <w:pPr>
        <w:numPr>
          <w:numId w:val="11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审批路径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加强通道</w:t>
      </w:r>
      <w:r>
        <w:rPr>
          <w:rFonts w:eastAsia="等线" w:ascii="Arial" w:cs="Arial" w:hAnsi="Arial"/>
          <w:sz w:val="22"/>
        </w:rPr>
        <w:t>。强制接入“AI+领域专家数据库”进行交叉鉴定。</w:t>
      </w:r>
    </w:p>
    <w:p>
      <w:pPr>
        <w:numPr>
          <w:numId w:val="1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估值模型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市场法</w:t>
      </w:r>
      <w:r>
        <w:rPr>
          <w:rFonts w:eastAsia="等线" w:ascii="Arial" w:cs="Arial" w:hAnsi="Arial"/>
          <w:sz w:val="22"/>
        </w:rPr>
        <w:t>。AI分析同类藏品拍卖历史、艺术家指数、市场热度趋势、专家评分。</w:t>
      </w:r>
    </w:p>
    <w:p>
      <w:pPr>
        <w:numPr>
          <w:numId w:val="11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A类物理托管</w:t>
      </w:r>
      <w:r>
        <w:rPr>
          <w:rFonts w:eastAsia="等线" w:ascii="Arial" w:cs="Arial" w:hAnsi="Arial"/>
          <w:sz w:val="22"/>
        </w:rPr>
        <w:t>。必须存入经认证的、具备7x24小时物联网监控（温湿度、震动、影像）的专业收藏品金库。</w:t>
      </w:r>
    </w:p>
    <w:p>
      <w:pPr>
        <w:numPr>
          <w:numId w:val="11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衍生化</w:t>
      </w:r>
      <w:r>
        <w:rPr>
          <w:rFonts w:eastAsia="等线" w:ascii="Arial" w:cs="Arial" w:hAnsi="Arial"/>
          <w:sz w:val="22"/>
        </w:rPr>
        <w:t>：高价值藏品可碎片化为“收藏权益份额”，用于共同保管、展览权投票等。</w:t>
      </w:r>
    </w:p>
    <w:p>
      <w:pPr>
        <w:numPr>
          <w:numId w:val="1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私人数字创作（GNACS：990107 数字艺术品）</w:t>
      </w:r>
    </w:p>
    <w:p>
      <w:pPr>
        <w:numPr>
          <w:numId w:val="11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申请材料</w:t>
      </w:r>
      <w:r>
        <w:rPr>
          <w:rFonts w:eastAsia="等线" w:ascii="Arial" w:cs="Arial" w:hAnsi="Arial"/>
          <w:sz w:val="22"/>
        </w:rPr>
        <w:t>：原始数字文件、创作过程日志（Git记录）、创作者签名声明、DID。</w:t>
      </w:r>
    </w:p>
    <w:p>
      <w:pPr>
        <w:numPr>
          <w:numId w:val="1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合规重点</w:t>
      </w:r>
      <w:r>
        <w:rPr>
          <w:rFonts w:eastAsia="等线" w:ascii="Arial" w:cs="Arial" w:hAnsi="Arial"/>
          <w:sz w:val="22"/>
        </w:rPr>
        <w:t>：层4（原创性验证，查重）、层5（内容合规，不含违法信息）。</w:t>
      </w:r>
    </w:p>
    <w:p>
      <w:pPr>
        <w:numPr>
          <w:numId w:val="11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审批路径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快速通道</w:t>
      </w:r>
      <w:r>
        <w:rPr>
          <w:rFonts w:eastAsia="等线" w:ascii="Arial" w:cs="Arial" w:hAnsi="Arial"/>
          <w:sz w:val="22"/>
        </w:rPr>
        <w:t>。AI自动完成版权验证与内容审核。</w:t>
      </w:r>
    </w:p>
    <w:p>
      <w:pPr>
        <w:numPr>
          <w:numId w:val="1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估值模型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市场法</w:t>
      </w:r>
      <w:r>
        <w:rPr>
          <w:rFonts w:eastAsia="等线" w:ascii="Arial" w:cs="Arial" w:hAnsi="Arial"/>
          <w:sz w:val="22"/>
        </w:rPr>
        <w:t xml:space="preserve">（创作者历史成交数据） + </w:t>
      </w:r>
      <w:r>
        <w:rPr>
          <w:rFonts w:eastAsia="等线" w:ascii="Arial" w:cs="Arial" w:hAnsi="Arial"/>
          <w:b w:val="true"/>
          <w:sz w:val="22"/>
        </w:rPr>
        <w:t>收益法</w:t>
      </w:r>
      <w:r>
        <w:rPr>
          <w:rFonts w:eastAsia="等线" w:ascii="Arial" w:cs="Arial" w:hAnsi="Arial"/>
          <w:sz w:val="22"/>
        </w:rPr>
        <w:t>（未来版税流预测）。引入社群影响力因子。</w:t>
      </w:r>
    </w:p>
    <w:p>
      <w:pPr>
        <w:numPr>
          <w:numId w:val="1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：C类存证。原始文件存入IPFS，创作者保留私钥。</w:t>
      </w:r>
    </w:p>
    <w:p>
      <w:pPr>
        <w:numPr>
          <w:numId w:val="12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衍生化</w:t>
      </w:r>
      <w:r>
        <w:rPr>
          <w:rFonts w:eastAsia="等线" w:ascii="Arial" w:cs="Arial" w:hAnsi="Arial"/>
          <w:sz w:val="22"/>
        </w:rPr>
        <w:t>：天然支持作为NFT交易，并可嵌入智能合约实现自动化版税分成。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第三章：分则二 —— 企业资产上链特别规定</w:t>
      </w:r>
      <w:bookmarkEnd w:id="2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第一条 适用范围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本章适用于所有权归属于</w:t>
      </w:r>
      <w:r>
        <w:rPr>
          <w:rFonts w:eastAsia="等线" w:ascii="Arial" w:cs="Arial" w:hAnsi="Arial"/>
          <w:b w:val="true"/>
          <w:sz w:val="22"/>
        </w:rPr>
        <w:t>法人实体</w:t>
      </w:r>
      <w:r>
        <w:rPr>
          <w:rFonts w:eastAsia="等线" w:ascii="Arial" w:cs="Arial" w:hAnsi="Arial"/>
          <w:sz w:val="22"/>
        </w:rPr>
        <w:t>（公司、合伙企业、非营利组织等，以企业DID标识）的资产。核心是</w:t>
      </w:r>
      <w:r>
        <w:rPr>
          <w:rFonts w:eastAsia="等线" w:ascii="Arial" w:cs="Arial" w:hAnsi="Arial"/>
          <w:b w:val="true"/>
          <w:sz w:val="22"/>
        </w:rPr>
        <w:t>合规复杂性、审计追溯性与公司治理衔接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第二条 通用流程调整</w:t>
      </w:r>
      <w:bookmarkEnd w:id="24"/>
    </w:p>
    <w:p>
      <w:pPr>
        <w:numPr>
          <w:numId w:val="1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申请主体</w:t>
      </w:r>
      <w:r>
        <w:rPr>
          <w:rFonts w:eastAsia="等线" w:ascii="Arial" w:cs="Arial" w:hAnsi="Arial"/>
          <w:sz w:val="22"/>
        </w:rPr>
        <w:t>：必须使用已完成</w:t>
      </w:r>
      <w:r>
        <w:rPr>
          <w:rFonts w:eastAsia="等线" w:ascii="Arial" w:cs="Arial" w:hAnsi="Arial"/>
          <w:b w:val="true"/>
          <w:sz w:val="22"/>
        </w:rPr>
        <w:t>机构级KYC</w:t>
      </w:r>
      <w:r>
        <w:rPr>
          <w:rFonts w:eastAsia="等线" w:ascii="Arial" w:cs="Arial" w:hAnsi="Arial"/>
          <w:sz w:val="22"/>
        </w:rPr>
        <w:t>的企业DID，并关联企业工商登记、受益所有人信息。</w:t>
      </w:r>
    </w:p>
    <w:p>
      <w:pPr>
        <w:numPr>
          <w:numId w:val="1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治理授权</w:t>
      </w:r>
      <w:r>
        <w:rPr>
          <w:rFonts w:eastAsia="等线" w:ascii="Arial" w:cs="Arial" w:hAnsi="Arial"/>
          <w:sz w:val="22"/>
        </w:rPr>
        <w:t>：申请上链必须附带企业内部有效的</w:t>
      </w:r>
      <w:r>
        <w:rPr>
          <w:rFonts w:eastAsia="等线" w:ascii="Arial" w:cs="Arial" w:hAnsi="Arial"/>
          <w:b w:val="true"/>
          <w:sz w:val="22"/>
        </w:rPr>
        <w:t>授权决议</w:t>
      </w:r>
      <w:r>
        <w:rPr>
          <w:rFonts w:eastAsia="等线" w:ascii="Arial" w:cs="Arial" w:hAnsi="Arial"/>
          <w:sz w:val="22"/>
        </w:rPr>
        <w:t>（如董事会决议）的数字签名，决议需明确授权事项、资产范围、操作人。</w:t>
      </w:r>
    </w:p>
    <w:p>
      <w:pPr>
        <w:numPr>
          <w:numId w:val="1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审计友好</w:t>
      </w:r>
      <w:r>
        <w:rPr>
          <w:rFonts w:eastAsia="等线" w:ascii="Arial" w:cs="Arial" w:hAnsi="Arial"/>
          <w:sz w:val="22"/>
        </w:rPr>
        <w:t>：所有流程数据必须结构化存储，便于对接企业外部审计系统。提供标准审计报告导出格式。</w:t>
      </w:r>
    </w:p>
    <w:p>
      <w:pPr>
        <w:numPr>
          <w:numId w:val="1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信息披露</w:t>
      </w:r>
      <w:r>
        <w:rPr>
          <w:rFonts w:eastAsia="等线" w:ascii="Arial" w:cs="Arial" w:hAnsi="Arial"/>
          <w:sz w:val="22"/>
        </w:rPr>
        <w:t>：上市公司或大型企业资产上链，需遵循更严格的信息披露规则，部分信息需主动公示。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第三条 分类资产细则</w:t>
      </w:r>
      <w:bookmarkEnd w:id="25"/>
    </w:p>
    <w:p>
      <w:pPr>
        <w:numPr>
          <w:numId w:val="1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企业不动产/重型设备（GNACS：R11商业地产， M31工业设备）</w:t>
      </w:r>
    </w:p>
    <w:p>
      <w:pPr>
        <w:numPr>
          <w:numId w:val="12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申请材料</w:t>
      </w:r>
      <w:r>
        <w:rPr>
          <w:rFonts w:eastAsia="等线" w:ascii="Arial" w:cs="Arial" w:hAnsi="Arial"/>
          <w:sz w:val="22"/>
        </w:rPr>
        <w:t>：产权证明、竣工验收文件、消防环保许可、董事会决议、资产评估报告（如有）、设备出厂编号、维护记录。</w:t>
      </w:r>
    </w:p>
    <w:p>
      <w:pPr>
        <w:numPr>
          <w:numId w:val="12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合规重点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全覆盖深度检查</w:t>
      </w:r>
      <w:r>
        <w:rPr>
          <w:rFonts w:eastAsia="等线" w:ascii="Arial" w:cs="Arial" w:hAnsi="Arial"/>
          <w:sz w:val="22"/>
        </w:rPr>
        <w:t>。层1/2（权属与负担）、层3（作为抵押物的风险权重）、层4（规划与行业许可）、层5（ESG深度报告，如碳足迹）、层7（跨境资产税务合规）。</w:t>
      </w:r>
    </w:p>
    <w:p>
      <w:pPr>
        <w:numPr>
          <w:numId w:val="1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审批路径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加强通道</w:t>
      </w:r>
      <w:r>
        <w:rPr>
          <w:rFonts w:eastAsia="等线" w:ascii="Arial" w:cs="Arial" w:hAnsi="Arial"/>
          <w:sz w:val="22"/>
        </w:rPr>
        <w:t>。通常涉及现场核查或第三方评估报告验证。</w:t>
      </w:r>
    </w:p>
    <w:p>
      <w:pPr>
        <w:numPr>
          <w:numId w:val="1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估值模型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收益法</w:t>
      </w:r>
      <w:r>
        <w:rPr>
          <w:rFonts w:eastAsia="等线" w:ascii="Arial" w:cs="Arial" w:hAnsi="Arial"/>
          <w:sz w:val="22"/>
        </w:rPr>
        <w:t>为核心（NOI/资本化率，设备产生现金流）、</w:t>
      </w:r>
      <w:r>
        <w:rPr>
          <w:rFonts w:eastAsia="等线" w:ascii="Arial" w:cs="Arial" w:hAnsi="Arial"/>
          <w:b w:val="true"/>
          <w:sz w:val="22"/>
        </w:rPr>
        <w:t>成本法</w:t>
      </w:r>
      <w:r>
        <w:rPr>
          <w:rFonts w:eastAsia="等线" w:ascii="Arial" w:cs="Arial" w:hAnsi="Arial"/>
          <w:sz w:val="22"/>
        </w:rPr>
        <w:t>为参考（重置成本折旧）。AI深度分析租赁市场、行业产能利用率。</w:t>
      </w:r>
    </w:p>
    <w:p>
      <w:pPr>
        <w:numPr>
          <w:numId w:val="1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：A类或B类。地产权证托管；重型设备可结合物联网监控进行存证式托管。</w:t>
      </w:r>
    </w:p>
    <w:p>
      <w:pPr>
        <w:numPr>
          <w:numId w:val="13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衍生化</w:t>
      </w:r>
      <w:r>
        <w:rPr>
          <w:rFonts w:eastAsia="等线" w:ascii="Arial" w:cs="Arial" w:hAnsi="Arial"/>
          <w:sz w:val="22"/>
        </w:rPr>
        <w:t>：核心资产证券化（如商业地产REITs、设备租赁ABS）的主要来源。</w:t>
      </w:r>
    </w:p>
    <w:p>
      <w:pPr>
        <w:numPr>
          <w:numId w:val="1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企业存货与应收账款（GNACS：M33产成品， 金融资产类）</w:t>
      </w:r>
    </w:p>
    <w:p>
      <w:pPr>
        <w:numPr>
          <w:numId w:val="13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申请材料</w:t>
      </w:r>
      <w:r>
        <w:rPr>
          <w:rFonts w:eastAsia="等线" w:ascii="Arial" w:cs="Arial" w:hAnsi="Arial"/>
          <w:sz w:val="22"/>
        </w:rPr>
        <w:t>：采购/生产合同、质检报告、仓单、物流单、销售合同与发票、债务人确权函。</w:t>
      </w:r>
    </w:p>
    <w:p>
      <w:pPr>
        <w:numPr>
          <w:numId w:val="13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合规重点</w:t>
      </w:r>
      <w:r>
        <w:rPr>
          <w:rFonts w:eastAsia="等线" w:ascii="Arial" w:cs="Arial" w:hAnsi="Arial"/>
          <w:sz w:val="22"/>
        </w:rPr>
        <w:t>：层2（防止重复质押，验证存货所有权）、层3（存货价格波动风险、应收账款信用风险）、层6（供应链数据隐私）。</w:t>
      </w:r>
    </w:p>
    <w:p>
      <w:pPr>
        <w:numPr>
          <w:numId w:val="13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审批路径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标准通道</w:t>
      </w:r>
      <w:r>
        <w:rPr>
          <w:rFonts w:eastAsia="等线" w:ascii="Arial" w:cs="Arial" w:hAnsi="Arial"/>
          <w:sz w:val="22"/>
        </w:rPr>
        <w:t>。AI自动验证贸易背景真实性（“三流合一”：合同、物流、资金流）。</w:t>
      </w:r>
    </w:p>
    <w:p>
      <w:pPr>
        <w:numPr>
          <w:numId w:val="13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估值模型</w:t>
      </w:r>
      <w:r>
        <w:rPr>
          <w:rFonts w:eastAsia="等线" w:ascii="Arial" w:cs="Arial" w:hAnsi="Arial"/>
          <w:sz w:val="22"/>
        </w:rPr>
        <w:t>：</w:t>
        <w:br/>
        <w:t xml:space="preserve">            </w:t>
      </w:r>
    </w:p>
    <w:p>
      <w:pPr>
        <w:numPr>
          <w:numId w:val="137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存货：</w:t>
      </w:r>
      <w:r>
        <w:rPr>
          <w:rFonts w:eastAsia="等线" w:ascii="Arial" w:cs="Arial" w:hAnsi="Arial"/>
          <w:b w:val="true"/>
          <w:sz w:val="22"/>
        </w:rPr>
        <w:t>市场法</w:t>
      </w:r>
      <w:r>
        <w:rPr>
          <w:rFonts w:eastAsia="等线" w:ascii="Arial" w:cs="Arial" w:hAnsi="Arial"/>
          <w:sz w:val="22"/>
        </w:rPr>
        <w:t>（商品交易所现货或期货价格），扣除仓储物流成本。</w:t>
      </w:r>
    </w:p>
    <w:p>
      <w:pPr>
        <w:numPr>
          <w:numId w:val="138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应收账款：</w:t>
      </w:r>
      <w:r>
        <w:rPr>
          <w:rFonts w:eastAsia="等线" w:ascii="Arial" w:cs="Arial" w:hAnsi="Arial"/>
          <w:b w:val="true"/>
          <w:sz w:val="22"/>
        </w:rPr>
        <w:t>折现现金流法</w:t>
      </w:r>
      <w:r>
        <w:rPr>
          <w:rFonts w:eastAsia="等线" w:ascii="Arial" w:cs="Arial" w:hAnsi="Arial"/>
          <w:sz w:val="22"/>
        </w:rPr>
        <w:t>，根据债务人信用评级、账龄确定折现率。</w:t>
      </w:r>
    </w:p>
    <w:p>
      <w:pPr>
        <w:numPr>
          <w:numId w:val="1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</w:t>
        <w:br/>
        <w:t xml:space="preserve">           </w:t>
      </w:r>
    </w:p>
    <w:p>
      <w:pPr>
        <w:numPr>
          <w:numId w:val="140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存货：</w:t>
      </w:r>
      <w:r>
        <w:rPr>
          <w:rFonts w:eastAsia="等线" w:ascii="Arial" w:cs="Arial" w:hAnsi="Arial"/>
          <w:b w:val="true"/>
          <w:sz w:val="22"/>
        </w:rPr>
        <w:t>D类智能仓库托管</w:t>
      </w:r>
      <w:r>
        <w:rPr>
          <w:rFonts w:eastAsia="等线" w:ascii="Arial" w:cs="Arial" w:hAnsi="Arial"/>
          <w:sz w:val="22"/>
        </w:rPr>
        <w:t>，物联网数据实时上链。</w:t>
      </w:r>
    </w:p>
    <w:p>
      <w:pPr>
        <w:numPr>
          <w:numId w:val="141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应收账款：</w:t>
      </w:r>
      <w:r>
        <w:rPr>
          <w:rFonts w:eastAsia="等线" w:ascii="Arial" w:cs="Arial" w:hAnsi="Arial"/>
          <w:b w:val="true"/>
          <w:sz w:val="22"/>
        </w:rPr>
        <w:t>B类文件托管</w:t>
      </w:r>
      <w:r>
        <w:rPr>
          <w:rFonts w:eastAsia="等线" w:ascii="Arial" w:cs="Arial" w:hAnsi="Arial"/>
          <w:sz w:val="22"/>
        </w:rPr>
        <w:t>，相关合同票据托管。</w:t>
      </w:r>
    </w:p>
    <w:p>
      <w:pPr>
        <w:numPr>
          <w:numId w:val="1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-</w:t>
      </w:r>
      <w:r>
        <w:rPr>
          <w:rFonts w:eastAsia="等线" w:ascii="Arial" w:cs="Arial" w:hAnsi="Arial"/>
          <w:b w:val="true"/>
          <w:sz w:val="22"/>
        </w:rPr>
        <w:t>衍生化</w:t>
      </w:r>
      <w:r>
        <w:rPr>
          <w:rFonts w:eastAsia="等线" w:ascii="Arial" w:cs="Arial" w:hAnsi="Arial"/>
          <w:sz w:val="22"/>
        </w:rPr>
        <w:t>：供应链金融的核心资产池，可打包发行应收账款ABS。</w:t>
      </w:r>
    </w:p>
    <w:p>
      <w:pPr>
        <w:numPr>
          <w:numId w:val="1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企业知识产权（GNACS：9902系列）</w:t>
      </w:r>
    </w:p>
    <w:p>
      <w:pPr>
        <w:numPr>
          <w:numId w:val="14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申请材料</w:t>
      </w:r>
      <w:r>
        <w:rPr>
          <w:rFonts w:eastAsia="等线" w:ascii="Arial" w:cs="Arial" w:hAnsi="Arial"/>
          <w:sz w:val="22"/>
        </w:rPr>
        <w:t>：专利/商标/著作权证书、应用案例/产品营收数据、许可合同。</w:t>
      </w:r>
    </w:p>
    <w:p>
      <w:pPr>
        <w:numPr>
          <w:numId w:val="14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合规重点</w:t>
      </w:r>
      <w:r>
        <w:rPr>
          <w:rFonts w:eastAsia="等线" w:ascii="Arial" w:cs="Arial" w:hAnsi="Arial"/>
          <w:sz w:val="22"/>
        </w:rPr>
        <w:t>：层1（登记有效性）、层2（权利范围清晰）、层4（是否存在侵权诉讼或无效宣告）。</w:t>
      </w:r>
    </w:p>
    <w:p>
      <w:pPr>
        <w:numPr>
          <w:numId w:val="14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审批路径</w:t>
      </w:r>
      <w:r>
        <w:rPr>
          <w:rFonts w:eastAsia="等线" w:ascii="Arial" w:cs="Arial" w:hAnsi="Arial"/>
          <w:sz w:val="22"/>
        </w:rPr>
        <w:t>：标准或加强通道（视价值而定）。</w:t>
      </w:r>
    </w:p>
    <w:p>
      <w:pPr>
        <w:numPr>
          <w:numId w:val="14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估值模型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收益法</w:t>
      </w:r>
      <w:r>
        <w:rPr>
          <w:rFonts w:eastAsia="等线" w:ascii="Arial" w:cs="Arial" w:hAnsi="Arial"/>
          <w:sz w:val="22"/>
        </w:rPr>
        <w:t>为主（预测许可费或直接收入）、</w:t>
      </w:r>
      <w:r>
        <w:rPr>
          <w:rFonts w:eastAsia="等线" w:ascii="Arial" w:cs="Arial" w:hAnsi="Arial"/>
          <w:b w:val="true"/>
          <w:sz w:val="22"/>
        </w:rPr>
        <w:t>市场法</w:t>
      </w:r>
      <w:r>
        <w:rPr>
          <w:rFonts w:eastAsia="等线" w:ascii="Arial" w:cs="Arial" w:hAnsi="Arial"/>
          <w:sz w:val="22"/>
        </w:rPr>
        <w:t>为辅（参考同类IP交易）。</w:t>
      </w:r>
    </w:p>
    <w:p>
      <w:pPr>
        <w:numPr>
          <w:numId w:val="14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：C类存证。证书文件存证。</w:t>
      </w:r>
    </w:p>
    <w:p>
      <w:pPr>
        <w:numPr>
          <w:numId w:val="14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衍生化</w:t>
      </w:r>
      <w:r>
        <w:rPr>
          <w:rFonts w:eastAsia="等线" w:ascii="Arial" w:cs="Arial" w:hAnsi="Arial"/>
          <w:sz w:val="22"/>
        </w:rPr>
        <w:t>：可进行知识产权证券化，或将使用权碎片化为许可代币。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6" w:id="26"/>
      <w:r>
        <w:rPr>
          <w:rFonts w:eastAsia="等线" w:ascii="Arial" w:cs="Arial" w:hAnsi="Arial"/>
          <w:b w:val="true"/>
          <w:sz w:val="36"/>
        </w:rPr>
        <w:t>第四章：分则三 —— 跨链资产转入特别规定</w:t>
      </w:r>
      <w:bookmarkEnd w:id="2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第一条 核心原则：主权转换与价值重锚</w:t>
      </w:r>
      <w:bookmarkEnd w:id="2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跨链转入不是简单的“桥接”或“包装”，而是在NAC链上</w:t>
      </w:r>
      <w:r>
        <w:rPr>
          <w:rFonts w:eastAsia="等线" w:ascii="Arial" w:cs="Arial" w:hAnsi="Arial"/>
          <w:b w:val="true"/>
          <w:sz w:val="22"/>
        </w:rPr>
        <w:t>创设一个具有独立原生主权的新资产</w:t>
      </w:r>
      <w:r>
        <w:rPr>
          <w:rFonts w:eastAsia="等线" w:ascii="Arial" w:cs="Arial" w:hAnsi="Arial"/>
          <w:sz w:val="22"/>
        </w:rPr>
        <w:t>。该资产的价值需经NAC体系</w:t>
      </w:r>
      <w:r>
        <w:rPr>
          <w:rFonts w:eastAsia="等线" w:ascii="Arial" w:cs="Arial" w:hAnsi="Arial"/>
          <w:b w:val="true"/>
          <w:sz w:val="22"/>
        </w:rPr>
        <w:t>独立重估</w:t>
      </w:r>
      <w:r>
        <w:rPr>
          <w:rFonts w:eastAsia="等线" w:ascii="Arial" w:cs="Arial" w:hAnsi="Arial"/>
          <w:sz w:val="22"/>
        </w:rPr>
        <w:t>，其合规性需经NAC体系</w:t>
      </w:r>
      <w:r>
        <w:rPr>
          <w:rFonts w:eastAsia="等线" w:ascii="Arial" w:cs="Arial" w:hAnsi="Arial"/>
          <w:b w:val="true"/>
          <w:sz w:val="22"/>
        </w:rPr>
        <w:t>重新审查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第二条 通用流程（替代第一章的1-6步）</w:t>
      </w:r>
      <w:bookmarkEnd w:id="28"/>
    </w:p>
    <w:p>
      <w:pPr>
        <w:numPr>
          <w:numId w:val="1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转入申请</w:t>
      </w:r>
      <w:r>
        <w:rPr>
          <w:rFonts w:eastAsia="等线" w:ascii="Arial" w:cs="Arial" w:hAnsi="Arial"/>
          <w:sz w:val="22"/>
        </w:rPr>
        <w:t>：用户锁定原链资产后，在NAC链提交申请。需提供：原链ID、原资产合约地址/唯一ID、锁定证明（交易哈希）。</w:t>
      </w:r>
    </w:p>
    <w:p>
      <w:pPr>
        <w:numPr>
          <w:numId w:val="1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原资产验证与GNACS重分类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NAC的跨链轻客户端验证原链资产锁定状态。</w:t>
      </w:r>
    </w:p>
    <w:p>
      <w:pPr>
        <w:numPr>
          <w:numId w:val="15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AI合规引擎对原资产进行本质分析，将其重新分类为合适的GNACS编码</w:t>
      </w:r>
      <w:r>
        <w:rPr>
          <w:rFonts w:eastAsia="等线" w:ascii="Arial" w:cs="Arial" w:hAnsi="Arial"/>
          <w:sz w:val="22"/>
        </w:rPr>
        <w:t>。例如：</w:t>
        <w:br/>
        <w:t xml:space="preserve">            </w:t>
      </w:r>
    </w:p>
    <w:p>
      <w:pPr>
        <w:numPr>
          <w:numId w:val="154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- 一个声称锚定美债的ERC-20代币，可能被分类为金融资产下的债券类。</w:t>
      </w:r>
    </w:p>
    <w:p>
      <w:pPr>
        <w:numPr>
          <w:numId w:val="155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- 一个ERC-721 NFT，根据其元数据描述，可能被分类为V（收藏品）或9901（数字艺术品）。</w:t>
      </w:r>
    </w:p>
    <w:p>
      <w:pPr>
        <w:numPr>
          <w:numId w:val="1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NAC全流程合规重检</w:t>
      </w:r>
      <w:r>
        <w:rPr>
          <w:rFonts w:eastAsia="等线" w:ascii="Arial" w:cs="Arial" w:hAnsi="Arial"/>
          <w:sz w:val="22"/>
        </w:rPr>
        <w:t>：重分类后的资产，</w:t>
      </w:r>
      <w:r>
        <w:rPr>
          <w:rFonts w:eastAsia="等线" w:ascii="Arial" w:cs="Arial" w:hAnsi="Arial"/>
          <w:b w:val="true"/>
          <w:sz w:val="22"/>
        </w:rPr>
        <w:t>必须完整经历第二章的“七层合规检查”</w:t>
      </w:r>
      <w:r>
        <w:rPr>
          <w:rFonts w:eastAsia="等线" w:ascii="Arial" w:cs="Arial" w:hAnsi="Arial"/>
          <w:sz w:val="22"/>
        </w:rPr>
        <w:t>，审查其底层法律结构、项目合规文件、智能合约审计报告。任何一层不满足NAC标准，转入驳回。</w:t>
      </w:r>
    </w:p>
    <w:p>
      <w:pPr>
        <w:numPr>
          <w:numId w:val="1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AI独立估值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完全忽略原资产在来源链的市场价格</w:t>
      </w:r>
      <w:r>
        <w:rPr>
          <w:rFonts w:eastAsia="等线" w:ascii="Arial" w:cs="Arial" w:hAnsi="Arial"/>
          <w:sz w:val="22"/>
        </w:rPr>
        <w:t>。豆包AI依据重分类后的GNACS编码，基于其声称的底层资产逻辑，进行独立估值。例如，对锚定美债的代币，依据美债市场价估值；对NFT，依据其艺术价值与社群数据估值。</w:t>
      </w:r>
    </w:p>
    <w:p>
      <w:pPr>
        <w:numPr>
          <w:numId w:val="1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NAC链上确权与DNA生成</w:t>
      </w:r>
      <w:r>
        <w:rPr>
          <w:rFonts w:eastAsia="等线" w:ascii="Arial" w:cs="Arial" w:hAnsi="Arial"/>
          <w:sz w:val="22"/>
        </w:rPr>
        <w:t>：在NAC链上为转入资产创建全新的OwnerDID绑定、生成全新的</w:t>
      </w:r>
      <w:r>
        <w:rPr>
          <w:rFonts w:eastAsia="等线" w:ascii="Arial" w:cs="Arial" w:hAnsi="Arial"/>
          <w:b w:val="true"/>
          <w:sz w:val="22"/>
        </w:rPr>
        <w:t>原生DNA</w:t>
      </w:r>
      <w:r>
        <w:rPr>
          <w:rFonts w:eastAsia="等线" w:ascii="Arial" w:cs="Arial" w:hAnsi="Arial"/>
          <w:sz w:val="22"/>
        </w:rPr>
        <w:t>。该DNA代表的是NAC链上的新生资产。</w:t>
      </w:r>
    </w:p>
    <w:p>
      <w:pPr>
        <w:numPr>
          <w:numId w:val="1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后续流程</w:t>
      </w:r>
      <w:r>
        <w:rPr>
          <w:rFonts w:eastAsia="等线" w:ascii="Arial" w:cs="Arial" w:hAnsi="Arial"/>
          <w:sz w:val="22"/>
        </w:rPr>
        <w:t>：从</w:t>
      </w:r>
      <w:r>
        <w:rPr>
          <w:rFonts w:eastAsia="等线" w:ascii="Arial" w:cs="Arial" w:hAnsi="Arial"/>
          <w:b w:val="true"/>
          <w:sz w:val="22"/>
        </w:rPr>
        <w:t>第七步（托管）</w:t>
      </w:r>
      <w:r>
        <w:rPr>
          <w:rFonts w:eastAsia="等线" w:ascii="Arial" w:cs="Arial" w:hAnsi="Arial"/>
          <w:sz w:val="22"/>
        </w:rPr>
        <w:t>开始，与普通上链流程一致。注意，托管的是原链资产的锁定控制权（多签钥匙份额）或法律权利文件。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第三条 分类资产细则</w:t>
      </w:r>
      <w:bookmarkEnd w:id="29"/>
    </w:p>
    <w:p>
      <w:pPr>
        <w:numPr>
          <w:numId w:val="1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从公有链转入“包装”RWA资产</w:t>
      </w:r>
    </w:p>
    <w:p>
      <w:pPr>
        <w:numPr>
          <w:numId w:val="16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适用</w:t>
      </w:r>
      <w:r>
        <w:rPr>
          <w:rFonts w:eastAsia="等线" w:ascii="Arial" w:cs="Arial" w:hAnsi="Arial"/>
          <w:sz w:val="22"/>
        </w:rPr>
        <w:t>：如声称锚定实物黄金、房地产、国债的ERC-20代币。</w:t>
      </w:r>
    </w:p>
    <w:p>
      <w:pPr>
        <w:numPr>
          <w:numId w:val="16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审查重点</w:t>
      </w:r>
      <w:r>
        <w:rPr>
          <w:rFonts w:eastAsia="等线" w:ascii="Arial" w:cs="Arial" w:hAnsi="Arial"/>
          <w:sz w:val="22"/>
        </w:rPr>
        <w:t>：层2（验证背后实际托管方、审计报告、赎回机制）、层4（项目方法律实体与监管状态）、层7（跨境合规）。</w:t>
      </w:r>
    </w:p>
    <w:p>
      <w:pPr>
        <w:numPr>
          <w:numId w:val="16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</w:t>
      </w:r>
      <w:r>
        <w:rPr>
          <w:rFonts w:eastAsia="等线" w:ascii="Arial" w:cs="Arial" w:hAnsi="Arial"/>
          <w:sz w:val="22"/>
        </w:rPr>
        <w:t>：严格审查其底层资产凭证，并依据该底层资产在NAC体系内进行估值。</w:t>
      </w:r>
    </w:p>
    <w:p>
      <w:pPr>
        <w:numPr>
          <w:numId w:val="16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结果</w:t>
      </w:r>
      <w:r>
        <w:rPr>
          <w:rFonts w:eastAsia="等线" w:ascii="Arial" w:cs="Arial" w:hAnsi="Arial"/>
          <w:sz w:val="22"/>
        </w:rPr>
        <w:t>：在NAC链生成一个价值锚定于同一底层资产，但具备NAC原生主权和DNA的新资产。原链代币被永久锁定。</w:t>
      </w:r>
    </w:p>
    <w:p>
      <w:pPr>
        <w:numPr>
          <w:numId w:val="1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从公有链转入NFT/数字资产</w:t>
      </w:r>
    </w:p>
    <w:p>
      <w:pPr>
        <w:numPr>
          <w:numId w:val="16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适用</w:t>
      </w:r>
      <w:r>
        <w:rPr>
          <w:rFonts w:eastAsia="等线" w:ascii="Arial" w:cs="Arial" w:hAnsi="Arial"/>
          <w:sz w:val="22"/>
        </w:rPr>
        <w:t>：ERC-721/1155等链上NFT。</w:t>
      </w:r>
    </w:p>
    <w:p>
      <w:pPr>
        <w:numPr>
          <w:numId w:val="16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审查重点</w:t>
      </w:r>
      <w:r>
        <w:rPr>
          <w:rFonts w:eastAsia="等线" w:ascii="Arial" w:cs="Arial" w:hAnsi="Arial"/>
          <w:sz w:val="22"/>
        </w:rPr>
        <w:t>：层1/4（验证原始合约的不可篡改性、创作者签名）、层5（内容合规）。</w:t>
      </w:r>
    </w:p>
    <w:p>
      <w:pPr>
        <w:numPr>
          <w:numId w:val="16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</w:t>
      </w:r>
      <w:r>
        <w:rPr>
          <w:rFonts w:eastAsia="等线" w:ascii="Arial" w:cs="Arial" w:hAnsi="Arial"/>
          <w:sz w:val="22"/>
        </w:rPr>
        <w:t>：依据其元数据、创作者、交易历史、社群数据在NAC体系内独立重估。</w:t>
      </w:r>
    </w:p>
    <w:p>
      <w:pPr>
        <w:numPr>
          <w:numId w:val="16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结果</w:t>
      </w:r>
      <w:r>
        <w:rPr>
          <w:rFonts w:eastAsia="等线" w:ascii="Arial" w:cs="Arial" w:hAnsi="Arial"/>
          <w:sz w:val="22"/>
        </w:rPr>
        <w:t>：在NAC链生成一个具备新DNA的</w:t>
      </w:r>
      <w:r>
        <w:rPr>
          <w:rFonts w:eastAsia="等线" w:ascii="Arial" w:cs="Arial" w:hAnsi="Arial"/>
          <w:b w:val="true"/>
          <w:sz w:val="22"/>
        </w:rPr>
        <w:t>数字原生资产</w:t>
      </w:r>
      <w:r>
        <w:rPr>
          <w:rFonts w:eastAsia="等线" w:ascii="Arial" w:cs="Arial" w:hAnsi="Arial"/>
          <w:sz w:val="22"/>
        </w:rPr>
        <w:t>，其美学价值与源NFT相同，但法律技术载体已切换为NAC原生协议。原NFT被锁定。</w:t>
      </w:r>
    </w:p>
    <w:p>
      <w:pPr>
        <w:numPr>
          <w:numId w:val="1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从传统金融系统转入资产</w:t>
      </w:r>
    </w:p>
    <w:p>
      <w:pPr>
        <w:numPr>
          <w:numId w:val="17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适用</w:t>
      </w:r>
      <w:r>
        <w:rPr>
          <w:rFonts w:eastAsia="等线" w:ascii="Arial" w:cs="Arial" w:hAnsi="Arial"/>
          <w:sz w:val="22"/>
        </w:rPr>
        <w:t>：股票、债券、基金份额通过SPV或持牌机构转入。</w:t>
      </w:r>
    </w:p>
    <w:p>
      <w:pPr>
        <w:numPr>
          <w:numId w:val="17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申请主体</w:t>
      </w:r>
      <w:r>
        <w:rPr>
          <w:rFonts w:eastAsia="等线" w:ascii="Arial" w:cs="Arial" w:hAnsi="Arial"/>
          <w:sz w:val="22"/>
        </w:rPr>
        <w:t>：必须由</w:t>
      </w:r>
      <w:r>
        <w:rPr>
          <w:rFonts w:eastAsia="等线" w:ascii="Arial" w:cs="Arial" w:hAnsi="Arial"/>
          <w:b w:val="true"/>
          <w:sz w:val="22"/>
        </w:rPr>
        <w:t>持牌托管机构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特殊目的载体（SPV）</w:t>
      </w:r>
      <w:r>
        <w:rPr>
          <w:rFonts w:eastAsia="等线" w:ascii="Arial" w:cs="Arial" w:hAnsi="Arial"/>
          <w:sz w:val="22"/>
        </w:rPr>
        <w:t>作为申请人。</w:t>
      </w:r>
    </w:p>
    <w:p>
      <w:pPr>
        <w:numPr>
          <w:numId w:val="17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审查重点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最严格的七层检查</w:t>
      </w:r>
      <w:r>
        <w:rPr>
          <w:rFonts w:eastAsia="等线" w:ascii="Arial" w:cs="Arial" w:hAnsi="Arial"/>
          <w:sz w:val="22"/>
        </w:rPr>
        <w:t>，特别是与IOSCO原则、发行地证券法、跨境交易规则的符合性（层4，7）。</w:t>
      </w:r>
    </w:p>
    <w:p>
      <w:pPr>
        <w:numPr>
          <w:numId w:val="17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审批路径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最高等级特殊通道</w:t>
      </w:r>
      <w:r>
        <w:rPr>
          <w:rFonts w:eastAsia="等线" w:ascii="Arial" w:cs="Arial" w:hAnsi="Arial"/>
          <w:sz w:val="22"/>
        </w:rPr>
        <w:t>，需国际法律与金融专家委员会审批。</w:t>
      </w:r>
    </w:p>
    <w:p>
      <w:pPr>
        <w:numPr>
          <w:numId w:val="17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估值</w:t>
      </w:r>
      <w:r>
        <w:rPr>
          <w:rFonts w:eastAsia="等线" w:ascii="Arial" w:cs="Arial" w:hAnsi="Arial"/>
          <w:sz w:val="22"/>
        </w:rPr>
        <w:t>：直接采用标的在传统金融市场的最新公允价格（经汇率换算）。</w:t>
      </w:r>
    </w:p>
    <w:p>
      <w:pPr>
        <w:numPr>
          <w:numId w:val="17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：必须由</w:t>
      </w:r>
      <w:r>
        <w:rPr>
          <w:rFonts w:eastAsia="等线" w:ascii="Arial" w:cs="Arial" w:hAnsi="Arial"/>
          <w:b w:val="true"/>
          <w:sz w:val="22"/>
        </w:rPr>
        <w:t>受原司法辖区和NAC认可的双重监管托管机构</w:t>
      </w:r>
      <w:r>
        <w:rPr>
          <w:rFonts w:eastAsia="等线" w:ascii="Arial" w:cs="Arial" w:hAnsi="Arial"/>
          <w:sz w:val="22"/>
        </w:rPr>
        <w:t>持有原证券。</w:t>
      </w:r>
    </w:p>
    <w:p>
      <w:pPr>
        <w:numPr>
          <w:numId w:val="17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结果</w:t>
      </w:r>
      <w:r>
        <w:rPr>
          <w:rFonts w:eastAsia="等线" w:ascii="Arial" w:cs="Arial" w:hAnsi="Arial"/>
          <w:sz w:val="22"/>
        </w:rPr>
        <w:t>：生成代表传统金融资产数字所有权的NAC原生资产，实现链上T+0结算与交易。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第五章：附则与罚则</w:t>
      </w:r>
      <w:bookmarkEnd w:id="3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第一条 费用与能耗</w:t>
      </w:r>
      <w:bookmarkEnd w:id="31"/>
    </w:p>
    <w:p>
      <w:pPr>
        <w:numPr>
          <w:numId w:val="1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上链全流程费用以XIC结算，包含：AI合规费、AI估值费、DNA生成费、合约交互Gas费、第三方托管服务费（支付给托管方）。</w:t>
      </w:r>
    </w:p>
    <w:p>
      <w:pPr>
        <w:numPr>
          <w:numId w:val="1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费用标准动态公示，并在申请前提供精确预估。</w:t>
      </w:r>
    </w:p>
    <w:p>
      <w:pPr>
        <w:numPr>
          <w:numId w:val="1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因申请方提供虚假材料导致流程中止，已消耗的XIC不予退还。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第二条 争议与仲裁</w:t>
      </w:r>
      <w:bookmarkEnd w:id="32"/>
    </w:p>
    <w:p>
      <w:pPr>
        <w:numPr>
          <w:numId w:val="1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资产上链过程中发生争议（如权属争议、估值争议），可提交至NAC链上仲裁委员会。</w:t>
      </w:r>
    </w:p>
    <w:p>
      <w:pPr>
        <w:numPr>
          <w:numId w:val="1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仲裁委员会由随机选出的XIC持有者及领域专家组成。</w:t>
      </w:r>
    </w:p>
    <w:p>
      <w:pPr>
        <w:numPr>
          <w:numId w:val="1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仲裁结果通过智能合约执行（如资产冻结、所有权变更、赔偿支付）。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3" w:id="33"/>
      <w:r>
        <w:rPr>
          <w:rFonts w:eastAsia="等线" w:ascii="Arial" w:cs="Arial" w:hAnsi="Arial"/>
          <w:b w:val="true"/>
          <w:sz w:val="32"/>
        </w:rPr>
        <w:t>第三条 法典修订</w:t>
      </w:r>
      <w:bookmarkEnd w:id="33"/>
    </w:p>
    <w:p>
      <w:pPr>
        <w:numPr>
          <w:numId w:val="1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本法典为宪法级文件。任何条文的修订，需由治理委员会发起提案，经全网XIC持有者投票，获得</w:t>
      </w:r>
      <w:r>
        <w:rPr>
          <w:rFonts w:eastAsia="等线" w:ascii="Arial" w:cs="Arial" w:hAnsi="Arial"/>
          <w:b w:val="true"/>
          <w:sz w:val="22"/>
        </w:rPr>
        <w:t>75%以上</w:t>
      </w:r>
      <w:r>
        <w:rPr>
          <w:rFonts w:eastAsia="等线" w:ascii="Arial" w:cs="Arial" w:hAnsi="Arial"/>
          <w:sz w:val="22"/>
        </w:rPr>
        <w:t>赞成票方可通过。</w:t>
      </w:r>
    </w:p>
    <w:p>
      <w:pPr>
        <w:numPr>
          <w:numId w:val="1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技术参数的调整（如质押率矩阵、估值模型权重）可通过治理投票授权技术委员会在一定范围内执行。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第四条 生效与解释</w:t>
      </w:r>
      <w:bookmarkEnd w:id="34"/>
    </w:p>
    <w:p>
      <w:pPr>
        <w:numPr>
          <w:numId w:val="1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本法典自生效之日起，适用于所有新发起的资产上链申请。</w:t>
      </w:r>
    </w:p>
    <w:p>
      <w:pPr>
        <w:numPr>
          <w:numId w:val="1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本法典的解释权归NAC公链治理委员会所有。</w:t>
      </w:r>
    </w:p>
    <w:p>
      <w:pPr>
        <w:numPr>
          <w:numId w:val="1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本法典与之前发布的各专项法典共同构成完整体系，若有未尽事宜，参照最相近原则及各专项法典执行。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5" w:id="35"/>
      <w:r>
        <w:rPr>
          <w:rFonts w:eastAsia="等线" w:ascii="Arial" w:cs="Arial" w:hAnsi="Arial"/>
          <w:b w:val="true"/>
          <w:sz w:val="32"/>
        </w:rPr>
        <w:t>结语</w:t>
      </w:r>
      <w:bookmarkEnd w:id="3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的颁布，标志着NAC公链为全球真实资产的数字化迁徙构建了完整、严密、可操作的宪法性框架。它不仅是技术规则，更是数字时代关于资产主权、价值与信任的新社会契约。我们坚信，在此框架下，万物皆可有序、有信、有价值地步入数字文明新纪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《NAC原生公链资产上链综合法典》终。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610299">
    <w:lvl>
      <w:start w:val="1"/>
      <w:numFmt w:val="decimal"/>
      <w:suff w:val="tab"/>
      <w:lvlText w:val="%1."/>
      <w:rPr>
        <w:color w:val="3370ff"/>
      </w:rPr>
    </w:lvl>
  </w:abstractNum>
  <w:abstractNum w:abstractNumId="610300">
    <w:lvl>
      <w:start w:val="2"/>
      <w:numFmt w:val="decimal"/>
      <w:suff w:val="tab"/>
      <w:lvlText w:val="%1."/>
      <w:rPr>
        <w:color w:val="3370ff"/>
      </w:rPr>
    </w:lvl>
  </w:abstractNum>
  <w:abstractNum w:abstractNumId="610301">
    <w:lvl>
      <w:start w:val="3"/>
      <w:numFmt w:val="decimal"/>
      <w:suff w:val="tab"/>
      <w:lvlText w:val="%1."/>
      <w:rPr>
        <w:color w:val="3370ff"/>
      </w:rPr>
    </w:lvl>
  </w:abstractNum>
  <w:abstractNum w:abstractNumId="610302">
    <w:lvl>
      <w:start w:val="4"/>
      <w:numFmt w:val="decimal"/>
      <w:suff w:val="tab"/>
      <w:lvlText w:val="%1."/>
      <w:rPr>
        <w:color w:val="3370ff"/>
      </w:rPr>
    </w:lvl>
  </w:abstractNum>
  <w:abstractNum w:abstractNumId="610303">
    <w:lvl>
      <w:start w:val="5"/>
      <w:numFmt w:val="decimal"/>
      <w:suff w:val="tab"/>
      <w:lvlText w:val="%1."/>
      <w:rPr>
        <w:color w:val="3370ff"/>
      </w:rPr>
    </w:lvl>
  </w:abstractNum>
  <w:abstractNum w:abstractNumId="610304">
    <w:lvl>
      <w:numFmt w:val="bullet"/>
      <w:suff w:val="tab"/>
      <w:lvlText w:val="￮"/>
      <w:rPr>
        <w:color w:val="3370ff"/>
      </w:rPr>
    </w:lvl>
  </w:abstractNum>
  <w:abstractNum w:abstractNumId="610305">
    <w:lvl>
      <w:numFmt w:val="bullet"/>
      <w:suff w:val="tab"/>
      <w:lvlText w:val="￮"/>
      <w:rPr>
        <w:color w:val="3370ff"/>
      </w:rPr>
    </w:lvl>
  </w:abstractNum>
  <w:abstractNum w:abstractNumId="610306">
    <w:lvl>
      <w:start w:val="6"/>
      <w:numFmt w:val="decimal"/>
      <w:suff w:val="tab"/>
      <w:lvlText w:val="%1."/>
      <w:rPr>
        <w:color w:val="3370ff"/>
      </w:rPr>
    </w:lvl>
  </w:abstractNum>
  <w:abstractNum w:abstractNumId="610307">
    <w:lvl>
      <w:start w:val="1"/>
      <w:numFmt w:val="decimal"/>
      <w:suff w:val="tab"/>
      <w:lvlText w:val="%1."/>
      <w:rPr>
        <w:color w:val="3370ff"/>
      </w:rPr>
    </w:lvl>
  </w:abstractNum>
  <w:abstractNum w:abstractNumId="610308">
    <w:lvl>
      <w:numFmt w:val="bullet"/>
      <w:suff w:val="tab"/>
      <w:lvlText w:val="￮"/>
      <w:rPr>
        <w:color w:val="3370ff"/>
      </w:rPr>
    </w:lvl>
  </w:abstractNum>
  <w:abstractNum w:abstractNumId="610309">
    <w:lvl>
      <w:numFmt w:val="bullet"/>
      <w:suff w:val="tab"/>
      <w:lvlText w:val="￮"/>
      <w:rPr>
        <w:color w:val="3370ff"/>
      </w:rPr>
    </w:lvl>
  </w:abstractNum>
  <w:abstractNum w:abstractNumId="610310">
    <w:lvl>
      <w:numFmt w:val="bullet"/>
      <w:suff w:val="tab"/>
      <w:lvlText w:val="￮"/>
      <w:rPr>
        <w:color w:val="3370ff"/>
      </w:rPr>
    </w:lvl>
  </w:abstractNum>
  <w:abstractNum w:abstractNumId="610311">
    <w:lvl>
      <w:numFmt w:val="bullet"/>
      <w:suff w:val="tab"/>
      <w:lvlText w:val="￮"/>
      <w:rPr>
        <w:color w:val="3370ff"/>
      </w:rPr>
    </w:lvl>
  </w:abstractNum>
  <w:abstractNum w:abstractNumId="610312">
    <w:lvl>
      <w:numFmt w:val="bullet"/>
      <w:suff w:val="tab"/>
      <w:lvlText w:val="￮"/>
      <w:rPr>
        <w:color w:val="3370ff"/>
      </w:rPr>
    </w:lvl>
  </w:abstractNum>
  <w:abstractNum w:abstractNumId="610313">
    <w:lvl>
      <w:start w:val="2"/>
      <w:numFmt w:val="decimal"/>
      <w:suff w:val="tab"/>
      <w:lvlText w:val="%1."/>
      <w:rPr>
        <w:color w:val="3370ff"/>
      </w:rPr>
    </w:lvl>
  </w:abstractNum>
  <w:abstractNum w:abstractNumId="610314">
    <w:lvl>
      <w:numFmt w:val="bullet"/>
      <w:suff w:val="tab"/>
      <w:lvlText w:val="￮"/>
      <w:rPr>
        <w:color w:val="3370ff"/>
      </w:rPr>
    </w:lvl>
  </w:abstractNum>
  <w:abstractNum w:abstractNumId="610315">
    <w:lvl>
      <w:numFmt w:val="bullet"/>
      <w:suff w:val="tab"/>
      <w:lvlText w:val="￮"/>
      <w:rPr>
        <w:color w:val="3370ff"/>
      </w:rPr>
    </w:lvl>
  </w:abstractNum>
  <w:abstractNum w:abstractNumId="610316">
    <w:lvl>
      <w:numFmt w:val="bullet"/>
      <w:suff w:val="tab"/>
      <w:lvlText w:val="￮"/>
      <w:rPr>
        <w:color w:val="3370ff"/>
      </w:rPr>
    </w:lvl>
  </w:abstractNum>
  <w:abstractNum w:abstractNumId="610317">
    <w:lvl>
      <w:numFmt w:val="bullet"/>
      <w:suff w:val="tab"/>
      <w:lvlText w:val="￮"/>
      <w:rPr>
        <w:color w:val="3370ff"/>
      </w:rPr>
    </w:lvl>
  </w:abstractNum>
  <w:abstractNum w:abstractNumId="610318">
    <w:lvl>
      <w:numFmt w:val="bullet"/>
      <w:suff w:val="tab"/>
      <w:lvlText w:val="￮"/>
      <w:rPr>
        <w:color w:val="3370ff"/>
      </w:rPr>
    </w:lvl>
  </w:abstractNum>
  <w:abstractNum w:abstractNumId="610319">
    <w:lvl>
      <w:start w:val="3"/>
      <w:numFmt w:val="decimal"/>
      <w:suff w:val="tab"/>
      <w:lvlText w:val="%1."/>
      <w:rPr>
        <w:color w:val="3370ff"/>
      </w:rPr>
    </w:lvl>
  </w:abstractNum>
  <w:abstractNum w:abstractNumId="610320">
    <w:lvl>
      <w:numFmt w:val="bullet"/>
      <w:suff w:val="tab"/>
      <w:lvlText w:val="￮"/>
      <w:rPr>
        <w:color w:val="3370ff"/>
      </w:rPr>
    </w:lvl>
  </w:abstractNum>
  <w:abstractNum w:abstractNumId="610321">
    <w:lvl>
      <w:numFmt w:val="bullet"/>
      <w:suff w:val="tab"/>
      <w:lvlText w:val="￮"/>
      <w:rPr>
        <w:color w:val="3370ff"/>
      </w:rPr>
    </w:lvl>
  </w:abstractNum>
  <w:abstractNum w:abstractNumId="610322">
    <w:lvl>
      <w:numFmt w:val="bullet"/>
      <w:suff w:val="tab"/>
      <w:lvlText w:val="￮"/>
      <w:rPr>
        <w:color w:val="3370ff"/>
      </w:rPr>
    </w:lvl>
  </w:abstractNum>
  <w:abstractNum w:abstractNumId="610323">
    <w:lvl>
      <w:numFmt w:val="bullet"/>
      <w:suff w:val="tab"/>
      <w:lvlText w:val="￮"/>
      <w:rPr>
        <w:color w:val="3370ff"/>
      </w:rPr>
    </w:lvl>
  </w:abstractNum>
  <w:abstractNum w:abstractNumId="610324">
    <w:lvl>
      <w:numFmt w:val="bullet"/>
      <w:suff w:val="tab"/>
      <w:lvlText w:val="￮"/>
      <w:rPr>
        <w:color w:val="3370ff"/>
      </w:rPr>
    </w:lvl>
  </w:abstractNum>
  <w:abstractNum w:abstractNumId="610325">
    <w:lvl>
      <w:start w:val="1"/>
      <w:numFmt w:val="decimal"/>
      <w:suff w:val="tab"/>
      <w:lvlText w:val="%1."/>
      <w:rPr>
        <w:color w:val="3370ff"/>
      </w:rPr>
    </w:lvl>
  </w:abstractNum>
  <w:abstractNum w:abstractNumId="610326">
    <w:lvl>
      <w:start w:val="2"/>
      <w:numFmt w:val="decimal"/>
      <w:suff w:val="tab"/>
      <w:lvlText w:val="%1."/>
      <w:rPr>
        <w:color w:val="3370ff"/>
      </w:rPr>
    </w:lvl>
  </w:abstractNum>
  <w:abstractNum w:abstractNumId="610327">
    <w:lvl>
      <w:numFmt w:val="bullet"/>
      <w:suff w:val="tab"/>
      <w:lvlText w:val="￮"/>
      <w:rPr>
        <w:color w:val="3370ff"/>
      </w:rPr>
    </w:lvl>
  </w:abstractNum>
  <w:abstractNum w:abstractNumId="610328">
    <w:lvl>
      <w:numFmt w:val="bullet"/>
      <w:suff w:val="tab"/>
      <w:lvlText w:val="￮"/>
      <w:rPr>
        <w:color w:val="3370ff"/>
      </w:rPr>
    </w:lvl>
  </w:abstractNum>
  <w:abstractNum w:abstractNumId="610329">
    <w:lvl>
      <w:numFmt w:val="bullet"/>
      <w:suff w:val="tab"/>
      <w:lvlText w:val="￮"/>
      <w:rPr>
        <w:color w:val="3370ff"/>
      </w:rPr>
    </w:lvl>
  </w:abstractNum>
  <w:abstractNum w:abstractNumId="610330">
    <w:lvl>
      <w:numFmt w:val="bullet"/>
      <w:suff w:val="tab"/>
      <w:lvlText w:val="￮"/>
      <w:rPr>
        <w:color w:val="3370ff"/>
      </w:rPr>
    </w:lvl>
  </w:abstractNum>
  <w:abstractNum w:abstractNumId="610331">
    <w:lvl>
      <w:start w:val="3"/>
      <w:numFmt w:val="decimal"/>
      <w:suff w:val="tab"/>
      <w:lvlText w:val="%1."/>
      <w:rPr>
        <w:color w:val="3370ff"/>
      </w:rPr>
    </w:lvl>
  </w:abstractNum>
  <w:abstractNum w:abstractNumId="610332">
    <w:lvl>
      <w:start w:val="1"/>
      <w:numFmt w:val="decimal"/>
      <w:suff w:val="tab"/>
      <w:lvlText w:val="%1."/>
      <w:rPr>
        <w:color w:val="3370ff"/>
      </w:rPr>
    </w:lvl>
  </w:abstractNum>
  <w:abstractNum w:abstractNumId="610333">
    <w:lvl>
      <w:start w:val="2"/>
      <w:numFmt w:val="decimal"/>
      <w:suff w:val="tab"/>
      <w:lvlText w:val="%1."/>
      <w:rPr>
        <w:color w:val="3370ff"/>
      </w:rPr>
    </w:lvl>
  </w:abstractNum>
  <w:abstractNum w:abstractNumId="610334">
    <w:lvl>
      <w:numFmt w:val="bullet"/>
      <w:suff w:val="tab"/>
      <w:lvlText w:val="￮"/>
      <w:rPr>
        <w:color w:val="3370ff"/>
      </w:rPr>
    </w:lvl>
  </w:abstractNum>
  <w:abstractNum w:abstractNumId="610335">
    <w:lvl>
      <w:numFmt w:val="bullet"/>
      <w:suff w:val="tab"/>
      <w:lvlText w:val="￮"/>
      <w:rPr>
        <w:color w:val="3370ff"/>
      </w:rPr>
    </w:lvl>
  </w:abstractNum>
  <w:abstractNum w:abstractNumId="610336">
    <w:lvl>
      <w:numFmt w:val="bullet"/>
      <w:suff w:val="tab"/>
      <w:lvlText w:val="￮"/>
      <w:rPr>
        <w:color w:val="3370ff"/>
      </w:rPr>
    </w:lvl>
  </w:abstractNum>
  <w:abstractNum w:abstractNumId="610337">
    <w:lvl>
      <w:numFmt w:val="bullet"/>
      <w:suff w:val="tab"/>
      <w:lvlText w:val="￮"/>
      <w:rPr>
        <w:color w:val="3370ff"/>
      </w:rPr>
    </w:lvl>
  </w:abstractNum>
  <w:abstractNum w:abstractNumId="610338">
    <w:lvl>
      <w:numFmt w:val="bullet"/>
      <w:suff w:val="tab"/>
      <w:lvlText w:val="￮"/>
      <w:rPr>
        <w:color w:val="3370ff"/>
      </w:rPr>
    </w:lvl>
  </w:abstractNum>
  <w:abstractNum w:abstractNumId="610339">
    <w:lvl>
      <w:numFmt w:val="bullet"/>
      <w:suff w:val="tab"/>
      <w:lvlText w:val="￮"/>
      <w:rPr>
        <w:color w:val="3370ff"/>
      </w:rPr>
    </w:lvl>
  </w:abstractNum>
  <w:abstractNum w:abstractNumId="610340">
    <w:lvl>
      <w:numFmt w:val="bullet"/>
      <w:suff w:val="tab"/>
      <w:lvlText w:val="￮"/>
      <w:rPr>
        <w:color w:val="3370ff"/>
      </w:rPr>
    </w:lvl>
  </w:abstractNum>
  <w:abstractNum w:abstractNumId="610341">
    <w:lvl>
      <w:start w:val="3"/>
      <w:numFmt w:val="decimal"/>
      <w:suff w:val="tab"/>
      <w:lvlText w:val="%1."/>
      <w:rPr>
        <w:color w:val="3370ff"/>
      </w:rPr>
    </w:lvl>
  </w:abstractNum>
  <w:abstractNum w:abstractNumId="610342">
    <w:lvl>
      <w:start w:val="1"/>
      <w:numFmt w:val="decimal"/>
      <w:suff w:val="tab"/>
      <w:lvlText w:val="%1."/>
      <w:rPr>
        <w:color w:val="3370ff"/>
      </w:rPr>
    </w:lvl>
  </w:abstractNum>
  <w:abstractNum w:abstractNumId="610343">
    <w:lvl>
      <w:numFmt w:val="bullet"/>
      <w:suff w:val="tab"/>
      <w:lvlText w:val="￮"/>
      <w:rPr>
        <w:color w:val="3370ff"/>
      </w:rPr>
    </w:lvl>
  </w:abstractNum>
  <w:abstractNum w:abstractNumId="610344">
    <w:lvl>
      <w:numFmt w:val="bullet"/>
      <w:suff w:val="tab"/>
      <w:lvlText w:val="￮"/>
      <w:rPr>
        <w:color w:val="3370ff"/>
      </w:rPr>
    </w:lvl>
  </w:abstractNum>
  <w:abstractNum w:abstractNumId="610345">
    <w:lvl>
      <w:numFmt w:val="bullet"/>
      <w:suff w:val="tab"/>
      <w:lvlText w:val="￮"/>
      <w:rPr>
        <w:color w:val="3370ff"/>
      </w:rPr>
    </w:lvl>
  </w:abstractNum>
  <w:abstractNum w:abstractNumId="610346">
    <w:lvl>
      <w:numFmt w:val="bullet"/>
      <w:suff w:val="tab"/>
      <w:lvlText w:val="￮"/>
      <w:rPr>
        <w:color w:val="3370ff"/>
      </w:rPr>
    </w:lvl>
  </w:abstractNum>
  <w:abstractNum w:abstractNumId="610347">
    <w:lvl>
      <w:start w:val="2"/>
      <w:numFmt w:val="decimal"/>
      <w:suff w:val="tab"/>
      <w:lvlText w:val="%1."/>
      <w:rPr>
        <w:color w:val="3370ff"/>
      </w:rPr>
    </w:lvl>
  </w:abstractNum>
  <w:abstractNum w:abstractNumId="610348">
    <w:lvl>
      <w:start w:val="1"/>
      <w:numFmt w:val="decimal"/>
      <w:suff w:val="tab"/>
      <w:lvlText w:val="%1."/>
      <w:rPr>
        <w:color w:val="3370ff"/>
      </w:rPr>
    </w:lvl>
  </w:abstractNum>
  <w:abstractNum w:abstractNumId="610349">
    <w:lvl>
      <w:start w:val="2"/>
      <w:numFmt w:val="decimal"/>
      <w:suff w:val="tab"/>
      <w:lvlText w:val="%1."/>
      <w:rPr>
        <w:color w:val="3370ff"/>
      </w:rPr>
    </w:lvl>
  </w:abstractNum>
  <w:abstractNum w:abstractNumId="610350">
    <w:lvl>
      <w:numFmt w:val="bullet"/>
      <w:suff w:val="tab"/>
      <w:lvlText w:val="￮"/>
      <w:rPr>
        <w:color w:val="3370ff"/>
      </w:rPr>
    </w:lvl>
  </w:abstractNum>
  <w:abstractNum w:abstractNumId="610351">
    <w:lvl>
      <w:numFmt w:val="bullet"/>
      <w:suff w:val="tab"/>
      <w:lvlText w:val="￮"/>
      <w:rPr>
        <w:color w:val="3370ff"/>
      </w:rPr>
    </w:lvl>
  </w:abstractNum>
  <w:abstractNum w:abstractNumId="610352">
    <w:lvl>
      <w:numFmt w:val="bullet"/>
      <w:suff w:val="tab"/>
      <w:lvlText w:val="￮"/>
      <w:rPr>
        <w:color w:val="3370ff"/>
      </w:rPr>
    </w:lvl>
  </w:abstractNum>
  <w:abstractNum w:abstractNumId="610353">
    <w:lvl>
      <w:start w:val="3"/>
      <w:numFmt w:val="decimal"/>
      <w:suff w:val="tab"/>
      <w:lvlText w:val="%1."/>
      <w:rPr>
        <w:color w:val="3370ff"/>
      </w:rPr>
    </w:lvl>
  </w:abstractNum>
  <w:abstractNum w:abstractNumId="610354">
    <w:lvl>
      <w:start w:val="4"/>
      <w:numFmt w:val="decimal"/>
      <w:suff w:val="tab"/>
      <w:lvlText w:val="%1."/>
      <w:rPr>
        <w:color w:val="3370ff"/>
      </w:rPr>
    </w:lvl>
  </w:abstractNum>
  <w:abstractNum w:abstractNumId="610355">
    <w:lvl>
      <w:start w:val="1"/>
      <w:numFmt w:val="decimal"/>
      <w:suff w:val="tab"/>
      <w:lvlText w:val="%1."/>
      <w:rPr>
        <w:color w:val="3370ff"/>
      </w:rPr>
    </w:lvl>
  </w:abstractNum>
  <w:abstractNum w:abstractNumId="610356">
    <w:lvl>
      <w:start w:val="2"/>
      <w:numFmt w:val="decimal"/>
      <w:suff w:val="tab"/>
      <w:lvlText w:val="%1."/>
      <w:rPr>
        <w:color w:val="3370ff"/>
      </w:rPr>
    </w:lvl>
  </w:abstractNum>
  <w:abstractNum w:abstractNumId="610357">
    <w:lvl>
      <w:start w:val="3"/>
      <w:numFmt w:val="decimal"/>
      <w:suff w:val="tab"/>
      <w:lvlText w:val="%1."/>
      <w:rPr>
        <w:color w:val="3370ff"/>
      </w:rPr>
    </w:lvl>
  </w:abstractNum>
  <w:abstractNum w:abstractNumId="610358">
    <w:lvl>
      <w:start w:val="1"/>
      <w:numFmt w:val="decimal"/>
      <w:suff w:val="tab"/>
      <w:lvlText w:val="%1."/>
      <w:rPr>
        <w:color w:val="3370ff"/>
      </w:rPr>
    </w:lvl>
  </w:abstractNum>
  <w:abstractNum w:abstractNumId="610359">
    <w:lvl>
      <w:numFmt w:val="bullet"/>
      <w:suff w:val="tab"/>
      <w:lvlText w:val="￮"/>
      <w:rPr>
        <w:color w:val="3370ff"/>
      </w:rPr>
    </w:lvl>
  </w:abstractNum>
  <w:abstractNum w:abstractNumId="610360">
    <w:lvl>
      <w:numFmt w:val="bullet"/>
      <w:suff w:val="tab"/>
      <w:lvlText w:val="￮"/>
      <w:rPr>
        <w:color w:val="3370ff"/>
      </w:rPr>
    </w:lvl>
  </w:abstractNum>
  <w:abstractNum w:abstractNumId="610361">
    <w:lvl>
      <w:start w:val="2"/>
      <w:numFmt w:val="decimal"/>
      <w:suff w:val="tab"/>
      <w:lvlText w:val="%1."/>
      <w:rPr>
        <w:color w:val="3370ff"/>
      </w:rPr>
    </w:lvl>
  </w:abstractNum>
  <w:abstractNum w:abstractNumId="610362">
    <w:lvl>
      <w:numFmt w:val="bullet"/>
      <w:suff w:val="tab"/>
      <w:lvlText w:val="￮"/>
      <w:rPr>
        <w:color w:val="3370ff"/>
      </w:rPr>
    </w:lvl>
  </w:abstractNum>
  <w:abstractNum w:abstractNumId="610363">
    <w:lvl>
      <w:numFmt w:val="bullet"/>
      <w:suff w:val="tab"/>
      <w:lvlText w:val="￮"/>
      <w:rPr>
        <w:color w:val="3370ff"/>
      </w:rPr>
    </w:lvl>
  </w:abstractNum>
  <w:abstractNum w:abstractNumId="610364">
    <w:lvl>
      <w:numFmt w:val="bullet"/>
      <w:suff w:val="tab"/>
      <w:lvlText w:val="￮"/>
      <w:rPr>
        <w:color w:val="3370ff"/>
      </w:rPr>
    </w:lvl>
  </w:abstractNum>
  <w:abstractNum w:abstractNumId="610365">
    <w:lvl>
      <w:numFmt w:val="bullet"/>
      <w:suff w:val="tab"/>
      <w:lvlText w:val="￮"/>
      <w:rPr>
        <w:color w:val="3370ff"/>
      </w:rPr>
    </w:lvl>
  </w:abstractNum>
  <w:abstractNum w:abstractNumId="610366">
    <w:lvl>
      <w:start w:val="3"/>
      <w:numFmt w:val="decimal"/>
      <w:suff w:val="tab"/>
      <w:lvlText w:val="%1."/>
      <w:rPr>
        <w:color w:val="3370ff"/>
      </w:rPr>
    </w:lvl>
  </w:abstractNum>
  <w:abstractNum w:abstractNumId="610367">
    <w:lvl>
      <w:start w:val="1"/>
      <w:numFmt w:val="decimal"/>
      <w:suff w:val="tab"/>
      <w:lvlText w:val="%1."/>
      <w:rPr>
        <w:color w:val="3370ff"/>
      </w:rPr>
    </w:lvl>
  </w:abstractNum>
  <w:abstractNum w:abstractNumId="610368">
    <w:lvl>
      <w:numFmt w:val="bullet"/>
      <w:suff w:val="tab"/>
      <w:lvlText w:val="￮"/>
      <w:rPr>
        <w:color w:val="3370ff"/>
      </w:rPr>
    </w:lvl>
  </w:abstractNum>
  <w:abstractNum w:abstractNumId="610369">
    <w:lvl>
      <w:numFmt w:val="bullet"/>
      <w:suff w:val="tab"/>
      <w:lvlText w:val="￮"/>
      <w:rPr>
        <w:color w:val="3370ff"/>
      </w:rPr>
    </w:lvl>
  </w:abstractNum>
  <w:abstractNum w:abstractNumId="610370">
    <w:lvl>
      <w:numFmt w:val="bullet"/>
      <w:suff w:val="tab"/>
      <w:lvlText w:val="￮"/>
      <w:rPr>
        <w:color w:val="3370ff"/>
      </w:rPr>
    </w:lvl>
  </w:abstractNum>
  <w:abstractNum w:abstractNumId="610371">
    <w:lvl>
      <w:numFmt w:val="bullet"/>
      <w:suff w:val="tab"/>
      <w:lvlText w:val="￮"/>
      <w:rPr>
        <w:color w:val="3370ff"/>
      </w:rPr>
    </w:lvl>
  </w:abstractNum>
  <w:abstractNum w:abstractNumId="610372">
    <w:lvl>
      <w:start w:val="2"/>
      <w:numFmt w:val="decimal"/>
      <w:suff w:val="tab"/>
      <w:lvlText w:val="%1."/>
      <w:rPr>
        <w:color w:val="3370ff"/>
      </w:rPr>
    </w:lvl>
  </w:abstractNum>
  <w:abstractNum w:abstractNumId="610373">
    <w:lvl>
      <w:start w:val="1"/>
      <w:numFmt w:val="decimal"/>
      <w:suff w:val="tab"/>
      <w:lvlText w:val="%1."/>
      <w:rPr>
        <w:color w:val="3370ff"/>
      </w:rPr>
    </w:lvl>
  </w:abstractNum>
  <w:abstractNum w:abstractNumId="610374">
    <w:lvl>
      <w:start w:val="2"/>
      <w:numFmt w:val="decimal"/>
      <w:suff w:val="tab"/>
      <w:lvlText w:val="%1."/>
      <w:rPr>
        <w:color w:val="3370ff"/>
      </w:rPr>
    </w:lvl>
  </w:abstractNum>
  <w:abstractNum w:abstractNumId="610375">
    <w:lvl>
      <w:start w:val="3"/>
      <w:numFmt w:val="decimal"/>
      <w:suff w:val="tab"/>
      <w:lvlText w:val="%1."/>
      <w:rPr>
        <w:color w:val="3370ff"/>
      </w:rPr>
    </w:lvl>
  </w:abstractNum>
  <w:abstractNum w:abstractNumId="610376">
    <w:lvl>
      <w:start w:val="1"/>
      <w:numFmt w:val="decimal"/>
      <w:suff w:val="tab"/>
      <w:lvlText w:val="%1."/>
      <w:rPr>
        <w:color w:val="3370ff"/>
      </w:rPr>
    </w:lvl>
  </w:abstractNum>
  <w:abstractNum w:abstractNumId="610377">
    <w:lvl>
      <w:start w:val="2"/>
      <w:numFmt w:val="decimal"/>
      <w:suff w:val="tab"/>
      <w:lvlText w:val="%1."/>
      <w:rPr>
        <w:color w:val="3370ff"/>
      </w:rPr>
    </w:lvl>
  </w:abstractNum>
  <w:abstractNum w:abstractNumId="610378">
    <w:lvl>
      <w:start w:val="3"/>
      <w:numFmt w:val="decimal"/>
      <w:suff w:val="tab"/>
      <w:lvlText w:val="%1."/>
      <w:rPr>
        <w:color w:val="3370ff"/>
      </w:rPr>
    </w:lvl>
  </w:abstractNum>
  <w:abstractNum w:abstractNumId="610379">
    <w:lvl>
      <w:start w:val="1"/>
      <w:numFmt w:val="decimal"/>
      <w:suff w:val="tab"/>
      <w:lvlText w:val="%1."/>
      <w:rPr>
        <w:color w:val="3370ff"/>
      </w:rPr>
    </w:lvl>
  </w:abstractNum>
  <w:abstractNum w:abstractNumId="610380">
    <w:lvl>
      <w:start w:val="2"/>
      <w:numFmt w:val="decimal"/>
      <w:suff w:val="tab"/>
      <w:lvlText w:val="%1."/>
      <w:rPr>
        <w:color w:val="3370ff"/>
      </w:rPr>
    </w:lvl>
  </w:abstractNum>
  <w:abstractNum w:abstractNumId="610381">
    <w:lvl>
      <w:start w:val="3"/>
      <w:numFmt w:val="decimal"/>
      <w:suff w:val="tab"/>
      <w:lvlText w:val="%1."/>
      <w:rPr>
        <w:color w:val="3370ff"/>
      </w:rPr>
    </w:lvl>
  </w:abstractNum>
  <w:abstractNum w:abstractNumId="610382">
    <w:lvl>
      <w:start w:val="1"/>
      <w:numFmt w:val="decimal"/>
      <w:suff w:val="tab"/>
      <w:lvlText w:val="%1."/>
      <w:rPr>
        <w:color w:val="3370ff"/>
      </w:rPr>
    </w:lvl>
  </w:abstractNum>
  <w:abstractNum w:abstractNumId="610383">
    <w:lvl>
      <w:start w:val="2"/>
      <w:numFmt w:val="decimal"/>
      <w:suff w:val="tab"/>
      <w:lvlText w:val="%1."/>
      <w:rPr>
        <w:color w:val="3370ff"/>
      </w:rPr>
    </w:lvl>
  </w:abstractNum>
  <w:abstractNum w:abstractNumId="610384">
    <w:lvl>
      <w:start w:val="3"/>
      <w:numFmt w:val="decimal"/>
      <w:suff w:val="tab"/>
      <w:lvlText w:val="%1."/>
      <w:rPr>
        <w:color w:val="3370ff"/>
      </w:rPr>
    </w:lvl>
  </w:abstractNum>
  <w:abstractNum w:abstractNumId="610385">
    <w:lvl>
      <w:start w:val="1"/>
      <w:numFmt w:val="decimal"/>
      <w:suff w:val="tab"/>
      <w:lvlText w:val="%1."/>
      <w:rPr>
        <w:color w:val="3370ff"/>
      </w:rPr>
    </w:lvl>
  </w:abstractNum>
  <w:abstractNum w:abstractNumId="610386">
    <w:lvl>
      <w:start w:val="2"/>
      <w:numFmt w:val="decimal"/>
      <w:suff w:val="tab"/>
      <w:lvlText w:val="%1."/>
      <w:rPr>
        <w:color w:val="3370ff"/>
      </w:rPr>
    </w:lvl>
  </w:abstractNum>
  <w:abstractNum w:abstractNumId="610387">
    <w:lvl>
      <w:start w:val="3"/>
      <w:numFmt w:val="decimal"/>
      <w:suff w:val="tab"/>
      <w:lvlText w:val="%1."/>
      <w:rPr>
        <w:color w:val="3370ff"/>
      </w:rPr>
    </w:lvl>
  </w:abstractNum>
  <w:abstractNum w:abstractNumId="610388">
    <w:lvl>
      <w:start w:val="1"/>
      <w:numFmt w:val="decimal"/>
      <w:suff w:val="tab"/>
      <w:lvlText w:val="%1."/>
      <w:rPr>
        <w:color w:val="3370ff"/>
      </w:rPr>
    </w:lvl>
  </w:abstractNum>
  <w:abstractNum w:abstractNumId="610389">
    <w:lvl>
      <w:start w:val="2"/>
      <w:numFmt w:val="decimal"/>
      <w:suff w:val="tab"/>
      <w:lvlText w:val="%1."/>
      <w:rPr>
        <w:color w:val="3370ff"/>
      </w:rPr>
    </w:lvl>
  </w:abstractNum>
  <w:abstractNum w:abstractNumId="610390">
    <w:lvl>
      <w:numFmt w:val="bullet"/>
      <w:suff w:val="tab"/>
      <w:lvlText w:val="￮"/>
      <w:rPr>
        <w:color w:val="3370ff"/>
      </w:rPr>
    </w:lvl>
  </w:abstractNum>
  <w:abstractNum w:abstractNumId="610391">
    <w:lvl>
      <w:numFmt w:val="bullet"/>
      <w:suff w:val="tab"/>
      <w:lvlText w:val="￮"/>
      <w:rPr>
        <w:color w:val="3370ff"/>
      </w:rPr>
    </w:lvl>
  </w:abstractNum>
  <w:abstractNum w:abstractNumId="610392">
    <w:lvl>
      <w:numFmt w:val="bullet"/>
      <w:suff w:val="tab"/>
      <w:lvlText w:val="￮"/>
      <w:rPr>
        <w:color w:val="3370ff"/>
      </w:rPr>
    </w:lvl>
  </w:abstractNum>
  <w:abstractNum w:abstractNumId="610393">
    <w:lvl>
      <w:numFmt w:val="bullet"/>
      <w:suff w:val="tab"/>
      <w:lvlText w:val="￮"/>
      <w:rPr>
        <w:color w:val="3370ff"/>
      </w:rPr>
    </w:lvl>
  </w:abstractNum>
  <w:abstractNum w:abstractNumId="610394">
    <w:lvl>
      <w:start w:val="1"/>
      <w:numFmt w:val="decimal"/>
      <w:suff w:val="tab"/>
      <w:lvlText w:val="%1."/>
      <w:rPr>
        <w:color w:val="3370ff"/>
      </w:rPr>
    </w:lvl>
  </w:abstractNum>
  <w:abstractNum w:abstractNumId="610395">
    <w:lvl>
      <w:start w:val="2"/>
      <w:numFmt w:val="decimal"/>
      <w:suff w:val="tab"/>
      <w:lvlText w:val="%1."/>
      <w:rPr>
        <w:color w:val="3370ff"/>
      </w:rPr>
    </w:lvl>
  </w:abstractNum>
  <w:abstractNum w:abstractNumId="610396">
    <w:lvl>
      <w:start w:val="3"/>
      <w:numFmt w:val="decimal"/>
      <w:suff w:val="tab"/>
      <w:lvlText w:val="%1."/>
      <w:rPr>
        <w:color w:val="3370ff"/>
      </w:rPr>
    </w:lvl>
  </w:abstractNum>
  <w:abstractNum w:abstractNumId="610397">
    <w:lvl>
      <w:start w:val="4"/>
      <w:numFmt w:val="decimal"/>
      <w:suff w:val="tab"/>
      <w:lvlText w:val="%1."/>
      <w:rPr>
        <w:color w:val="3370ff"/>
      </w:rPr>
    </w:lvl>
  </w:abstractNum>
  <w:abstractNum w:abstractNumId="610398">
    <w:lvl>
      <w:start w:val="1"/>
      <w:numFmt w:val="decimal"/>
      <w:suff w:val="tab"/>
      <w:lvlText w:val="%1."/>
      <w:rPr>
        <w:color w:val="3370ff"/>
      </w:rPr>
    </w:lvl>
  </w:abstractNum>
  <w:abstractNum w:abstractNumId="610399">
    <w:lvl>
      <w:numFmt w:val="bullet"/>
      <w:suff w:val="tab"/>
      <w:lvlText w:val="￮"/>
      <w:rPr>
        <w:color w:val="3370ff"/>
      </w:rPr>
    </w:lvl>
  </w:abstractNum>
  <w:abstractNum w:abstractNumId="610400">
    <w:lvl>
      <w:numFmt w:val="bullet"/>
      <w:suff w:val="tab"/>
      <w:lvlText w:val="￮"/>
      <w:rPr>
        <w:color w:val="3370ff"/>
      </w:rPr>
    </w:lvl>
  </w:abstractNum>
  <w:abstractNum w:abstractNumId="610401">
    <w:lvl>
      <w:numFmt w:val="bullet"/>
      <w:suff w:val="tab"/>
      <w:lvlText w:val="￮"/>
      <w:rPr>
        <w:color w:val="3370ff"/>
      </w:rPr>
    </w:lvl>
  </w:abstractNum>
  <w:abstractNum w:abstractNumId="610402">
    <w:lvl>
      <w:numFmt w:val="bullet"/>
      <w:suff w:val="tab"/>
      <w:lvlText w:val="￮"/>
      <w:rPr>
        <w:color w:val="3370ff"/>
      </w:rPr>
    </w:lvl>
  </w:abstractNum>
  <w:abstractNum w:abstractNumId="610403">
    <w:lvl>
      <w:numFmt w:val="bullet"/>
      <w:suff w:val="tab"/>
      <w:lvlText w:val="￮"/>
      <w:rPr>
        <w:color w:val="3370ff"/>
      </w:rPr>
    </w:lvl>
  </w:abstractNum>
  <w:abstractNum w:abstractNumId="610404">
    <w:lvl>
      <w:numFmt w:val="bullet"/>
      <w:suff w:val="tab"/>
      <w:lvlText w:val="￮"/>
      <w:rPr>
        <w:color w:val="3370ff"/>
      </w:rPr>
    </w:lvl>
  </w:abstractNum>
  <w:abstractNum w:abstractNumId="610405">
    <w:lvl>
      <w:start w:val="2"/>
      <w:numFmt w:val="decimal"/>
      <w:suff w:val="tab"/>
      <w:lvlText w:val="%1."/>
      <w:rPr>
        <w:color w:val="3370ff"/>
      </w:rPr>
    </w:lvl>
  </w:abstractNum>
  <w:abstractNum w:abstractNumId="610406">
    <w:lvl>
      <w:numFmt w:val="bullet"/>
      <w:suff w:val="tab"/>
      <w:lvlText w:val="￮"/>
      <w:rPr>
        <w:color w:val="3370ff"/>
      </w:rPr>
    </w:lvl>
  </w:abstractNum>
  <w:abstractNum w:abstractNumId="610407">
    <w:lvl>
      <w:numFmt w:val="bullet"/>
      <w:suff w:val="tab"/>
      <w:lvlText w:val="￮"/>
      <w:rPr>
        <w:color w:val="3370ff"/>
      </w:rPr>
    </w:lvl>
  </w:abstractNum>
  <w:abstractNum w:abstractNumId="610408">
    <w:lvl>
      <w:numFmt w:val="bullet"/>
      <w:suff w:val="tab"/>
      <w:lvlText w:val="￮"/>
      <w:rPr>
        <w:color w:val="3370ff"/>
      </w:rPr>
    </w:lvl>
  </w:abstractNum>
  <w:abstractNum w:abstractNumId="610409">
    <w:lvl>
      <w:numFmt w:val="bullet"/>
      <w:suff w:val="tab"/>
      <w:lvlText w:val="￮"/>
      <w:rPr>
        <w:color w:val="3370ff"/>
      </w:rPr>
    </w:lvl>
  </w:abstractNum>
  <w:abstractNum w:abstractNumId="610410">
    <w:lvl>
      <w:numFmt w:val="bullet"/>
      <w:suff w:val="tab"/>
      <w:lvlText w:val="￮"/>
      <w:rPr>
        <w:color w:val="3370ff"/>
      </w:rPr>
    </w:lvl>
  </w:abstractNum>
  <w:abstractNum w:abstractNumId="610411">
    <w:lvl>
      <w:numFmt w:val="bullet"/>
      <w:suff w:val="tab"/>
      <w:lvlText w:val="￮"/>
      <w:rPr>
        <w:color w:val="3370ff"/>
      </w:rPr>
    </w:lvl>
  </w:abstractNum>
  <w:abstractNum w:abstractNumId="610412">
    <w:lvl>
      <w:start w:val="3"/>
      <w:numFmt w:val="decimal"/>
      <w:suff w:val="tab"/>
      <w:lvlText w:val="%1."/>
      <w:rPr>
        <w:color w:val="3370ff"/>
      </w:rPr>
    </w:lvl>
  </w:abstractNum>
  <w:abstractNum w:abstractNumId="610413">
    <w:lvl>
      <w:numFmt w:val="bullet"/>
      <w:suff w:val="tab"/>
      <w:lvlText w:val="￮"/>
      <w:rPr>
        <w:color w:val="3370ff"/>
      </w:rPr>
    </w:lvl>
  </w:abstractNum>
  <w:abstractNum w:abstractNumId="610414">
    <w:lvl>
      <w:numFmt w:val="bullet"/>
      <w:suff w:val="tab"/>
      <w:lvlText w:val="￮"/>
      <w:rPr>
        <w:color w:val="3370ff"/>
      </w:rPr>
    </w:lvl>
  </w:abstractNum>
  <w:abstractNum w:abstractNumId="610415">
    <w:lvl>
      <w:numFmt w:val="bullet"/>
      <w:suff w:val="tab"/>
      <w:lvlText w:val="￮"/>
      <w:rPr>
        <w:color w:val="3370ff"/>
      </w:rPr>
    </w:lvl>
  </w:abstractNum>
  <w:abstractNum w:abstractNumId="610416">
    <w:lvl>
      <w:numFmt w:val="bullet"/>
      <w:suff w:val="tab"/>
      <w:lvlText w:val="￮"/>
      <w:rPr>
        <w:color w:val="3370ff"/>
      </w:rPr>
    </w:lvl>
  </w:abstractNum>
  <w:abstractNum w:abstractNumId="610417">
    <w:lvl>
      <w:numFmt w:val="bullet"/>
      <w:suff w:val="tab"/>
      <w:lvlText w:val="￮"/>
      <w:rPr>
        <w:color w:val="3370ff"/>
      </w:rPr>
    </w:lvl>
  </w:abstractNum>
  <w:abstractNum w:abstractNumId="610418">
    <w:lvl>
      <w:numFmt w:val="bullet"/>
      <w:suff w:val="tab"/>
      <w:lvlText w:val="￮"/>
      <w:rPr>
        <w:color w:val="3370ff"/>
      </w:rPr>
    </w:lvl>
  </w:abstractNum>
  <w:abstractNum w:abstractNumId="610419">
    <w:lvl>
      <w:start w:val="1"/>
      <w:numFmt w:val="decimal"/>
      <w:suff w:val="tab"/>
      <w:lvlText w:val="%1."/>
      <w:rPr>
        <w:color w:val="3370ff"/>
      </w:rPr>
    </w:lvl>
  </w:abstractNum>
  <w:abstractNum w:abstractNumId="610420">
    <w:lvl>
      <w:start w:val="2"/>
      <w:numFmt w:val="decimal"/>
      <w:suff w:val="tab"/>
      <w:lvlText w:val="%1."/>
      <w:rPr>
        <w:color w:val="3370ff"/>
      </w:rPr>
    </w:lvl>
  </w:abstractNum>
  <w:abstractNum w:abstractNumId="610421">
    <w:lvl>
      <w:start w:val="3"/>
      <w:numFmt w:val="decimal"/>
      <w:suff w:val="tab"/>
      <w:lvlText w:val="%1."/>
      <w:rPr>
        <w:color w:val="3370ff"/>
      </w:rPr>
    </w:lvl>
  </w:abstractNum>
  <w:abstractNum w:abstractNumId="610422">
    <w:lvl>
      <w:start w:val="4"/>
      <w:numFmt w:val="decimal"/>
      <w:suff w:val="tab"/>
      <w:lvlText w:val="%1."/>
      <w:rPr>
        <w:color w:val="3370ff"/>
      </w:rPr>
    </w:lvl>
  </w:abstractNum>
  <w:abstractNum w:abstractNumId="610423">
    <w:lvl>
      <w:start w:val="1"/>
      <w:numFmt w:val="decimal"/>
      <w:suff w:val="tab"/>
      <w:lvlText w:val="%1."/>
      <w:rPr>
        <w:color w:val="3370ff"/>
      </w:rPr>
    </w:lvl>
  </w:abstractNum>
  <w:abstractNum w:abstractNumId="610424">
    <w:lvl>
      <w:numFmt w:val="bullet"/>
      <w:suff w:val="tab"/>
      <w:lvlText w:val="￮"/>
      <w:rPr>
        <w:color w:val="3370ff"/>
      </w:rPr>
    </w:lvl>
  </w:abstractNum>
  <w:abstractNum w:abstractNumId="610425">
    <w:lvl>
      <w:numFmt w:val="bullet"/>
      <w:suff w:val="tab"/>
      <w:lvlText w:val="￮"/>
      <w:rPr>
        <w:color w:val="3370ff"/>
      </w:rPr>
    </w:lvl>
  </w:abstractNum>
  <w:abstractNum w:abstractNumId="610426">
    <w:lvl>
      <w:numFmt w:val="bullet"/>
      <w:suff w:val="tab"/>
      <w:lvlText w:val="￮"/>
      <w:rPr>
        <w:color w:val="3370ff"/>
      </w:rPr>
    </w:lvl>
  </w:abstractNum>
  <w:abstractNum w:abstractNumId="610427">
    <w:lvl>
      <w:numFmt w:val="bullet"/>
      <w:suff w:val="tab"/>
      <w:lvlText w:val="￮"/>
      <w:rPr>
        <w:color w:val="3370ff"/>
      </w:rPr>
    </w:lvl>
  </w:abstractNum>
  <w:abstractNum w:abstractNumId="610428">
    <w:lvl>
      <w:numFmt w:val="bullet"/>
      <w:suff w:val="tab"/>
      <w:lvlText w:val="￮"/>
      <w:rPr>
        <w:color w:val="3370ff"/>
      </w:rPr>
    </w:lvl>
  </w:abstractNum>
  <w:abstractNum w:abstractNumId="610429">
    <w:lvl>
      <w:numFmt w:val="bullet"/>
      <w:suff w:val="tab"/>
      <w:lvlText w:val="￮"/>
      <w:rPr>
        <w:color w:val="3370ff"/>
      </w:rPr>
    </w:lvl>
  </w:abstractNum>
  <w:abstractNum w:abstractNumId="610430">
    <w:lvl>
      <w:start w:val="2"/>
      <w:numFmt w:val="decimal"/>
      <w:suff w:val="tab"/>
      <w:lvlText w:val="%1."/>
      <w:rPr>
        <w:color w:val="3370ff"/>
      </w:rPr>
    </w:lvl>
  </w:abstractNum>
  <w:abstractNum w:abstractNumId="610431">
    <w:lvl>
      <w:numFmt w:val="bullet"/>
      <w:suff w:val="tab"/>
      <w:lvlText w:val="￮"/>
      <w:rPr>
        <w:color w:val="3370ff"/>
      </w:rPr>
    </w:lvl>
  </w:abstractNum>
  <w:abstractNum w:abstractNumId="610432">
    <w:lvl>
      <w:numFmt w:val="bullet"/>
      <w:suff w:val="tab"/>
      <w:lvlText w:val="￮"/>
      <w:rPr>
        <w:color w:val="3370ff"/>
      </w:rPr>
    </w:lvl>
  </w:abstractNum>
  <w:abstractNum w:abstractNumId="610433">
    <w:lvl>
      <w:numFmt w:val="bullet"/>
      <w:suff w:val="tab"/>
      <w:lvlText w:val="￮"/>
      <w:rPr>
        <w:color w:val="3370ff"/>
      </w:rPr>
    </w:lvl>
  </w:abstractNum>
  <w:abstractNum w:abstractNumId="610434">
    <w:lvl>
      <w:numFmt w:val="bullet"/>
      <w:suff w:val="tab"/>
      <w:lvlText w:val="￮"/>
      <w:rPr>
        <w:color w:val="3370ff"/>
      </w:rPr>
    </w:lvl>
  </w:abstractNum>
  <w:abstractNum w:abstractNumId="610435">
    <w:lvl>
      <w:numFmt w:val="bullet"/>
      <w:suff w:val="tab"/>
      <w:lvlText w:val="▪"/>
      <w:rPr>
        <w:color w:val="3370ff"/>
        <w:sz w:val="11"/>
      </w:rPr>
    </w:lvl>
  </w:abstractNum>
  <w:abstractNum w:abstractNumId="610436">
    <w:lvl>
      <w:numFmt w:val="bullet"/>
      <w:suff w:val="tab"/>
      <w:lvlText w:val="▪"/>
      <w:rPr>
        <w:color w:val="3370ff"/>
        <w:sz w:val="11"/>
      </w:rPr>
    </w:lvl>
  </w:abstractNum>
  <w:abstractNum w:abstractNumId="610437">
    <w:lvl>
      <w:numFmt w:val="bullet"/>
      <w:suff w:val="tab"/>
      <w:lvlText w:val="￮"/>
      <w:rPr>
        <w:color w:val="3370ff"/>
      </w:rPr>
    </w:lvl>
  </w:abstractNum>
  <w:abstractNum w:abstractNumId="610438">
    <w:lvl>
      <w:numFmt w:val="bullet"/>
      <w:suff w:val="tab"/>
      <w:lvlText w:val="▪"/>
      <w:rPr>
        <w:color w:val="3370ff"/>
        <w:sz w:val="11"/>
      </w:rPr>
    </w:lvl>
  </w:abstractNum>
  <w:abstractNum w:abstractNumId="610439">
    <w:lvl>
      <w:numFmt w:val="bullet"/>
      <w:suff w:val="tab"/>
      <w:lvlText w:val="▪"/>
      <w:rPr>
        <w:color w:val="3370ff"/>
        <w:sz w:val="11"/>
      </w:rPr>
    </w:lvl>
  </w:abstractNum>
  <w:abstractNum w:abstractNumId="610440">
    <w:lvl>
      <w:numFmt w:val="bullet"/>
      <w:suff w:val="tab"/>
      <w:lvlText w:val="￮"/>
      <w:rPr>
        <w:color w:val="3370ff"/>
      </w:rPr>
    </w:lvl>
  </w:abstractNum>
  <w:abstractNum w:abstractNumId="610441">
    <w:lvl>
      <w:start w:val="3"/>
      <w:numFmt w:val="decimal"/>
      <w:suff w:val="tab"/>
      <w:lvlText w:val="%1."/>
      <w:rPr>
        <w:color w:val="3370ff"/>
      </w:rPr>
    </w:lvl>
  </w:abstractNum>
  <w:abstractNum w:abstractNumId="610442">
    <w:lvl>
      <w:numFmt w:val="bullet"/>
      <w:suff w:val="tab"/>
      <w:lvlText w:val="￮"/>
      <w:rPr>
        <w:color w:val="3370ff"/>
      </w:rPr>
    </w:lvl>
  </w:abstractNum>
  <w:abstractNum w:abstractNumId="610443">
    <w:lvl>
      <w:numFmt w:val="bullet"/>
      <w:suff w:val="tab"/>
      <w:lvlText w:val="￮"/>
      <w:rPr>
        <w:color w:val="3370ff"/>
      </w:rPr>
    </w:lvl>
  </w:abstractNum>
  <w:abstractNum w:abstractNumId="610444">
    <w:lvl>
      <w:numFmt w:val="bullet"/>
      <w:suff w:val="tab"/>
      <w:lvlText w:val="￮"/>
      <w:rPr>
        <w:color w:val="3370ff"/>
      </w:rPr>
    </w:lvl>
  </w:abstractNum>
  <w:abstractNum w:abstractNumId="610445">
    <w:lvl>
      <w:numFmt w:val="bullet"/>
      <w:suff w:val="tab"/>
      <w:lvlText w:val="￮"/>
      <w:rPr>
        <w:color w:val="3370ff"/>
      </w:rPr>
    </w:lvl>
  </w:abstractNum>
  <w:abstractNum w:abstractNumId="610446">
    <w:lvl>
      <w:numFmt w:val="bullet"/>
      <w:suff w:val="tab"/>
      <w:lvlText w:val="￮"/>
      <w:rPr>
        <w:color w:val="3370ff"/>
      </w:rPr>
    </w:lvl>
  </w:abstractNum>
  <w:abstractNum w:abstractNumId="610447">
    <w:lvl>
      <w:numFmt w:val="bullet"/>
      <w:suff w:val="tab"/>
      <w:lvlText w:val="￮"/>
      <w:rPr>
        <w:color w:val="3370ff"/>
      </w:rPr>
    </w:lvl>
  </w:abstractNum>
  <w:abstractNum w:abstractNumId="610448">
    <w:lvl>
      <w:start w:val="1"/>
      <w:numFmt w:val="decimal"/>
      <w:suff w:val="tab"/>
      <w:lvlText w:val="%1."/>
      <w:rPr>
        <w:color w:val="3370ff"/>
      </w:rPr>
    </w:lvl>
  </w:abstractNum>
  <w:abstractNum w:abstractNumId="610449">
    <w:lvl>
      <w:start w:val="2"/>
      <w:numFmt w:val="decimal"/>
      <w:suff w:val="tab"/>
      <w:lvlText w:val="%1."/>
      <w:rPr>
        <w:color w:val="3370ff"/>
      </w:rPr>
    </w:lvl>
  </w:abstractNum>
  <w:abstractNum w:abstractNumId="610450">
    <w:lvl>
      <w:numFmt w:val="bullet"/>
      <w:suff w:val="tab"/>
      <w:lvlText w:val="￮"/>
      <w:rPr>
        <w:color w:val="3370ff"/>
      </w:rPr>
    </w:lvl>
  </w:abstractNum>
  <w:abstractNum w:abstractNumId="610451">
    <w:lvl>
      <w:numFmt w:val="bullet"/>
      <w:suff w:val="tab"/>
      <w:lvlText w:val="￮"/>
      <w:rPr>
        <w:color w:val="3370ff"/>
      </w:rPr>
    </w:lvl>
  </w:abstractNum>
  <w:abstractNum w:abstractNumId="610452">
    <w:lvl>
      <w:numFmt w:val="bullet"/>
      <w:suff w:val="tab"/>
      <w:lvlText w:val="▪"/>
      <w:rPr>
        <w:color w:val="3370ff"/>
        <w:sz w:val="11"/>
      </w:rPr>
    </w:lvl>
  </w:abstractNum>
  <w:abstractNum w:abstractNumId="610453">
    <w:lvl>
      <w:numFmt w:val="bullet"/>
      <w:suff w:val="tab"/>
      <w:lvlText w:val="▪"/>
      <w:rPr>
        <w:color w:val="3370ff"/>
        <w:sz w:val="11"/>
      </w:rPr>
    </w:lvl>
  </w:abstractNum>
  <w:abstractNum w:abstractNumId="610454">
    <w:lvl>
      <w:start w:val="3"/>
      <w:numFmt w:val="decimal"/>
      <w:suff w:val="tab"/>
      <w:lvlText w:val="%1."/>
      <w:rPr>
        <w:color w:val="3370ff"/>
      </w:rPr>
    </w:lvl>
  </w:abstractNum>
  <w:abstractNum w:abstractNumId="610455">
    <w:lvl>
      <w:start w:val="4"/>
      <w:numFmt w:val="decimal"/>
      <w:suff w:val="tab"/>
      <w:lvlText w:val="%1."/>
      <w:rPr>
        <w:color w:val="3370ff"/>
      </w:rPr>
    </w:lvl>
  </w:abstractNum>
  <w:abstractNum w:abstractNumId="610456">
    <w:lvl>
      <w:start w:val="5"/>
      <w:numFmt w:val="decimal"/>
      <w:suff w:val="tab"/>
      <w:lvlText w:val="%1."/>
      <w:rPr>
        <w:color w:val="3370ff"/>
      </w:rPr>
    </w:lvl>
  </w:abstractNum>
  <w:abstractNum w:abstractNumId="610457">
    <w:lvl>
      <w:start w:val="6"/>
      <w:numFmt w:val="decimal"/>
      <w:suff w:val="tab"/>
      <w:lvlText w:val="%1."/>
      <w:rPr>
        <w:color w:val="3370ff"/>
      </w:rPr>
    </w:lvl>
  </w:abstractNum>
  <w:abstractNum w:abstractNumId="610458">
    <w:lvl>
      <w:start w:val="1"/>
      <w:numFmt w:val="decimal"/>
      <w:suff w:val="tab"/>
      <w:lvlText w:val="%1."/>
      <w:rPr>
        <w:color w:val="3370ff"/>
      </w:rPr>
    </w:lvl>
  </w:abstractNum>
  <w:abstractNum w:abstractNumId="610459">
    <w:lvl>
      <w:numFmt w:val="bullet"/>
      <w:suff w:val="tab"/>
      <w:lvlText w:val="￮"/>
      <w:rPr>
        <w:color w:val="3370ff"/>
      </w:rPr>
    </w:lvl>
  </w:abstractNum>
  <w:abstractNum w:abstractNumId="610460">
    <w:lvl>
      <w:numFmt w:val="bullet"/>
      <w:suff w:val="tab"/>
      <w:lvlText w:val="￮"/>
      <w:rPr>
        <w:color w:val="3370ff"/>
      </w:rPr>
    </w:lvl>
  </w:abstractNum>
  <w:abstractNum w:abstractNumId="610461">
    <w:lvl>
      <w:numFmt w:val="bullet"/>
      <w:suff w:val="tab"/>
      <w:lvlText w:val="￮"/>
      <w:rPr>
        <w:color w:val="3370ff"/>
      </w:rPr>
    </w:lvl>
  </w:abstractNum>
  <w:abstractNum w:abstractNumId="610462">
    <w:lvl>
      <w:numFmt w:val="bullet"/>
      <w:suff w:val="tab"/>
      <w:lvlText w:val="￮"/>
      <w:rPr>
        <w:color w:val="3370ff"/>
      </w:rPr>
    </w:lvl>
  </w:abstractNum>
  <w:abstractNum w:abstractNumId="610463">
    <w:lvl>
      <w:start w:val="2"/>
      <w:numFmt w:val="decimal"/>
      <w:suff w:val="tab"/>
      <w:lvlText w:val="%1."/>
      <w:rPr>
        <w:color w:val="3370ff"/>
      </w:rPr>
    </w:lvl>
  </w:abstractNum>
  <w:abstractNum w:abstractNumId="610464">
    <w:lvl>
      <w:numFmt w:val="bullet"/>
      <w:suff w:val="tab"/>
      <w:lvlText w:val="￮"/>
      <w:rPr>
        <w:color w:val="3370ff"/>
      </w:rPr>
    </w:lvl>
  </w:abstractNum>
  <w:abstractNum w:abstractNumId="610465">
    <w:lvl>
      <w:numFmt w:val="bullet"/>
      <w:suff w:val="tab"/>
      <w:lvlText w:val="￮"/>
      <w:rPr>
        <w:color w:val="3370ff"/>
      </w:rPr>
    </w:lvl>
  </w:abstractNum>
  <w:abstractNum w:abstractNumId="610466">
    <w:lvl>
      <w:numFmt w:val="bullet"/>
      <w:suff w:val="tab"/>
      <w:lvlText w:val="￮"/>
      <w:rPr>
        <w:color w:val="3370ff"/>
      </w:rPr>
    </w:lvl>
  </w:abstractNum>
  <w:abstractNum w:abstractNumId="610467">
    <w:lvl>
      <w:numFmt w:val="bullet"/>
      <w:suff w:val="tab"/>
      <w:lvlText w:val="￮"/>
      <w:rPr>
        <w:color w:val="3370ff"/>
      </w:rPr>
    </w:lvl>
  </w:abstractNum>
  <w:abstractNum w:abstractNumId="610468">
    <w:lvl>
      <w:start w:val="3"/>
      <w:numFmt w:val="decimal"/>
      <w:suff w:val="tab"/>
      <w:lvlText w:val="%1."/>
      <w:rPr>
        <w:color w:val="3370ff"/>
      </w:rPr>
    </w:lvl>
  </w:abstractNum>
  <w:abstractNum w:abstractNumId="610469">
    <w:lvl>
      <w:numFmt w:val="bullet"/>
      <w:suff w:val="tab"/>
      <w:lvlText w:val="￮"/>
      <w:rPr>
        <w:color w:val="3370ff"/>
      </w:rPr>
    </w:lvl>
  </w:abstractNum>
  <w:abstractNum w:abstractNumId="610470">
    <w:lvl>
      <w:numFmt w:val="bullet"/>
      <w:suff w:val="tab"/>
      <w:lvlText w:val="￮"/>
      <w:rPr>
        <w:color w:val="3370ff"/>
      </w:rPr>
    </w:lvl>
  </w:abstractNum>
  <w:abstractNum w:abstractNumId="610471">
    <w:lvl>
      <w:numFmt w:val="bullet"/>
      <w:suff w:val="tab"/>
      <w:lvlText w:val="￮"/>
      <w:rPr>
        <w:color w:val="3370ff"/>
      </w:rPr>
    </w:lvl>
  </w:abstractNum>
  <w:abstractNum w:abstractNumId="610472">
    <w:lvl>
      <w:numFmt w:val="bullet"/>
      <w:suff w:val="tab"/>
      <w:lvlText w:val="￮"/>
      <w:rPr>
        <w:color w:val="3370ff"/>
      </w:rPr>
    </w:lvl>
  </w:abstractNum>
  <w:abstractNum w:abstractNumId="610473">
    <w:lvl>
      <w:numFmt w:val="bullet"/>
      <w:suff w:val="tab"/>
      <w:lvlText w:val="￮"/>
      <w:rPr>
        <w:color w:val="3370ff"/>
      </w:rPr>
    </w:lvl>
  </w:abstractNum>
  <w:abstractNum w:abstractNumId="610474">
    <w:lvl>
      <w:numFmt w:val="bullet"/>
      <w:suff w:val="tab"/>
      <w:lvlText w:val="￮"/>
      <w:rPr>
        <w:color w:val="3370ff"/>
      </w:rPr>
    </w:lvl>
  </w:abstractNum>
  <w:abstractNum w:abstractNumId="610475">
    <w:lvl>
      <w:numFmt w:val="bullet"/>
      <w:suff w:val="tab"/>
      <w:lvlText w:val="￮"/>
      <w:rPr>
        <w:color w:val="3370ff"/>
      </w:rPr>
    </w:lvl>
  </w:abstractNum>
  <w:abstractNum w:abstractNumId="610476">
    <w:lvl>
      <w:start w:val="1"/>
      <w:numFmt w:val="decimal"/>
      <w:suff w:val="tab"/>
      <w:lvlText w:val="%1."/>
      <w:rPr>
        <w:color w:val="3370ff"/>
      </w:rPr>
    </w:lvl>
  </w:abstractNum>
  <w:abstractNum w:abstractNumId="610477">
    <w:lvl>
      <w:start w:val="2"/>
      <w:numFmt w:val="decimal"/>
      <w:suff w:val="tab"/>
      <w:lvlText w:val="%1."/>
      <w:rPr>
        <w:color w:val="3370ff"/>
      </w:rPr>
    </w:lvl>
  </w:abstractNum>
  <w:abstractNum w:abstractNumId="610478">
    <w:lvl>
      <w:start w:val="3"/>
      <w:numFmt w:val="decimal"/>
      <w:suff w:val="tab"/>
      <w:lvlText w:val="%1."/>
      <w:rPr>
        <w:color w:val="3370ff"/>
      </w:rPr>
    </w:lvl>
  </w:abstractNum>
  <w:abstractNum w:abstractNumId="610479">
    <w:lvl>
      <w:start w:val="1"/>
      <w:numFmt w:val="decimal"/>
      <w:suff w:val="tab"/>
      <w:lvlText w:val="%1."/>
      <w:rPr>
        <w:color w:val="3370ff"/>
      </w:rPr>
    </w:lvl>
  </w:abstractNum>
  <w:abstractNum w:abstractNumId="610480">
    <w:lvl>
      <w:start w:val="2"/>
      <w:numFmt w:val="decimal"/>
      <w:suff w:val="tab"/>
      <w:lvlText w:val="%1."/>
      <w:rPr>
        <w:color w:val="3370ff"/>
      </w:rPr>
    </w:lvl>
  </w:abstractNum>
  <w:abstractNum w:abstractNumId="610481">
    <w:lvl>
      <w:start w:val="3"/>
      <w:numFmt w:val="decimal"/>
      <w:suff w:val="tab"/>
      <w:lvlText w:val="%1."/>
      <w:rPr>
        <w:color w:val="3370ff"/>
      </w:rPr>
    </w:lvl>
  </w:abstractNum>
  <w:abstractNum w:abstractNumId="610482">
    <w:lvl>
      <w:start w:val="1"/>
      <w:numFmt w:val="decimal"/>
      <w:suff w:val="tab"/>
      <w:lvlText w:val="%1."/>
      <w:rPr>
        <w:color w:val="3370ff"/>
      </w:rPr>
    </w:lvl>
  </w:abstractNum>
  <w:abstractNum w:abstractNumId="610483">
    <w:lvl>
      <w:start w:val="2"/>
      <w:numFmt w:val="decimal"/>
      <w:suff w:val="tab"/>
      <w:lvlText w:val="%1."/>
      <w:rPr>
        <w:color w:val="3370ff"/>
      </w:rPr>
    </w:lvl>
  </w:abstractNum>
  <w:abstractNum w:abstractNumId="610484">
    <w:lvl>
      <w:start w:val="1"/>
      <w:numFmt w:val="decimal"/>
      <w:suff w:val="tab"/>
      <w:lvlText w:val="%1."/>
      <w:rPr>
        <w:color w:val="3370ff"/>
      </w:rPr>
    </w:lvl>
  </w:abstractNum>
  <w:abstractNum w:abstractNumId="610485">
    <w:lvl>
      <w:start w:val="2"/>
      <w:numFmt w:val="decimal"/>
      <w:suff w:val="tab"/>
      <w:lvlText w:val="%1."/>
      <w:rPr>
        <w:color w:val="3370ff"/>
      </w:rPr>
    </w:lvl>
  </w:abstractNum>
  <w:abstractNum w:abstractNumId="610486">
    <w:lvl>
      <w:start w:val="3"/>
      <w:numFmt w:val="decimal"/>
      <w:suff w:val="tab"/>
      <w:lvlText w:val="%1."/>
      <w:rPr>
        <w:color w:val="3370ff"/>
      </w:rPr>
    </w:lvl>
  </w:abstractNum>
  <w:num w:numId="1">
    <w:abstractNumId w:val="610299"/>
  </w:num>
  <w:num w:numId="2">
    <w:abstractNumId w:val="610300"/>
  </w:num>
  <w:num w:numId="3">
    <w:abstractNumId w:val="610301"/>
  </w:num>
  <w:num w:numId="4">
    <w:abstractNumId w:val="610302"/>
  </w:num>
  <w:num w:numId="5">
    <w:abstractNumId w:val="610303"/>
  </w:num>
  <w:num w:numId="6">
    <w:abstractNumId w:val="610304"/>
  </w:num>
  <w:num w:numId="7">
    <w:abstractNumId w:val="610305"/>
  </w:num>
  <w:num w:numId="8">
    <w:abstractNumId w:val="610306"/>
  </w:num>
  <w:num w:numId="9">
    <w:abstractNumId w:val="610307"/>
  </w:num>
  <w:num w:numId="10">
    <w:abstractNumId w:val="610308"/>
  </w:num>
  <w:num w:numId="11">
    <w:abstractNumId w:val="610309"/>
  </w:num>
  <w:num w:numId="12">
    <w:abstractNumId w:val="610310"/>
  </w:num>
  <w:num w:numId="13">
    <w:abstractNumId w:val="610311"/>
  </w:num>
  <w:num w:numId="14">
    <w:abstractNumId w:val="610312"/>
  </w:num>
  <w:num w:numId="15">
    <w:abstractNumId w:val="610313"/>
  </w:num>
  <w:num w:numId="16">
    <w:abstractNumId w:val="610314"/>
  </w:num>
  <w:num w:numId="17">
    <w:abstractNumId w:val="610315"/>
  </w:num>
  <w:num w:numId="18">
    <w:abstractNumId w:val="610316"/>
  </w:num>
  <w:num w:numId="19">
    <w:abstractNumId w:val="610317"/>
  </w:num>
  <w:num w:numId="20">
    <w:abstractNumId w:val="610318"/>
  </w:num>
  <w:num w:numId="21">
    <w:abstractNumId w:val="610319"/>
  </w:num>
  <w:num w:numId="22">
    <w:abstractNumId w:val="610320"/>
  </w:num>
  <w:num w:numId="23">
    <w:abstractNumId w:val="610321"/>
  </w:num>
  <w:num w:numId="24">
    <w:abstractNumId w:val="610322"/>
  </w:num>
  <w:num w:numId="25">
    <w:abstractNumId w:val="610323"/>
  </w:num>
  <w:num w:numId="26">
    <w:abstractNumId w:val="610324"/>
  </w:num>
  <w:num w:numId="27">
    <w:abstractNumId w:val="610325"/>
  </w:num>
  <w:num w:numId="28">
    <w:abstractNumId w:val="610326"/>
  </w:num>
  <w:num w:numId="29">
    <w:abstractNumId w:val="610327"/>
  </w:num>
  <w:num w:numId="30">
    <w:abstractNumId w:val="610328"/>
  </w:num>
  <w:num w:numId="31">
    <w:abstractNumId w:val="610329"/>
  </w:num>
  <w:num w:numId="32">
    <w:abstractNumId w:val="610330"/>
  </w:num>
  <w:num w:numId="33">
    <w:abstractNumId w:val="610331"/>
  </w:num>
  <w:num w:numId="34">
    <w:abstractNumId w:val="610332"/>
  </w:num>
  <w:num w:numId="35">
    <w:abstractNumId w:val="610333"/>
  </w:num>
  <w:num w:numId="36">
    <w:abstractNumId w:val="610334"/>
  </w:num>
  <w:num w:numId="37">
    <w:abstractNumId w:val="610335"/>
  </w:num>
  <w:num w:numId="38">
    <w:abstractNumId w:val="610336"/>
  </w:num>
  <w:num w:numId="39">
    <w:abstractNumId w:val="610337"/>
  </w:num>
  <w:num w:numId="40">
    <w:abstractNumId w:val="610338"/>
  </w:num>
  <w:num w:numId="41">
    <w:abstractNumId w:val="610339"/>
  </w:num>
  <w:num w:numId="42">
    <w:abstractNumId w:val="610340"/>
  </w:num>
  <w:num w:numId="43">
    <w:abstractNumId w:val="610341"/>
  </w:num>
  <w:num w:numId="44">
    <w:abstractNumId w:val="610342"/>
  </w:num>
  <w:num w:numId="45">
    <w:abstractNumId w:val="610343"/>
  </w:num>
  <w:num w:numId="46">
    <w:abstractNumId w:val="610344"/>
  </w:num>
  <w:num w:numId="47">
    <w:abstractNumId w:val="610345"/>
  </w:num>
  <w:num w:numId="48">
    <w:abstractNumId w:val="610346"/>
  </w:num>
  <w:num w:numId="49">
    <w:abstractNumId w:val="610347"/>
  </w:num>
  <w:num w:numId="50">
    <w:abstractNumId w:val="610348"/>
  </w:num>
  <w:num w:numId="51">
    <w:abstractNumId w:val="610349"/>
  </w:num>
  <w:num w:numId="52">
    <w:abstractNumId w:val="610350"/>
  </w:num>
  <w:num w:numId="53">
    <w:abstractNumId w:val="610351"/>
  </w:num>
  <w:num w:numId="54">
    <w:abstractNumId w:val="610352"/>
  </w:num>
  <w:num w:numId="55">
    <w:abstractNumId w:val="610353"/>
  </w:num>
  <w:num w:numId="56">
    <w:abstractNumId w:val="610354"/>
  </w:num>
  <w:num w:numId="57">
    <w:abstractNumId w:val="610355"/>
  </w:num>
  <w:num w:numId="58">
    <w:abstractNumId w:val="610356"/>
  </w:num>
  <w:num w:numId="59">
    <w:abstractNumId w:val="610357"/>
  </w:num>
  <w:num w:numId="60">
    <w:abstractNumId w:val="610358"/>
  </w:num>
  <w:num w:numId="61">
    <w:abstractNumId w:val="610359"/>
  </w:num>
  <w:num w:numId="62">
    <w:abstractNumId w:val="610360"/>
  </w:num>
  <w:num w:numId="63">
    <w:abstractNumId w:val="610361"/>
  </w:num>
  <w:num w:numId="64">
    <w:abstractNumId w:val="610362"/>
  </w:num>
  <w:num w:numId="65">
    <w:abstractNumId w:val="610363"/>
  </w:num>
  <w:num w:numId="66">
    <w:abstractNumId w:val="610364"/>
  </w:num>
  <w:num w:numId="67">
    <w:abstractNumId w:val="610365"/>
  </w:num>
  <w:num w:numId="68">
    <w:abstractNumId w:val="610366"/>
  </w:num>
  <w:num w:numId="69">
    <w:abstractNumId w:val="610367"/>
  </w:num>
  <w:num w:numId="70">
    <w:abstractNumId w:val="610368"/>
  </w:num>
  <w:num w:numId="71">
    <w:abstractNumId w:val="610369"/>
  </w:num>
  <w:num w:numId="72">
    <w:abstractNumId w:val="610370"/>
  </w:num>
  <w:num w:numId="73">
    <w:abstractNumId w:val="610371"/>
  </w:num>
  <w:num w:numId="74">
    <w:abstractNumId w:val="610372"/>
  </w:num>
  <w:num w:numId="75">
    <w:abstractNumId w:val="610373"/>
  </w:num>
  <w:num w:numId="76">
    <w:abstractNumId w:val="610374"/>
  </w:num>
  <w:num w:numId="77">
    <w:abstractNumId w:val="610375"/>
  </w:num>
  <w:num w:numId="78">
    <w:abstractNumId w:val="610376"/>
  </w:num>
  <w:num w:numId="79">
    <w:abstractNumId w:val="610377"/>
  </w:num>
  <w:num w:numId="80">
    <w:abstractNumId w:val="610378"/>
  </w:num>
  <w:num w:numId="81">
    <w:abstractNumId w:val="610379"/>
  </w:num>
  <w:num w:numId="82">
    <w:abstractNumId w:val="610380"/>
  </w:num>
  <w:num w:numId="83">
    <w:abstractNumId w:val="610381"/>
  </w:num>
  <w:num w:numId="84">
    <w:abstractNumId w:val="610382"/>
  </w:num>
  <w:num w:numId="85">
    <w:abstractNumId w:val="610383"/>
  </w:num>
  <w:num w:numId="86">
    <w:abstractNumId w:val="610384"/>
  </w:num>
  <w:num w:numId="87">
    <w:abstractNumId w:val="610385"/>
  </w:num>
  <w:num w:numId="88">
    <w:abstractNumId w:val="610386"/>
  </w:num>
  <w:num w:numId="89">
    <w:abstractNumId w:val="610387"/>
  </w:num>
  <w:num w:numId="90">
    <w:abstractNumId w:val="610388"/>
  </w:num>
  <w:num w:numId="91">
    <w:abstractNumId w:val="610389"/>
  </w:num>
  <w:num w:numId="92">
    <w:abstractNumId w:val="610390"/>
  </w:num>
  <w:num w:numId="93">
    <w:abstractNumId w:val="610391"/>
  </w:num>
  <w:num w:numId="94">
    <w:abstractNumId w:val="610392"/>
  </w:num>
  <w:num w:numId="95">
    <w:abstractNumId w:val="610393"/>
  </w:num>
  <w:num w:numId="96">
    <w:abstractNumId w:val="610394"/>
  </w:num>
  <w:num w:numId="97">
    <w:abstractNumId w:val="610395"/>
  </w:num>
  <w:num w:numId="98">
    <w:abstractNumId w:val="610396"/>
  </w:num>
  <w:num w:numId="99">
    <w:abstractNumId w:val="610397"/>
  </w:num>
  <w:num w:numId="100">
    <w:abstractNumId w:val="610398"/>
  </w:num>
  <w:num w:numId="101">
    <w:abstractNumId w:val="610399"/>
  </w:num>
  <w:num w:numId="102">
    <w:abstractNumId w:val="610400"/>
  </w:num>
  <w:num w:numId="103">
    <w:abstractNumId w:val="610401"/>
  </w:num>
  <w:num w:numId="104">
    <w:abstractNumId w:val="610402"/>
  </w:num>
  <w:num w:numId="105">
    <w:abstractNumId w:val="610403"/>
  </w:num>
  <w:num w:numId="106">
    <w:abstractNumId w:val="610404"/>
  </w:num>
  <w:num w:numId="107">
    <w:abstractNumId w:val="610405"/>
  </w:num>
  <w:num w:numId="108">
    <w:abstractNumId w:val="610406"/>
  </w:num>
  <w:num w:numId="109">
    <w:abstractNumId w:val="610407"/>
  </w:num>
  <w:num w:numId="110">
    <w:abstractNumId w:val="610408"/>
  </w:num>
  <w:num w:numId="111">
    <w:abstractNumId w:val="610409"/>
  </w:num>
  <w:num w:numId="112">
    <w:abstractNumId w:val="610410"/>
  </w:num>
  <w:num w:numId="113">
    <w:abstractNumId w:val="610411"/>
  </w:num>
  <w:num w:numId="114">
    <w:abstractNumId w:val="610412"/>
  </w:num>
  <w:num w:numId="115">
    <w:abstractNumId w:val="610413"/>
  </w:num>
  <w:num w:numId="116">
    <w:abstractNumId w:val="610414"/>
  </w:num>
  <w:num w:numId="117">
    <w:abstractNumId w:val="610415"/>
  </w:num>
  <w:num w:numId="118">
    <w:abstractNumId w:val="610416"/>
  </w:num>
  <w:num w:numId="119">
    <w:abstractNumId w:val="610417"/>
  </w:num>
  <w:num w:numId="120">
    <w:abstractNumId w:val="610418"/>
  </w:num>
  <w:num w:numId="121">
    <w:abstractNumId w:val="610419"/>
  </w:num>
  <w:num w:numId="122">
    <w:abstractNumId w:val="610420"/>
  </w:num>
  <w:num w:numId="123">
    <w:abstractNumId w:val="610421"/>
  </w:num>
  <w:num w:numId="124">
    <w:abstractNumId w:val="610422"/>
  </w:num>
  <w:num w:numId="125">
    <w:abstractNumId w:val="610423"/>
  </w:num>
  <w:num w:numId="126">
    <w:abstractNumId w:val="610424"/>
  </w:num>
  <w:num w:numId="127">
    <w:abstractNumId w:val="610425"/>
  </w:num>
  <w:num w:numId="128">
    <w:abstractNumId w:val="610426"/>
  </w:num>
  <w:num w:numId="129">
    <w:abstractNumId w:val="610427"/>
  </w:num>
  <w:num w:numId="130">
    <w:abstractNumId w:val="610428"/>
  </w:num>
  <w:num w:numId="131">
    <w:abstractNumId w:val="610429"/>
  </w:num>
  <w:num w:numId="132">
    <w:abstractNumId w:val="610430"/>
  </w:num>
  <w:num w:numId="133">
    <w:abstractNumId w:val="610431"/>
  </w:num>
  <w:num w:numId="134">
    <w:abstractNumId w:val="610432"/>
  </w:num>
  <w:num w:numId="135">
    <w:abstractNumId w:val="610433"/>
  </w:num>
  <w:num w:numId="136">
    <w:abstractNumId w:val="610434"/>
  </w:num>
  <w:num w:numId="137">
    <w:abstractNumId w:val="610435"/>
  </w:num>
  <w:num w:numId="138">
    <w:abstractNumId w:val="610436"/>
  </w:num>
  <w:num w:numId="139">
    <w:abstractNumId w:val="610437"/>
  </w:num>
  <w:num w:numId="140">
    <w:abstractNumId w:val="610438"/>
  </w:num>
  <w:num w:numId="141">
    <w:abstractNumId w:val="610439"/>
  </w:num>
  <w:num w:numId="142">
    <w:abstractNumId w:val="610440"/>
  </w:num>
  <w:num w:numId="143">
    <w:abstractNumId w:val="610441"/>
  </w:num>
  <w:num w:numId="144">
    <w:abstractNumId w:val="610442"/>
  </w:num>
  <w:num w:numId="145">
    <w:abstractNumId w:val="610443"/>
  </w:num>
  <w:num w:numId="146">
    <w:abstractNumId w:val="610444"/>
  </w:num>
  <w:num w:numId="147">
    <w:abstractNumId w:val="610445"/>
  </w:num>
  <w:num w:numId="148">
    <w:abstractNumId w:val="610446"/>
  </w:num>
  <w:num w:numId="149">
    <w:abstractNumId w:val="610447"/>
  </w:num>
  <w:num w:numId="150">
    <w:abstractNumId w:val="610448"/>
  </w:num>
  <w:num w:numId="151">
    <w:abstractNumId w:val="610449"/>
  </w:num>
  <w:num w:numId="152">
    <w:abstractNumId w:val="610450"/>
  </w:num>
  <w:num w:numId="153">
    <w:abstractNumId w:val="610451"/>
  </w:num>
  <w:num w:numId="154">
    <w:abstractNumId w:val="610452"/>
  </w:num>
  <w:num w:numId="155">
    <w:abstractNumId w:val="610453"/>
  </w:num>
  <w:num w:numId="156">
    <w:abstractNumId w:val="610454"/>
  </w:num>
  <w:num w:numId="157">
    <w:abstractNumId w:val="610455"/>
  </w:num>
  <w:num w:numId="158">
    <w:abstractNumId w:val="610456"/>
  </w:num>
  <w:num w:numId="159">
    <w:abstractNumId w:val="610457"/>
  </w:num>
  <w:num w:numId="160">
    <w:abstractNumId w:val="610458"/>
  </w:num>
  <w:num w:numId="161">
    <w:abstractNumId w:val="610459"/>
  </w:num>
  <w:num w:numId="162">
    <w:abstractNumId w:val="610460"/>
  </w:num>
  <w:num w:numId="163">
    <w:abstractNumId w:val="610461"/>
  </w:num>
  <w:num w:numId="164">
    <w:abstractNumId w:val="610462"/>
  </w:num>
  <w:num w:numId="165">
    <w:abstractNumId w:val="610463"/>
  </w:num>
  <w:num w:numId="166">
    <w:abstractNumId w:val="610464"/>
  </w:num>
  <w:num w:numId="167">
    <w:abstractNumId w:val="610465"/>
  </w:num>
  <w:num w:numId="168">
    <w:abstractNumId w:val="610466"/>
  </w:num>
  <w:num w:numId="169">
    <w:abstractNumId w:val="610467"/>
  </w:num>
  <w:num w:numId="170">
    <w:abstractNumId w:val="610468"/>
  </w:num>
  <w:num w:numId="171">
    <w:abstractNumId w:val="610469"/>
  </w:num>
  <w:num w:numId="172">
    <w:abstractNumId w:val="610470"/>
  </w:num>
  <w:num w:numId="173">
    <w:abstractNumId w:val="610471"/>
  </w:num>
  <w:num w:numId="174">
    <w:abstractNumId w:val="610472"/>
  </w:num>
  <w:num w:numId="175">
    <w:abstractNumId w:val="610473"/>
  </w:num>
  <w:num w:numId="176">
    <w:abstractNumId w:val="610474"/>
  </w:num>
  <w:num w:numId="177">
    <w:abstractNumId w:val="610475"/>
  </w:num>
  <w:num w:numId="178">
    <w:abstractNumId w:val="610476"/>
  </w:num>
  <w:num w:numId="179">
    <w:abstractNumId w:val="610477"/>
  </w:num>
  <w:num w:numId="180">
    <w:abstractNumId w:val="610478"/>
  </w:num>
  <w:num w:numId="181">
    <w:abstractNumId w:val="610479"/>
  </w:num>
  <w:num w:numId="182">
    <w:abstractNumId w:val="610480"/>
  </w:num>
  <w:num w:numId="183">
    <w:abstractNumId w:val="610481"/>
  </w:num>
  <w:num w:numId="184">
    <w:abstractNumId w:val="610482"/>
  </w:num>
  <w:num w:numId="185">
    <w:abstractNumId w:val="610483"/>
  </w:num>
  <w:num w:numId="186">
    <w:abstractNumId w:val="610484"/>
  </w:num>
  <w:num w:numId="187">
    <w:abstractNumId w:val="610485"/>
  </w:num>
  <w:num w:numId="188">
    <w:abstractNumId w:val="610486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2026-01-19T03:52:39Z</dcterms:created>
  <dc:creator>Apache POI</dc:creator>
</cp:coreProperties>
</file>