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《不动产收益权代币发行说明书》核心条款指引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一、导言：本指引的目的与性质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本指引旨在为发行方及其法律顾问起草一份符合</w:t>
      </w:r>
      <w:r>
        <w:rPr>
          <w:rFonts w:eastAsia="等线" w:ascii="Arial" w:cs="Arial" w:hAnsi="Arial"/>
          <w:b w:val="true"/>
          <w:sz w:val="22"/>
        </w:rPr>
        <w:t>全球主要司法辖区对数字化证券及金融产品监管精神</w:t>
      </w:r>
      <w:r>
        <w:rPr>
          <w:rFonts w:eastAsia="等线" w:ascii="Arial" w:cs="Arial" w:hAnsi="Arial"/>
          <w:sz w:val="22"/>
        </w:rPr>
        <w:t>的《代币发行说明书》提供结构化框架与核心条款范本。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法律地位</w:t>
      </w:r>
      <w:r>
        <w:rPr>
          <w:rFonts w:eastAsia="等线" w:ascii="Arial" w:cs="Arial" w:hAnsi="Arial"/>
          <w:sz w:val="22"/>
        </w:rPr>
        <w:t>：本指引不构成法律意见，发行方</w:t>
      </w:r>
      <w:r>
        <w:rPr>
          <w:rFonts w:eastAsia="等线" w:ascii="Arial" w:cs="Arial" w:hAnsi="Arial"/>
          <w:b w:val="true"/>
          <w:sz w:val="22"/>
        </w:rPr>
        <w:t>必须</w:t>
      </w:r>
      <w:r>
        <w:rPr>
          <w:rFonts w:eastAsia="等线" w:ascii="Arial" w:cs="Arial" w:hAnsi="Arial"/>
          <w:sz w:val="22"/>
        </w:rPr>
        <w:t>聘请资产所在地及目标投资者所在地的合规律师，结合本指引与当地具体法规，起草和审定最终法律文件。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核心理念</w:t>
      </w:r>
      <w:r>
        <w:rPr>
          <w:rFonts w:eastAsia="等线" w:ascii="Arial" w:cs="Arial" w:hAnsi="Arial"/>
          <w:sz w:val="22"/>
        </w:rPr>
        <w:t>：本说明书并非技术白皮书，而是一份</w:t>
      </w:r>
      <w:r>
        <w:rPr>
          <w:rFonts w:eastAsia="等线" w:ascii="Arial" w:cs="Arial" w:hAnsi="Arial"/>
          <w:b w:val="true"/>
          <w:sz w:val="22"/>
        </w:rPr>
        <w:t>具备法律约束力的金融产品披露与销售文件</w:t>
      </w:r>
      <w:r>
        <w:rPr>
          <w:rFonts w:eastAsia="等线" w:ascii="Arial" w:cs="Arial" w:hAnsi="Arial"/>
          <w:sz w:val="22"/>
        </w:rPr>
        <w:t>。其目标是在法律层面，清晰界定链上智能合约所代表的权益、风险及各方权利义务，实现链上代码与链下法律的绑定。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核心关联</w:t>
      </w:r>
      <w:r>
        <w:rPr>
          <w:rFonts w:eastAsia="等线" w:ascii="Arial" w:cs="Arial" w:hAnsi="Arial"/>
          <w:sz w:val="22"/>
        </w:rPr>
        <w:t xml:space="preserve">：说明书的所有条款，特别是对代币权益的描述，必须与 </w:t>
      </w:r>
      <w:r>
        <w:rPr>
          <w:rFonts w:eastAsia="Consolas" w:ascii="Consolas" w:cs="Consolas" w:hAnsi="Consolas"/>
          <w:b w:val="true"/>
          <w:sz w:val="22"/>
          <w:shd w:fill="EFF0F1"/>
        </w:rPr>
        <w:t>RWARealEstateShareV1.sol</w:t>
      </w:r>
      <w:r>
        <w:rPr>
          <w:rFonts w:eastAsia="等线" w:ascii="Arial" w:cs="Arial" w:hAnsi="Arial"/>
          <w:sz w:val="22"/>
        </w:rPr>
        <w:t xml:space="preserve"> 智能合约的逻辑严格对应，并明确引用其</w:t>
      </w:r>
      <w:r>
        <w:rPr>
          <w:rFonts w:eastAsia="等线" w:ascii="Arial" w:cs="Arial" w:hAnsi="Arial"/>
          <w:b w:val="true"/>
          <w:sz w:val="22"/>
        </w:rPr>
        <w:t>合约地址</w:t>
      </w:r>
      <w:r>
        <w:rPr>
          <w:rFonts w:eastAsia="等线" w:ascii="Arial" w:cs="Arial" w:hAnsi="Arial"/>
          <w:sz w:val="22"/>
        </w:rPr>
        <w:t>及</w:t>
      </w:r>
      <w:r>
        <w:rPr>
          <w:rFonts w:eastAsia="等线" w:ascii="Arial" w:cs="Arial" w:hAnsi="Arial"/>
          <w:b w:val="true"/>
          <w:sz w:val="22"/>
        </w:rPr>
        <w:t>资产实例ID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二、说明书核心章节结构与条款指引</w:t>
      </w:r>
      <w:bookmarkEnd w:id="1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第一章：摘要与关键信息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第1条（产品概览）</w:t>
      </w:r>
      <w:r>
        <w:rPr>
          <w:rFonts w:eastAsia="等线" w:ascii="Arial" w:cs="Arial" w:hAnsi="Arial"/>
          <w:sz w:val="22"/>
        </w:rPr>
        <w:t>：须以醒目表格形式呈现。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项目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产品名称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[例如] “上海中心大厦2026-2028</w:t>
            </w:r>
            <w:r>
              <w:rPr>
                <w:rFonts w:eastAsia="等线" w:ascii="Arial" w:cs="Arial" w:hAnsi="Arial"/>
                <w:sz w:val="22"/>
              </w:rPr>
              <w:t>年度租金收益权凭证”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代币标识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智能合约地址：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0x...</w:t>
            </w:r>
            <w:r>
              <w:rPr>
                <w:rFonts w:eastAsia="等线" w:ascii="Arial" w:cs="Arial" w:hAnsi="Arial"/>
                <w:sz w:val="22"/>
              </w:rPr>
              <w:t>；资产实例ID：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[48位编码]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GNACS编码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980101120101040103030301NNNN03</w:t>
            </w:r>
            <w:r>
              <w:rPr>
                <w:rFonts w:eastAsia="等线" w:ascii="Arial" w:cs="Arial" w:hAnsi="Arial"/>
                <w:sz w:val="22"/>
              </w:rPr>
              <w:t xml:space="preserve"> （此处需附简要解释，如“代表商业地产收益</w:t>
            </w:r>
            <w:r>
              <w:rPr>
                <w:rFonts w:eastAsia="等线" w:ascii="Arial" w:cs="Arial" w:hAnsi="Arial"/>
                <w:sz w:val="22"/>
              </w:rPr>
              <w:t>权的金融资产”）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标的资产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[资产名称、地址、产权证号]，详见附录一。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发行总额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代表未来[XX]个月，</w:t>
            </w:r>
            <w:r>
              <w:rPr>
                <w:rFonts w:eastAsia="等线" w:ascii="Arial" w:cs="Arial" w:hAnsi="Arial"/>
                <w:sz w:val="22"/>
              </w:rPr>
              <w:t>总计[金额]元（等值[代币数量]枚）的租金收益权。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代币面值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每1枚代币代表对标的资产[比例</w:t>
            </w:r>
            <w:r>
              <w:rPr>
                <w:rFonts w:eastAsia="等线" w:ascii="Arial" w:cs="Arial" w:hAnsi="Arial"/>
                <w:sz w:val="22"/>
              </w:rPr>
              <w:t>]的收益权份额。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收益分配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按[季度/半年]由托管方归集租金后，通过智能合约</w:t>
            </w:r>
            <w:r>
              <w:rPr>
                <w:rFonts w:eastAsia="等线" w:ascii="Arial" w:cs="Arial" w:hAnsi="Arial"/>
                <w:sz w:val="22"/>
              </w:rPr>
              <w:t>按持有人份额自动分配。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预期收益率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[X]%（基于历史租金与估值测算</w:t>
            </w:r>
            <w:r>
              <w:rPr>
                <w:rFonts w:eastAsia="等线" w:ascii="Arial" w:cs="Arial" w:hAnsi="Arial"/>
                <w:sz w:val="22"/>
              </w:rPr>
              <w:t>，非承诺）。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适用法律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[例如] 新加坡共和国法律。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争议解决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[例如] 新加坡国际仲裁中心（</w:t>
            </w:r>
            <w:r>
              <w:rPr>
                <w:rFonts w:eastAsia="等线" w:ascii="Arial" w:cs="Arial" w:hAnsi="Arial"/>
                <w:sz w:val="22"/>
              </w:rPr>
              <w:t>SIAC）。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" w:id="3"/>
      <w:r>
        <w:rPr>
          <w:rFonts w:eastAsia="等线" w:ascii="Arial" w:cs="Arial" w:hAnsi="Arial"/>
          <w:b w:val="true"/>
          <w:sz w:val="30"/>
        </w:rPr>
        <w:t>第二章：定义与解释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第2条（关键定义）</w:t>
      </w:r>
      <w:r>
        <w:rPr>
          <w:rFonts w:eastAsia="等线" w:ascii="Arial" w:cs="Arial" w:hAnsi="Arial"/>
          <w:sz w:val="22"/>
        </w:rPr>
        <w:t>：必须明确定义以下术语，并与智能合约中的变量/函数逻辑一致。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“代币”/“凭证”</w:t>
      </w:r>
      <w:r>
        <w:rPr>
          <w:rFonts w:eastAsia="等线" w:ascii="Arial" w:cs="Arial" w:hAnsi="Arial"/>
          <w:sz w:val="22"/>
        </w:rPr>
        <w:t>：指基于NAC公链智能合约（地址：</w:t>
      </w:r>
      <w:r>
        <w:rPr>
          <w:rFonts w:eastAsia="Consolas" w:ascii="Consolas" w:cs="Consolas" w:hAnsi="Consolas"/>
          <w:sz w:val="22"/>
          <w:shd w:fill="EFF0F1"/>
        </w:rPr>
        <w:t>0x...</w:t>
      </w:r>
      <w:r>
        <w:rPr>
          <w:rFonts w:eastAsia="等线" w:ascii="Arial" w:cs="Arial" w:hAnsi="Arial"/>
          <w:sz w:val="22"/>
        </w:rPr>
        <w:t>）发行的、代表本说明书所定义之收益权的同质化数字资产。</w:t>
      </w:r>
      <w:r>
        <w:rPr>
          <w:rFonts w:eastAsia="等线" w:ascii="Arial" w:cs="Arial" w:hAnsi="Arial"/>
          <w:b w:val="true"/>
          <w:sz w:val="22"/>
        </w:rPr>
        <w:t>明确声明</w:t>
      </w:r>
      <w:r>
        <w:rPr>
          <w:rFonts w:eastAsia="等线" w:ascii="Arial" w:cs="Arial" w:hAnsi="Arial"/>
          <w:sz w:val="22"/>
        </w:rPr>
        <w:t>：本代币不代表对标的物理房产的任何所有权、抵押权或控制权，仅代表特定的收益权。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“智能合约”</w:t>
      </w:r>
      <w:r>
        <w:rPr>
          <w:rFonts w:eastAsia="等线" w:ascii="Arial" w:cs="Arial" w:hAnsi="Arial"/>
          <w:sz w:val="22"/>
        </w:rPr>
        <w:t>：特指部署于NAC公链的</w:t>
      </w:r>
      <w:r>
        <w:rPr>
          <w:rFonts w:eastAsia="Consolas" w:ascii="Consolas" w:cs="Consolas" w:hAnsi="Consolas"/>
          <w:sz w:val="22"/>
          <w:shd w:fill="EFF0F1"/>
        </w:rPr>
        <w:t>RWARealEstateShareV1.sol</w:t>
      </w:r>
      <w:r>
        <w:rPr>
          <w:rFonts w:eastAsia="等线" w:ascii="Arial" w:cs="Arial" w:hAnsi="Arial"/>
          <w:sz w:val="22"/>
        </w:rPr>
        <w:t xml:space="preserve"> 合约，地址为</w:t>
      </w:r>
      <w:r>
        <w:rPr>
          <w:rFonts w:eastAsia="Consolas" w:ascii="Consolas" w:cs="Consolas" w:hAnsi="Consolas"/>
          <w:sz w:val="22"/>
          <w:shd w:fill="EFF0F1"/>
        </w:rPr>
        <w:t>0x...</w:t>
      </w:r>
      <w:r>
        <w:rPr>
          <w:rFonts w:eastAsia="等线" w:ascii="Arial" w:cs="Arial" w:hAnsi="Arial"/>
          <w:sz w:val="22"/>
        </w:rPr>
        <w:t>。其代码逻辑构成对代币功能的技术性定义。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“资产实例ID”</w:t>
      </w:r>
      <w:r>
        <w:rPr>
          <w:rFonts w:eastAsia="等线" w:ascii="Arial" w:cs="Arial" w:hAnsi="Arial"/>
          <w:sz w:val="22"/>
        </w:rPr>
        <w:t>：指由GNACS标准注册合约生成的唯一标识码（</w:t>
      </w:r>
      <w:r>
        <w:rPr>
          <w:rFonts w:eastAsia="Consolas" w:ascii="Consolas" w:cs="Consolas" w:hAnsi="Consolas"/>
          <w:sz w:val="22"/>
          <w:shd w:fill="EFF0F1"/>
        </w:rPr>
        <w:t>[48位编码]</w:t>
      </w:r>
      <w:r>
        <w:rPr>
          <w:rFonts w:eastAsia="等线" w:ascii="Arial" w:cs="Arial" w:hAnsi="Arial"/>
          <w:sz w:val="22"/>
        </w:rPr>
        <w:t>），用于在链上全局识别本特定资产包。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“托管方”</w:t>
      </w:r>
      <w:r>
        <w:rPr>
          <w:rFonts w:eastAsia="等线" w:ascii="Arial" w:cs="Arial" w:hAnsi="Arial"/>
          <w:sz w:val="22"/>
        </w:rPr>
        <w:t xml:space="preserve">：指[托管机构名称]，其职责在法律文件《资产服务协议》中约定，其链上操作地址为 </w:t>
      </w:r>
      <w:r>
        <w:rPr>
          <w:rFonts w:eastAsia="Consolas" w:ascii="Consolas" w:cs="Consolas" w:hAnsi="Consolas"/>
          <w:sz w:val="22"/>
          <w:shd w:fill="EFF0F1"/>
        </w:rPr>
        <w:t>0x...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“合格投资者”</w:t>
      </w:r>
      <w:r>
        <w:rPr>
          <w:rFonts w:eastAsia="等线" w:ascii="Arial" w:cs="Arial" w:hAnsi="Arial"/>
          <w:sz w:val="22"/>
        </w:rPr>
        <w:t>：定义标准（如净资产、投资经验要求），并明确</w:t>
      </w:r>
      <w:r>
        <w:rPr>
          <w:rFonts w:eastAsia="Consolas" w:ascii="Consolas" w:cs="Consolas" w:hAnsi="Consolas"/>
          <w:b w:val="true"/>
          <w:sz w:val="22"/>
          <w:shd w:fill="EFF0F1"/>
        </w:rPr>
        <w:t>0x...</w:t>
      </w:r>
      <w:r>
        <w:rPr>
          <w:rFonts w:eastAsia="等线" w:ascii="Arial" w:cs="Arial" w:hAnsi="Arial"/>
          <w:b w:val="true"/>
          <w:sz w:val="22"/>
        </w:rPr>
        <w:t>以通过指定合规验证合约（地址：）的验证为前提</w:t>
      </w:r>
      <w:r>
        <w:rPr>
          <w:rFonts w:eastAsia="等线" w:ascii="Arial" w:cs="Arial" w:hAnsi="Arial"/>
          <w:sz w:val="22"/>
        </w:rPr>
        <w:t>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" w:id="4"/>
      <w:r>
        <w:rPr>
          <w:rFonts w:eastAsia="等线" w:ascii="Arial" w:cs="Arial" w:hAnsi="Arial"/>
          <w:b w:val="true"/>
          <w:sz w:val="30"/>
        </w:rPr>
        <w:t>第三章：代币所代表的权益、风险与限制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第3条（持有人权益）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收益获取权</w:t>
      </w:r>
      <w:r>
        <w:rPr>
          <w:rFonts w:eastAsia="等线" w:ascii="Arial" w:cs="Arial" w:hAnsi="Arial"/>
          <w:sz w:val="22"/>
        </w:rPr>
        <w:t>：按持有比例，获得标的资产在特定期间内产生的、经扣除相关费用（详见费用条款）后的净租金收入分配。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知情权</w:t>
      </w:r>
      <w:r>
        <w:rPr>
          <w:rFonts w:eastAsia="等线" w:ascii="Arial" w:cs="Arial" w:hAnsi="Arial"/>
          <w:sz w:val="22"/>
        </w:rPr>
        <w:t>：有权定期获得由托管方或发行方发布的、存储于[例如IPFS]的资产管理报告（哈希值将更新至智能合约）。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有限治理权</w:t>
      </w:r>
      <w:r>
        <w:rPr>
          <w:rFonts w:eastAsia="等线" w:ascii="Arial" w:cs="Arial" w:hAnsi="Arial"/>
          <w:sz w:val="22"/>
        </w:rPr>
        <w:t>：对于智能合约中预设的特定重大事项（如更换托管方、提前终止），可按代币份额参与链上投票。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转让权</w:t>
      </w:r>
      <w:r>
        <w:rPr>
          <w:rFonts w:eastAsia="等线" w:ascii="Arial" w:cs="Arial" w:hAnsi="Arial"/>
          <w:sz w:val="22"/>
        </w:rPr>
        <w:t>：在遵守适用法律法规、本说明书约定及智能合约中KYC/AML限制的前提下，可向其他合格投资者转让代币。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第4条（明确不享有的权利）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必须加粗强调</w:t>
      </w:r>
      <w:r>
        <w:rPr>
          <w:rFonts w:eastAsia="等线" w:ascii="Arial" w:cs="Arial" w:hAnsi="Arial"/>
          <w:sz w:val="22"/>
        </w:rPr>
        <w:t>：代币持有人</w:t>
      </w:r>
      <w:r>
        <w:rPr>
          <w:rFonts w:eastAsia="等线" w:ascii="Arial" w:cs="Arial" w:hAnsi="Arial"/>
          <w:b w:val="true"/>
          <w:sz w:val="22"/>
        </w:rPr>
        <w:t>不享有</w:t>
      </w:r>
      <w:r>
        <w:rPr>
          <w:rFonts w:eastAsia="等线" w:ascii="Arial" w:cs="Arial" w:hAnsi="Arial"/>
          <w:sz w:val="22"/>
        </w:rPr>
        <w:t>以下权利：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对标的物理房产的所有权、占有权、使用权。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要求分割或处置标的物理房产的权利。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除非发生《资产服务协议》约定的极端违约事件，否则无权直接向标的房产租户主张权利。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第5条（风险揭示）</w:t>
      </w:r>
      <w:r>
        <w:rPr>
          <w:rFonts w:eastAsia="等线" w:ascii="Arial" w:cs="Arial" w:hAnsi="Arial"/>
          <w:sz w:val="22"/>
        </w:rPr>
        <w:t>：必须分项详细揭示，包括但不限于：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标的资产风险</w:t>
      </w:r>
      <w:r>
        <w:rPr>
          <w:rFonts w:eastAsia="等线" w:ascii="Arial" w:cs="Arial" w:hAnsi="Arial"/>
          <w:sz w:val="22"/>
        </w:rPr>
        <w:t>：空置率上升、租金下跌、房产损毁、法律纠纷。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现金流风险</w:t>
      </w:r>
      <w:r>
        <w:rPr>
          <w:rFonts w:eastAsia="等线" w:ascii="Arial" w:cs="Arial" w:hAnsi="Arial"/>
          <w:sz w:val="22"/>
        </w:rPr>
        <w:t>：租户违约、运营费用超支。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技术与合规风险</w:t>
      </w:r>
      <w:r>
        <w:rPr>
          <w:rFonts w:eastAsia="等线" w:ascii="Arial" w:cs="Arial" w:hAnsi="Arial"/>
          <w:sz w:val="22"/>
        </w:rPr>
        <w:t>：智能合约漏洞、私钥丢失、区块链网络风险、监管政策变化导致代币被认定为非法证券。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流动性风险</w:t>
      </w:r>
      <w:r>
        <w:rPr>
          <w:rFonts w:eastAsia="等线" w:ascii="Arial" w:cs="Arial" w:hAnsi="Arial"/>
          <w:sz w:val="22"/>
        </w:rPr>
        <w:t>：代币可能缺乏活跃二级市场，难以按预期价格变现。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信息不对称风险</w:t>
      </w:r>
      <w:r>
        <w:rPr>
          <w:rFonts w:eastAsia="等线" w:ascii="Arial" w:cs="Arial" w:hAnsi="Arial"/>
          <w:sz w:val="22"/>
        </w:rPr>
        <w:t>：依赖发行方及托管方提供的信息。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第四章：发行、分配与资金用途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第6条（发行条款）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发行价格：[X] 稳定币（如USDC）每代币。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发行期：[日期]至[日期]。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最低认购额：[数量]代币。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募集资金用途：</w:t>
      </w:r>
      <w:r>
        <w:rPr>
          <w:rFonts w:eastAsia="等线" w:ascii="Arial" w:cs="Arial" w:hAnsi="Arial"/>
          <w:b w:val="true"/>
          <w:sz w:val="22"/>
        </w:rPr>
        <w:t>必须明确</w:t>
      </w:r>
      <w:r>
        <w:rPr>
          <w:rFonts w:eastAsia="等线" w:ascii="Arial" w:cs="Arial" w:hAnsi="Arial"/>
          <w:sz w:val="22"/>
        </w:rPr>
        <w:t>，例如“募集资金的100%将用于向原资产方购买本说明书定义的特定期间租金收益权，资金托管于[监管银行]的共管账户，交割以智能合约铸造相应代币为标志。”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第7条（代币分配与锁定）</w:t>
      </w:r>
      <w:r>
        <w:rPr>
          <w:rFonts w:eastAsia="等线" w:ascii="Arial" w:cs="Arial" w:hAnsi="Arial"/>
          <w:sz w:val="22"/>
        </w:rPr>
        <w:t>：说明发行方、团队、顾问等份额的锁定安排。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第五章：治理与争议解决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第8条（链上治理）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明确治理范围限于智能合约预设的几种提案类型。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规定投票权重与代币份额挂钩，投票通过门槛。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强调链下法律文件的修改仍需各方签署书面协议，链上投票结果可作为执行依据。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第9条（争议解决）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管辖法律</w:t>
      </w:r>
      <w:r>
        <w:rPr>
          <w:rFonts w:eastAsia="等线" w:ascii="Arial" w:cs="Arial" w:hAnsi="Arial"/>
          <w:sz w:val="22"/>
        </w:rPr>
        <w:t>：[明确选择的司法管辖区法律]。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仲裁</w:t>
      </w:r>
      <w:r>
        <w:rPr>
          <w:rFonts w:eastAsia="等线" w:ascii="Arial" w:cs="Arial" w:hAnsi="Arial"/>
          <w:sz w:val="22"/>
        </w:rPr>
        <w:t>：约定通过[例如]新加坡国际仲裁中心（SIAC）进行仲裁，并明确</w:t>
      </w:r>
      <w:r>
        <w:rPr>
          <w:rFonts w:eastAsia="等线" w:ascii="Arial" w:cs="Arial" w:hAnsi="Arial"/>
          <w:b w:val="true"/>
          <w:sz w:val="22"/>
        </w:rPr>
        <w:t>仲裁庭应认可智能合约的链上交易记录作为有效证据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执行</w:t>
      </w:r>
      <w:r>
        <w:rPr>
          <w:rFonts w:eastAsia="等线" w:ascii="Arial" w:cs="Arial" w:hAnsi="Arial"/>
          <w:sz w:val="22"/>
        </w:rPr>
        <w:t>：各方承诺，仲裁裁决可指向智能合约的执行（例如，要求托管方或持有特定密钥方调用某个函数）。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第六章：信息披露与附录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第10条（持续义务）</w:t>
      </w:r>
      <w:r>
        <w:rPr>
          <w:rFonts w:eastAsia="等线" w:ascii="Arial" w:cs="Arial" w:hAnsi="Arial"/>
          <w:sz w:val="22"/>
        </w:rPr>
        <w:t>：规定发行方与托管方定期披露运营报告、财务审计报告（哈希值上链）的义务。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附录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附录一：标的资产详细法律与物理尽职调查报告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附录二：《资产服务协议》摘要（明确托管方权责、费用）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RWARealEstateShareV1.sol</w:t>
      </w:r>
      <w:r>
        <w:rPr>
          <w:rFonts w:eastAsia="等线" w:ascii="Arial" w:cs="Arial" w:hAnsi="Arial"/>
          <w:b w:val="true"/>
          <w:sz w:val="22"/>
        </w:rPr>
        <w:t>附录三：智能合约  主要功能与风险代码解释（非技术性语言）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[编码]</w:t>
      </w:r>
      <w:r>
        <w:rPr>
          <w:rFonts w:eastAsia="等线" w:ascii="Arial" w:cs="Arial" w:hAnsi="Arial"/>
          <w:b w:val="true"/>
          <w:sz w:val="22"/>
        </w:rPr>
        <w:t>附录四：GNACS编码  各字段含义解释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附录五：认购协议（Subscription Agreement）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三、关键条款范本（示例）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条款范本：代币性质与权益</w:t>
      </w:r>
    </w:p>
    <w:tbl>
      <w:tblPr>
        <w:tblW w:w="0" w:type="auto"/>
        <w:tblInd w:w="0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  <w:tblLayout w:type="fixed"/>
      </w:tblPr>
      <w:tblGrid>
        <w:gridCol w:w="8280"/>
      </w:tblGrid>
      <w:tr>
        <w:tc>
          <w:tcPr>
            <w:tcW w:w="8280" w:type="dxa"/>
            <w:tcBorders>
              <w:top w:val="nil"/>
              <w:left w:sz="18" w:val="single" w:color="BBBFC4"/>
              <w:bottom w:val="nil"/>
              <w:right w:val="nil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</w:t>
            </w:r>
            <w:r>
              <w:rPr>
                <w:rFonts w:eastAsia="等线" w:ascii="Arial" w:cs="Arial" w:hAnsi="Arial"/>
                <w:b w:val="true"/>
                <w:color w:val="646a73"/>
                <w:sz w:val="22"/>
              </w:rPr>
              <w:t>第X条 代币性质</w:t>
            </w:r>
            <w:r>
              <w:rPr>
                <w:rFonts w:eastAsia="等线" w:ascii="Arial" w:cs="Arial" w:hAnsi="Arial"/>
                <w:color w:val="646a73"/>
                <w:sz w:val="22"/>
              </w:rPr>
              <w:br/>
            </w:r>
            <w:r>
              <w:rPr>
                <w:rFonts w:eastAsia="等线" w:ascii="Arial" w:cs="Arial" w:hAnsi="Arial"/>
                <w:color w:val="646a73"/>
                <w:sz w:val="22"/>
              </w:rPr>
              <w:t>1. 本产品发行的代币（下称‘收益权凭证’）是基于NAC公链智能合约（地址：</w:t>
            </w:r>
            <w:r>
              <w:rPr>
                <w:rFonts w:eastAsia="Consolas" w:ascii="Consolas" w:cs="Consolas" w:hAnsi="Consolas"/>
                <w:color w:val="646a73"/>
                <w:sz w:val="22"/>
                <w:shd w:fill="EFF0F1"/>
              </w:rPr>
              <w:t>0x742...</w:t>
            </w:r>
            <w:r>
              <w:rPr>
                <w:rFonts w:eastAsia="等线" w:ascii="Arial" w:cs="Arial" w:hAnsi="Arial"/>
                <w:color w:val="646a73"/>
                <w:sz w:val="22"/>
              </w:rPr>
              <w:t>）生成和管理的数字凭证。</w:t>
              <w:br/>
              <w:t>2. 每一枚收益权凭证代表持有人对本说明书所定义的、标的资产（详见附录一）在特定期间（‘收益期’）内产生的净租金收入，享有按份的、不可分割的收益请求权。该权益的具体执行逻辑由前述智能合约代码定义。</w:t>
              <w:br/>
            </w:r>
            <w:r>
              <w:rPr>
                <w:rFonts w:eastAsia="等线" w:ascii="Arial" w:cs="Arial" w:hAnsi="Arial"/>
                <w:color w:val="646a73"/>
                <w:sz w:val="22"/>
              </w:rPr>
              <w:t xml:space="preserve">3. </w:t>
            </w:r>
            <w:r>
              <w:rPr>
                <w:rFonts w:eastAsia="等线" w:ascii="Arial" w:cs="Arial" w:hAnsi="Arial"/>
                <w:b w:val="true"/>
                <w:color w:val="646a73"/>
                <w:sz w:val="22"/>
              </w:rPr>
              <w:t>明确排除</w:t>
            </w:r>
            <w:r>
              <w:rPr>
                <w:rFonts w:eastAsia="等线" w:ascii="Arial" w:cs="Arial" w:hAnsi="Arial"/>
                <w:color w:val="646a73"/>
                <w:sz w:val="22"/>
              </w:rPr>
              <w:t>：收益权凭证不代表对标的资产物理实体的所有权、抵押权、地役权或其他任何物权，持有人无权主张占有、使用、处分该物理实体。”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条款范本：智能合约与法律文件的整合</w:t>
      </w:r>
    </w:p>
    <w:tbl>
      <w:tblPr>
        <w:tblW w:w="0" w:type="auto"/>
        <w:tblInd w:w="0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  <w:tblLayout w:type="fixed"/>
      </w:tblPr>
      <w:tblGrid>
        <w:gridCol w:w="8280"/>
      </w:tblGrid>
      <w:tr>
        <w:tc>
          <w:tcPr>
            <w:tcW w:w="8280" w:type="dxa"/>
            <w:tcBorders>
              <w:top w:val="nil"/>
              <w:left w:sz="18" w:val="single" w:color="BBBFC4"/>
              <w:bottom w:val="nil"/>
              <w:right w:val="nil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</w:t>
            </w:r>
            <w:r>
              <w:rPr>
                <w:rFonts w:eastAsia="等线" w:ascii="Arial" w:cs="Arial" w:hAnsi="Arial"/>
                <w:b w:val="true"/>
                <w:color w:val="646a73"/>
                <w:sz w:val="22"/>
              </w:rPr>
              <w:t>第Y条 智能合约的整合与证据效力</w:t>
            </w:r>
            <w:r>
              <w:rPr>
                <w:rFonts w:eastAsia="等线" w:ascii="Arial" w:cs="Arial" w:hAnsi="Arial"/>
                <w:color w:val="646a73"/>
                <w:sz w:val="22"/>
              </w:rPr>
              <w:br/>
            </w:r>
            <w:r>
              <w:rPr>
                <w:rFonts w:eastAsia="等线" w:ascii="Arial" w:cs="Arial" w:hAnsi="Arial"/>
                <w:color w:val="646a73"/>
                <w:sz w:val="22"/>
              </w:rPr>
              <w:t>1. 本说明书所述的收益分配、资格验证、份额转让等核心操作，将通过智能合约（地址：</w:t>
            </w:r>
            <w:r>
              <w:rPr>
                <w:rFonts w:eastAsia="Consolas" w:ascii="Consolas" w:cs="Consolas" w:hAnsi="Consolas"/>
                <w:color w:val="646a73"/>
                <w:sz w:val="22"/>
                <w:shd w:fill="EFF0F1"/>
              </w:rPr>
              <w:t>0x742...</w:t>
            </w:r>
            <w:r>
              <w:rPr>
                <w:rFonts w:eastAsia="等线" w:ascii="Arial" w:cs="Arial" w:hAnsi="Arial"/>
                <w:color w:val="646a73"/>
                <w:sz w:val="22"/>
              </w:rPr>
              <w:t>）自动或经授权后执行。</w:t>
              <w:br/>
            </w:r>
            <w:r>
              <w:rPr>
                <w:rFonts w:eastAsia="等线" w:ascii="Arial" w:cs="Arial" w:hAnsi="Arial"/>
                <w:color w:val="646a73"/>
                <w:sz w:val="22"/>
              </w:rPr>
              <w:t>2. 各方确认并同意，智能合约在链上产生的、关于收益权凭证的持有、转移及收益分配的交易记录，构成确定各方权利和义务的</w:t>
            </w:r>
            <w:r>
              <w:rPr>
                <w:rFonts w:eastAsia="等线" w:ascii="Arial" w:cs="Arial" w:hAnsi="Arial"/>
                <w:b w:val="true"/>
                <w:color w:val="646a73"/>
                <w:sz w:val="22"/>
              </w:rPr>
              <w:t>决定性表面证据</w:t>
            </w:r>
            <w:r>
              <w:rPr>
                <w:rFonts w:eastAsia="等线" w:ascii="Arial" w:cs="Arial" w:hAnsi="Arial"/>
                <w:color w:val="646a73"/>
                <w:sz w:val="22"/>
              </w:rPr>
              <w:t>。</w:t>
              <w:br/>
            </w:r>
            <w:r>
              <w:rPr>
                <w:rFonts w:eastAsia="等线" w:ascii="Arial" w:cs="Arial" w:hAnsi="Arial"/>
                <w:color w:val="646a73"/>
                <w:sz w:val="22"/>
              </w:rPr>
              <w:t>3. 若智能合约的操作结果与本说明书条款存在任何歧义，应以本说明书条款为准，但各方有义务通过技术或法律途径（包括调用合约的治理功能）使合约执行符合本说明书约定。”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四、最终建议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完成《说明书》草案后，应与技术团队逐条核对，确保其与 </w:t>
      </w:r>
      <w:r>
        <w:rPr>
          <w:rFonts w:eastAsia="Consolas" w:ascii="Consolas" w:cs="Consolas" w:hAnsi="Consolas"/>
          <w:sz w:val="22"/>
          <w:shd w:fill="EFF0F1"/>
        </w:rPr>
        <w:t>RWARealEstateShareV1.sol</w:t>
      </w:r>
      <w:r>
        <w:rPr>
          <w:rFonts w:eastAsia="等线" w:ascii="Arial" w:cs="Arial" w:hAnsi="Arial"/>
          <w:sz w:val="22"/>
        </w:rPr>
        <w:t xml:space="preserve"> 合约的</w:t>
      </w:r>
      <w:r>
        <w:rPr>
          <w:rFonts w:eastAsia="等线" w:ascii="Arial" w:cs="Arial" w:hAnsi="Arial"/>
          <w:b w:val="true"/>
          <w:sz w:val="22"/>
        </w:rPr>
        <w:t>实际能力</w:t>
      </w:r>
      <w:r>
        <w:rPr>
          <w:rFonts w:eastAsia="等线" w:ascii="Arial" w:cs="Arial" w:hAnsi="Arial"/>
          <w:sz w:val="22"/>
        </w:rPr>
        <w:t>完全匹配，避免作出合约无法实现的承诺。最终文件需由发行方法定代表人签署，并与投资者的链上地址进行绑定（如在认购协议中明确投资者的认购公钥地址）。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指引制定方</w:t>
      </w:r>
      <w:r>
        <w:rPr>
          <w:rFonts w:eastAsia="等线" w:ascii="Arial" w:cs="Arial" w:hAnsi="Arial"/>
          <w:sz w:val="22"/>
        </w:rPr>
        <w:t>：NAC生态合规委员会（法律工作组）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：V1.0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3650462">
    <w:lvl>
      <w:start w:val="1"/>
      <w:numFmt w:val="decimal"/>
      <w:suff w:val="tab"/>
      <w:lvlText w:val="%1."/>
      <w:rPr>
        <w:color w:val="3370ff"/>
      </w:rPr>
    </w:lvl>
  </w:abstractNum>
  <w:abstractNum w:abstractNumId="3650463">
    <w:lvl>
      <w:start w:val="2"/>
      <w:numFmt w:val="decimal"/>
      <w:suff w:val="tab"/>
      <w:lvlText w:val="%1."/>
      <w:rPr>
        <w:color w:val="3370ff"/>
      </w:rPr>
    </w:lvl>
  </w:abstractNum>
  <w:abstractNum w:abstractNumId="3650464">
    <w:lvl>
      <w:start w:val="3"/>
      <w:numFmt w:val="decimal"/>
      <w:suff w:val="tab"/>
      <w:lvlText w:val="%1."/>
      <w:rPr>
        <w:color w:val="3370ff"/>
      </w:rPr>
    </w:lvl>
  </w:abstractNum>
  <w:abstractNum w:abstractNumId="3650465">
    <w:lvl>
      <w:numFmt w:val="bullet"/>
      <w:suff w:val="tab"/>
      <w:lvlText w:val="•"/>
      <w:rPr>
        <w:color w:val="3370ff"/>
      </w:rPr>
    </w:lvl>
  </w:abstractNum>
  <w:abstractNum w:abstractNumId="3650466">
    <w:lvl>
      <w:numFmt w:val="bullet"/>
      <w:suff w:val="tab"/>
      <w:lvlText w:val="•"/>
      <w:rPr>
        <w:color w:val="3370ff"/>
      </w:rPr>
    </w:lvl>
  </w:abstractNum>
  <w:abstractNum w:abstractNumId="3650467">
    <w:lvl>
      <w:numFmt w:val="bullet"/>
      <w:suff w:val="tab"/>
      <w:lvlText w:val="•"/>
      <w:rPr>
        <w:color w:val="3370ff"/>
      </w:rPr>
    </w:lvl>
  </w:abstractNum>
  <w:abstractNum w:abstractNumId="3650468">
    <w:lvl>
      <w:numFmt w:val="bullet"/>
      <w:suff w:val="tab"/>
      <w:lvlText w:val="•"/>
      <w:rPr>
        <w:color w:val="3370ff"/>
      </w:rPr>
    </w:lvl>
  </w:abstractNum>
  <w:abstractNum w:abstractNumId="3650469">
    <w:lvl>
      <w:numFmt w:val="bullet"/>
      <w:suff w:val="tab"/>
      <w:lvlText w:val="•"/>
      <w:rPr>
        <w:color w:val="3370ff"/>
      </w:rPr>
    </w:lvl>
  </w:abstractNum>
  <w:abstractNum w:abstractNumId="3650470">
    <w:lvl>
      <w:start w:val="1"/>
      <w:numFmt w:val="decimal"/>
      <w:suff w:val="tab"/>
      <w:lvlText w:val="%1."/>
      <w:rPr>
        <w:color w:val="3370ff"/>
      </w:rPr>
    </w:lvl>
  </w:abstractNum>
  <w:abstractNum w:abstractNumId="3650471">
    <w:lvl>
      <w:start w:val="2"/>
      <w:numFmt w:val="decimal"/>
      <w:suff w:val="tab"/>
      <w:lvlText w:val="%1."/>
      <w:rPr>
        <w:color w:val="3370ff"/>
      </w:rPr>
    </w:lvl>
  </w:abstractNum>
  <w:abstractNum w:abstractNumId="3650472">
    <w:lvl>
      <w:start w:val="3"/>
      <w:numFmt w:val="decimal"/>
      <w:suff w:val="tab"/>
      <w:lvlText w:val="%1."/>
      <w:rPr>
        <w:color w:val="3370ff"/>
      </w:rPr>
    </w:lvl>
  </w:abstractNum>
  <w:abstractNum w:abstractNumId="3650473">
    <w:lvl>
      <w:start w:val="4"/>
      <w:numFmt w:val="decimal"/>
      <w:suff w:val="tab"/>
      <w:lvlText w:val="%1."/>
      <w:rPr>
        <w:color w:val="3370ff"/>
      </w:rPr>
    </w:lvl>
  </w:abstractNum>
  <w:abstractNum w:abstractNumId="3650474">
    <w:lvl>
      <w:numFmt w:val="bullet"/>
      <w:suff w:val="tab"/>
      <w:lvlText w:val="•"/>
      <w:rPr>
        <w:color w:val="3370ff"/>
      </w:rPr>
    </w:lvl>
  </w:abstractNum>
  <w:abstractNum w:abstractNumId="3650475">
    <w:lvl>
      <w:numFmt w:val="bullet"/>
      <w:suff w:val="tab"/>
      <w:lvlText w:val="•"/>
      <w:rPr>
        <w:color w:val="3370ff"/>
      </w:rPr>
    </w:lvl>
  </w:abstractNum>
  <w:abstractNum w:abstractNumId="3650476">
    <w:lvl>
      <w:numFmt w:val="bullet"/>
      <w:suff w:val="tab"/>
      <w:lvlText w:val="•"/>
      <w:rPr>
        <w:color w:val="3370ff"/>
      </w:rPr>
    </w:lvl>
  </w:abstractNum>
  <w:abstractNum w:abstractNumId="3650477">
    <w:lvl>
      <w:start w:val="1"/>
      <w:numFmt w:val="decimal"/>
      <w:suff w:val="tab"/>
      <w:lvlText w:val="%1."/>
      <w:rPr>
        <w:color w:val="3370ff"/>
      </w:rPr>
    </w:lvl>
  </w:abstractNum>
  <w:abstractNum w:abstractNumId="3650478">
    <w:lvl>
      <w:start w:val="2"/>
      <w:numFmt w:val="decimal"/>
      <w:suff w:val="tab"/>
      <w:lvlText w:val="%1."/>
      <w:rPr>
        <w:color w:val="3370ff"/>
      </w:rPr>
    </w:lvl>
  </w:abstractNum>
  <w:abstractNum w:abstractNumId="3650479">
    <w:lvl>
      <w:start w:val="3"/>
      <w:numFmt w:val="decimal"/>
      <w:suff w:val="tab"/>
      <w:lvlText w:val="%1."/>
      <w:rPr>
        <w:color w:val="3370ff"/>
      </w:rPr>
    </w:lvl>
  </w:abstractNum>
  <w:abstractNum w:abstractNumId="3650480">
    <w:lvl>
      <w:start w:val="4"/>
      <w:numFmt w:val="decimal"/>
      <w:suff w:val="tab"/>
      <w:lvlText w:val="%1."/>
      <w:rPr>
        <w:color w:val="3370ff"/>
      </w:rPr>
    </w:lvl>
  </w:abstractNum>
  <w:abstractNum w:abstractNumId="3650481">
    <w:lvl>
      <w:start w:val="5"/>
      <w:numFmt w:val="decimal"/>
      <w:suff w:val="tab"/>
      <w:lvlText w:val="%1."/>
      <w:rPr>
        <w:color w:val="3370ff"/>
      </w:rPr>
    </w:lvl>
  </w:abstractNum>
  <w:abstractNum w:abstractNumId="3650482">
    <w:lvl>
      <w:start w:val="1"/>
      <w:numFmt w:val="decimal"/>
      <w:suff w:val="tab"/>
      <w:lvlText w:val="%1."/>
      <w:rPr>
        <w:color w:val="3370ff"/>
      </w:rPr>
    </w:lvl>
  </w:abstractNum>
  <w:abstractNum w:abstractNumId="3650483">
    <w:lvl>
      <w:start w:val="2"/>
      <w:numFmt w:val="decimal"/>
      <w:suff w:val="tab"/>
      <w:lvlText w:val="%1."/>
      <w:rPr>
        <w:color w:val="3370ff"/>
      </w:rPr>
    </w:lvl>
  </w:abstractNum>
  <w:abstractNum w:abstractNumId="3650484">
    <w:lvl>
      <w:start w:val="3"/>
      <w:numFmt w:val="decimal"/>
      <w:suff w:val="tab"/>
      <w:lvlText w:val="%1."/>
      <w:rPr>
        <w:color w:val="3370ff"/>
      </w:rPr>
    </w:lvl>
  </w:abstractNum>
  <w:abstractNum w:abstractNumId="3650485">
    <w:lvl>
      <w:start w:val="4"/>
      <w:numFmt w:val="decimal"/>
      <w:suff w:val="tab"/>
      <w:lvlText w:val="%1."/>
      <w:rPr>
        <w:color w:val="3370ff"/>
      </w:rPr>
    </w:lvl>
  </w:abstractNum>
  <w:abstractNum w:abstractNumId="3650486">
    <w:lvl>
      <w:start w:val="1"/>
      <w:numFmt w:val="decimal"/>
      <w:suff w:val="tab"/>
      <w:lvlText w:val="%1."/>
      <w:rPr>
        <w:color w:val="3370ff"/>
      </w:rPr>
    </w:lvl>
  </w:abstractNum>
  <w:abstractNum w:abstractNumId="3650487">
    <w:lvl>
      <w:start w:val="2"/>
      <w:numFmt w:val="decimal"/>
      <w:suff w:val="tab"/>
      <w:lvlText w:val="%1."/>
      <w:rPr>
        <w:color w:val="3370ff"/>
      </w:rPr>
    </w:lvl>
  </w:abstractNum>
  <w:abstractNum w:abstractNumId="3650488">
    <w:lvl>
      <w:start w:val="3"/>
      <w:numFmt w:val="decimal"/>
      <w:suff w:val="tab"/>
      <w:lvlText w:val="%1."/>
      <w:rPr>
        <w:color w:val="3370ff"/>
      </w:rPr>
    </w:lvl>
  </w:abstractNum>
  <w:abstractNum w:abstractNumId="3650489">
    <w:lvl>
      <w:start w:val="1"/>
      <w:numFmt w:val="decimal"/>
      <w:suff w:val="tab"/>
      <w:lvlText w:val="%1."/>
      <w:rPr>
        <w:color w:val="3370ff"/>
      </w:rPr>
    </w:lvl>
  </w:abstractNum>
  <w:abstractNum w:abstractNumId="3650490">
    <w:lvl>
      <w:start w:val="2"/>
      <w:numFmt w:val="decimal"/>
      <w:suff w:val="tab"/>
      <w:lvlText w:val="%1."/>
      <w:rPr>
        <w:color w:val="3370ff"/>
      </w:rPr>
    </w:lvl>
  </w:abstractNum>
  <w:abstractNum w:abstractNumId="3650491">
    <w:lvl>
      <w:start w:val="3"/>
      <w:numFmt w:val="decimal"/>
      <w:suff w:val="tab"/>
      <w:lvlText w:val="%1."/>
      <w:rPr>
        <w:color w:val="3370ff"/>
      </w:rPr>
    </w:lvl>
  </w:abstractNum>
  <w:abstractNum w:abstractNumId="3650492">
    <w:lvl>
      <w:numFmt w:val="bullet"/>
      <w:suff w:val="tab"/>
      <w:lvlText w:val="•"/>
      <w:rPr>
        <w:color w:val="3370ff"/>
      </w:rPr>
    </w:lvl>
  </w:abstractNum>
  <w:abstractNum w:abstractNumId="3650493">
    <w:lvl>
      <w:numFmt w:val="bullet"/>
      <w:suff w:val="tab"/>
      <w:lvlText w:val="•"/>
      <w:rPr>
        <w:color w:val="3370ff"/>
      </w:rPr>
    </w:lvl>
  </w:abstractNum>
  <w:abstractNum w:abstractNumId="3650494">
    <w:lvl>
      <w:numFmt w:val="bullet"/>
      <w:suff w:val="tab"/>
      <w:lvlText w:val="•"/>
      <w:rPr>
        <w:color w:val="3370ff"/>
      </w:rPr>
    </w:lvl>
  </w:abstractNum>
  <w:abstractNum w:abstractNumId="3650495">
    <w:lvl>
      <w:numFmt w:val="bullet"/>
      <w:suff w:val="tab"/>
      <w:lvlText w:val="•"/>
      <w:rPr>
        <w:color w:val="3370ff"/>
      </w:rPr>
    </w:lvl>
  </w:abstractNum>
  <w:abstractNum w:abstractNumId="3650496">
    <w:lvl>
      <w:numFmt w:val="bullet"/>
      <w:suff w:val="tab"/>
      <w:lvlText w:val="•"/>
      <w:rPr>
        <w:color w:val="3370ff"/>
      </w:rPr>
    </w:lvl>
  </w:abstractNum>
  <w:num w:numId="1">
    <w:abstractNumId w:val="3650462"/>
  </w:num>
  <w:num w:numId="2">
    <w:abstractNumId w:val="3650463"/>
  </w:num>
  <w:num w:numId="3">
    <w:abstractNumId w:val="3650464"/>
  </w:num>
  <w:num w:numId="4">
    <w:abstractNumId w:val="3650465"/>
  </w:num>
  <w:num w:numId="5">
    <w:abstractNumId w:val="3650466"/>
  </w:num>
  <w:num w:numId="6">
    <w:abstractNumId w:val="3650467"/>
  </w:num>
  <w:num w:numId="7">
    <w:abstractNumId w:val="3650468"/>
  </w:num>
  <w:num w:numId="8">
    <w:abstractNumId w:val="3650469"/>
  </w:num>
  <w:num w:numId="9">
    <w:abstractNumId w:val="3650470"/>
  </w:num>
  <w:num w:numId="10">
    <w:abstractNumId w:val="3650471"/>
  </w:num>
  <w:num w:numId="11">
    <w:abstractNumId w:val="3650472"/>
  </w:num>
  <w:num w:numId="12">
    <w:abstractNumId w:val="3650473"/>
  </w:num>
  <w:num w:numId="13">
    <w:abstractNumId w:val="3650474"/>
  </w:num>
  <w:num w:numId="14">
    <w:abstractNumId w:val="3650475"/>
  </w:num>
  <w:num w:numId="15">
    <w:abstractNumId w:val="3650476"/>
  </w:num>
  <w:num w:numId="16">
    <w:abstractNumId w:val="3650477"/>
  </w:num>
  <w:num w:numId="17">
    <w:abstractNumId w:val="3650478"/>
  </w:num>
  <w:num w:numId="18">
    <w:abstractNumId w:val="3650479"/>
  </w:num>
  <w:num w:numId="19">
    <w:abstractNumId w:val="3650480"/>
  </w:num>
  <w:num w:numId="20">
    <w:abstractNumId w:val="3650481"/>
  </w:num>
  <w:num w:numId="21">
    <w:abstractNumId w:val="3650482"/>
  </w:num>
  <w:num w:numId="22">
    <w:abstractNumId w:val="3650483"/>
  </w:num>
  <w:num w:numId="23">
    <w:abstractNumId w:val="3650484"/>
  </w:num>
  <w:num w:numId="24">
    <w:abstractNumId w:val="3650485"/>
  </w:num>
  <w:num w:numId="25">
    <w:abstractNumId w:val="3650486"/>
  </w:num>
  <w:num w:numId="26">
    <w:abstractNumId w:val="3650487"/>
  </w:num>
  <w:num w:numId="27">
    <w:abstractNumId w:val="3650488"/>
  </w:num>
  <w:num w:numId="28">
    <w:abstractNumId w:val="3650489"/>
  </w:num>
  <w:num w:numId="29">
    <w:abstractNumId w:val="3650490"/>
  </w:num>
  <w:num w:numId="30">
    <w:abstractNumId w:val="3650491"/>
  </w:num>
  <w:num w:numId="31">
    <w:abstractNumId w:val="3650492"/>
  </w:num>
  <w:num w:numId="32">
    <w:abstractNumId w:val="3650493"/>
  </w:num>
  <w:num w:numId="33">
    <w:abstractNumId w:val="3650494"/>
  </w:num>
  <w:num w:numId="34">
    <w:abstractNumId w:val="3650495"/>
  </w:num>
  <w:num w:numId="35">
    <w:abstractNumId w:val="3650496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2026-02-02T15:17:56Z</dcterms:created>
  <dc:creator>Apache POI</dc:creator>
</cp:coreProperties>
</file>