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r="http://schemas.openxmlformats.org/officeDocument/2006/relationships">
  <w:body>
    <w:p>
      <w:pPr>
        <w:spacing w:before="480" w:after="480" w:line="288" w:lineRule="auto"/>
        <w:ind w:left="0"/>
      </w:pPr>
      <w:r>
        <w:rPr>
          <w:rFonts w:eastAsia="等线" w:ascii="Arial" w:cs="Arial" w:hAnsi="Arial"/>
          <w:b w:val="true"/>
          <w:sz w:val="52"/>
        </w:rPr>
        <w:t>《NAC原生公链资产托管保险强制细则法典》（宪法级）</w:t>
      </w:r>
    </w:p>
    <w:p>
      <w:pPr>
        <w:spacing w:before="120" w:after="120" w:line="288" w:lineRule="auto"/>
        <w:ind w:left="0"/>
        <w:jc w:val="left"/>
      </w:pPr>
      <w:r>
        <w:rPr>
          <w:rFonts w:eastAsia="等线" w:ascii="Arial" w:cs="Arial" w:hAnsi="Arial"/>
          <w:b w:val="true"/>
          <w:sz w:val="22"/>
        </w:rPr>
        <w:t>版本号：</w:t>
      </w:r>
      <w:r>
        <w:rPr>
          <w:rFonts w:eastAsia="等线" w:ascii="Arial" w:cs="Arial" w:hAnsi="Arial"/>
          <w:sz w:val="22"/>
        </w:rPr>
        <w:t>1.0.0</w:t>
      </w:r>
    </w:p>
    <w:p>
      <w:pPr>
        <w:spacing w:before="120" w:after="120" w:line="288" w:lineRule="auto"/>
        <w:ind w:left="0"/>
        <w:jc w:val="left"/>
      </w:pPr>
      <w:r>
        <w:rPr>
          <w:rFonts w:eastAsia="等线" w:ascii="Arial" w:cs="Arial" w:hAnsi="Arial"/>
          <w:b w:val="true"/>
          <w:sz w:val="22"/>
        </w:rPr>
        <w:t>生效日期：</w:t>
      </w:r>
      <w:r>
        <w:rPr>
          <w:rFonts w:eastAsia="等线" w:ascii="Arial" w:cs="Arial" w:hAnsi="Arial"/>
          <w:sz w:val="22"/>
        </w:rPr>
        <w:t>待XIC持有者超级多数治理投票通过后</w:t>
      </w:r>
    </w:p>
    <w:p>
      <w:pPr>
        <w:spacing w:before="120" w:after="120" w:line="288" w:lineRule="auto"/>
        <w:ind w:left="0"/>
        <w:jc w:val="left"/>
      </w:pPr>
      <w:r>
        <w:rPr>
          <w:rFonts w:eastAsia="等线" w:ascii="Arial" w:cs="Arial" w:hAnsi="Arial"/>
          <w:b w:val="true"/>
          <w:sz w:val="22"/>
        </w:rPr>
        <w:t>制定机构：</w:t>
      </w:r>
      <w:r>
        <w:rPr>
          <w:rFonts w:eastAsia="等线" w:ascii="Arial" w:cs="Arial" w:hAnsi="Arial"/>
          <w:sz w:val="22"/>
        </w:rPr>
        <w:t>NAC公链治理委员会</w:t>
      </w:r>
    </w:p>
    <w:p>
      <w:pPr>
        <w:spacing w:before="120" w:after="120" w:line="288" w:lineRule="auto"/>
        <w:ind w:left="0"/>
        <w:jc w:val="left"/>
      </w:pPr>
      <w:r>
        <w:rPr>
          <w:rFonts w:eastAsia="等线" w:ascii="Arial" w:cs="Arial" w:hAnsi="Arial"/>
          <w:b w:val="true"/>
          <w:sz w:val="22"/>
        </w:rPr>
        <w:t>法典地位：</w:t>
      </w:r>
      <w:r>
        <w:rPr>
          <w:rFonts w:eastAsia="等线" w:ascii="Arial" w:cs="Arial" w:hAnsi="Arial"/>
          <w:sz w:val="22"/>
        </w:rPr>
        <w:t>本法典为NAC原生公链上资产托管环节保险购买与管理的最高操作准则，与《资产上链综合法典》、《GNACS Pro分类标准》及各专项法典共同构成链上宪法体系。</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0" w:id="0"/>
      <w:r>
        <w:rPr>
          <w:rFonts w:eastAsia="等线" w:ascii="Arial" w:cs="Arial" w:hAnsi="Arial"/>
          <w:b w:val="true"/>
          <w:sz w:val="32"/>
        </w:rPr>
        <w:t>序章：总则与核心原则</w:t>
      </w:r>
      <w:bookmarkEnd w:id="0"/>
    </w:p>
    <w:p>
      <w:pPr>
        <w:spacing w:before="120" w:after="120" w:line="288" w:lineRule="auto"/>
        <w:ind w:left="0"/>
        <w:jc w:val="left"/>
      </w:pPr>
      <w:r>
        <w:rPr>
          <w:rFonts w:eastAsia="等线" w:ascii="Arial" w:cs="Arial" w:hAnsi="Arial"/>
          <w:b w:val="true"/>
          <w:sz w:val="22"/>
        </w:rPr>
        <w:t>第一条 立法宗旨</w:t>
      </w:r>
    </w:p>
    <w:p>
      <w:pPr>
        <w:spacing w:before="120" w:after="120" w:line="288" w:lineRule="auto"/>
        <w:ind w:left="0"/>
        <w:jc w:val="left"/>
      </w:pPr>
      <w:r>
        <w:rPr>
          <w:rFonts w:eastAsia="等线" w:ascii="Arial" w:cs="Arial" w:hAnsi="Arial"/>
          <w:sz w:val="22"/>
        </w:rPr>
        <w:t>为保障NAC原生公链上真实资产（RWA）在托管期间的价值安全，建立全面、强制、分级的保险覆盖体系，确保资产因意外、灾害、盗窃、技术故障等原因受损时，能够通过保险机制快速恢复其链上价值，维护XTZH的价值稳定性与公链系统的整体安全，特制定本法典。</w:t>
      </w:r>
    </w:p>
    <w:p>
      <w:pPr>
        <w:spacing w:before="120" w:after="120" w:line="288" w:lineRule="auto"/>
        <w:ind w:left="0"/>
        <w:jc w:val="left"/>
      </w:pPr>
      <w:r>
        <w:rPr>
          <w:rFonts w:eastAsia="等线" w:ascii="Arial" w:cs="Arial" w:hAnsi="Arial"/>
          <w:b w:val="true"/>
          <w:sz w:val="22"/>
        </w:rPr>
        <w:t>第二条 强制保险原则</w:t>
      </w:r>
    </w:p>
    <w:p>
      <w:pPr>
        <w:spacing w:before="120" w:after="120" w:line="288" w:lineRule="auto"/>
        <w:ind w:left="0"/>
        <w:jc w:val="left"/>
      </w:pPr>
      <w:r>
        <w:rPr>
          <w:rFonts w:eastAsia="等线" w:ascii="Arial" w:cs="Arial" w:hAnsi="Arial"/>
          <w:sz w:val="22"/>
        </w:rPr>
        <w:t>所有通过NAC公链上链的资产，在托管阶段</w:t>
      </w:r>
      <w:r>
        <w:rPr>
          <w:rFonts w:eastAsia="等线" w:ascii="Arial" w:cs="Arial" w:hAnsi="Arial"/>
          <w:b w:val="true"/>
          <w:sz w:val="22"/>
        </w:rPr>
        <w:t>必须</w:t>
      </w:r>
      <w:r>
        <w:rPr>
          <w:rFonts w:eastAsia="等线" w:ascii="Arial" w:cs="Arial" w:hAnsi="Arial"/>
          <w:sz w:val="22"/>
        </w:rPr>
        <w:t>购买与其GNACS Pro分类相匹配的保险产品。保险购买是资产完成上链流程（特别是第七步"第三方合规托管"）的</w:t>
      </w:r>
      <w:r>
        <w:rPr>
          <w:rFonts w:eastAsia="等线" w:ascii="Arial" w:cs="Arial" w:hAnsi="Arial"/>
          <w:b w:val="true"/>
          <w:sz w:val="22"/>
        </w:rPr>
        <w:t>强制性前置条件</w:t>
      </w:r>
      <w:r>
        <w:rPr>
          <w:rFonts w:eastAsia="等线" w:ascii="Arial" w:cs="Arial" w:hAnsi="Arial"/>
          <w:sz w:val="22"/>
        </w:rPr>
        <w:t>，无有效保险凭证的资产无法完成上链最终确认。</w:t>
      </w:r>
    </w:p>
    <w:p>
      <w:pPr>
        <w:spacing w:before="120" w:after="120" w:line="288" w:lineRule="auto"/>
        <w:ind w:left="0"/>
        <w:jc w:val="left"/>
      </w:pPr>
      <w:r>
        <w:rPr>
          <w:rFonts w:eastAsia="等线" w:ascii="Arial" w:cs="Arial" w:hAnsi="Arial"/>
          <w:b w:val="true"/>
          <w:sz w:val="22"/>
        </w:rPr>
        <w:t>第三条 核心定义</w:t>
      </w:r>
    </w:p>
    <w:p>
      <w:pPr>
        <w:numPr>
          <w:numId w:val="1"/>
        </w:numPr>
        <w:spacing w:before="120" w:after="120" w:line="288" w:lineRule="auto"/>
        <w:ind w:left="0"/>
        <w:jc w:val="left"/>
      </w:pPr>
      <w:r>
        <w:rPr>
          <w:rFonts w:eastAsia="等线" w:ascii="Arial" w:cs="Arial" w:hAnsi="Arial"/>
          <w:b w:val="true"/>
          <w:sz w:val="22"/>
        </w:rPr>
        <w:t>托管保险</w:t>
      </w:r>
      <w:r>
        <w:rPr>
          <w:rFonts w:eastAsia="等线" w:ascii="Arial" w:cs="Arial" w:hAnsi="Arial"/>
          <w:sz w:val="22"/>
        </w:rPr>
        <w:t>：指为保障托管期间资产安全而购买的商业保险，保险标的是托管中的物理资产或数字资产，保险责任涵盖自然灾害、事故、盗窃、技术故障等风险。</w:t>
      </w:r>
    </w:p>
    <w:p>
      <w:pPr>
        <w:numPr>
          <w:numId w:val="2"/>
        </w:numPr>
        <w:spacing w:before="120" w:after="120" w:line="288" w:lineRule="auto"/>
        <w:ind w:left="0"/>
        <w:jc w:val="left"/>
      </w:pPr>
      <w:r>
        <w:rPr>
          <w:rFonts w:eastAsia="等线" w:ascii="Arial" w:cs="Arial" w:hAnsi="Arial"/>
          <w:b w:val="true"/>
          <w:sz w:val="22"/>
        </w:rPr>
        <w:t>保险凭证链上化</w:t>
      </w:r>
      <w:r>
        <w:rPr>
          <w:rFonts w:eastAsia="等线" w:ascii="Arial" w:cs="Arial" w:hAnsi="Arial"/>
          <w:sz w:val="22"/>
        </w:rPr>
        <w:t>：指将保险单的关键信息（保单号、保额、期限、理赔条件等）以不可篡改的方式记录于链上，并与资产DNA关联。</w:t>
      </w:r>
    </w:p>
    <w:p>
      <w:pPr>
        <w:numPr>
          <w:numId w:val="3"/>
        </w:numPr>
        <w:spacing w:before="120" w:after="120" w:line="288" w:lineRule="auto"/>
        <w:ind w:left="0"/>
        <w:jc w:val="left"/>
      </w:pPr>
      <w:r>
        <w:rPr>
          <w:rFonts w:eastAsia="等线" w:ascii="Arial" w:cs="Arial" w:hAnsi="Arial"/>
          <w:b w:val="true"/>
          <w:sz w:val="22"/>
        </w:rPr>
        <w:t>保险理赔自动化</w:t>
      </w:r>
      <w:r>
        <w:rPr>
          <w:rFonts w:eastAsia="等线" w:ascii="Arial" w:cs="Arial" w:hAnsi="Arial"/>
          <w:sz w:val="22"/>
        </w:rPr>
        <w:t>：指当保险事件发生时，理赔流程通过智能合约部分或全部自动执行，减少人工干预与纠纷。</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1" w:id="1"/>
      <w:r>
        <w:rPr>
          <w:rFonts w:eastAsia="等线" w:ascii="Arial" w:cs="Arial" w:hAnsi="Arial"/>
          <w:b w:val="true"/>
          <w:sz w:val="32"/>
        </w:rPr>
        <w:t>第一章：保险购买通用规则</w:t>
      </w:r>
      <w:bookmarkEnd w:id="1"/>
    </w:p>
    <w:p>
      <w:pPr>
        <w:spacing w:before="120" w:after="120" w:line="288" w:lineRule="auto"/>
        <w:ind w:left="0"/>
        <w:jc w:val="left"/>
      </w:pPr>
      <w:r>
        <w:rPr>
          <w:rFonts w:eastAsia="等线" w:ascii="Arial" w:cs="Arial" w:hAnsi="Arial"/>
          <w:b w:val="true"/>
          <w:sz w:val="22"/>
        </w:rPr>
        <w:t>第四条 保险购买责任方</w:t>
      </w:r>
    </w:p>
    <w:p>
      <w:pPr>
        <w:numPr>
          <w:numId w:val="4"/>
        </w:numPr>
        <w:spacing w:before="120" w:after="120" w:line="288" w:lineRule="auto"/>
        <w:ind w:left="0"/>
        <w:jc w:val="left"/>
      </w:pPr>
      <w:r>
        <w:rPr>
          <w:rFonts w:eastAsia="等线" w:ascii="Arial" w:cs="Arial" w:hAnsi="Arial"/>
          <w:b w:val="true"/>
          <w:sz w:val="22"/>
        </w:rPr>
        <w:t>默认责任方</w:t>
      </w:r>
      <w:r>
        <w:rPr>
          <w:rFonts w:eastAsia="等线" w:ascii="Arial" w:cs="Arial" w:hAnsi="Arial"/>
          <w:sz w:val="22"/>
        </w:rPr>
        <w:t>：资产所有者（OwnerDID）为保险购买的第一责任人，承担保费支付义务。</w:t>
      </w:r>
    </w:p>
    <w:p>
      <w:pPr>
        <w:numPr>
          <w:numId w:val="5"/>
        </w:numPr>
        <w:spacing w:before="120" w:after="120" w:line="288" w:lineRule="auto"/>
        <w:ind w:left="0"/>
        <w:jc w:val="left"/>
      </w:pPr>
      <w:r>
        <w:rPr>
          <w:rFonts w:eastAsia="等线" w:ascii="Arial" w:cs="Arial" w:hAnsi="Arial"/>
          <w:b w:val="true"/>
          <w:sz w:val="22"/>
        </w:rPr>
        <w:t>替代安排</w:t>
      </w:r>
      <w:r>
        <w:rPr>
          <w:rFonts w:eastAsia="等线" w:ascii="Arial" w:cs="Arial" w:hAnsi="Arial"/>
          <w:sz w:val="22"/>
        </w:rPr>
        <w:t>：在特殊情况下（如融资租赁、质押融资），可通过智能合约约定由使用方、融资方或托管方购买保险，但须在链上明确记录。</w:t>
      </w:r>
    </w:p>
    <w:p>
      <w:pPr>
        <w:numPr>
          <w:numId w:val="6"/>
        </w:numPr>
        <w:spacing w:before="120" w:after="120" w:line="288" w:lineRule="auto"/>
        <w:ind w:left="0"/>
        <w:jc w:val="left"/>
      </w:pPr>
      <w:r>
        <w:rPr>
          <w:rFonts w:eastAsia="等线" w:ascii="Arial" w:cs="Arial" w:hAnsi="Arial"/>
          <w:b w:val="true"/>
          <w:sz w:val="22"/>
        </w:rPr>
        <w:t>连带责任</w:t>
      </w:r>
      <w:r>
        <w:rPr>
          <w:rFonts w:eastAsia="等线" w:ascii="Arial" w:cs="Arial" w:hAnsi="Arial"/>
          <w:sz w:val="22"/>
        </w:rPr>
        <w:t>：托管机构有义务验证托管资产的保险有效性，并对未投保或脱保资产拒绝提供托管服务或承担相应责任。</w:t>
      </w:r>
    </w:p>
    <w:p>
      <w:pPr>
        <w:spacing w:before="120" w:after="120" w:line="288" w:lineRule="auto"/>
        <w:ind w:left="0"/>
        <w:jc w:val="left"/>
      </w:pPr>
      <w:r>
        <w:rPr>
          <w:rFonts w:eastAsia="等线" w:ascii="Arial" w:cs="Arial" w:hAnsi="Arial"/>
          <w:b w:val="true"/>
          <w:sz w:val="22"/>
        </w:rPr>
        <w:t>第五条 保险金额确定原则</w:t>
      </w:r>
    </w:p>
    <w:p>
      <w:pPr>
        <w:spacing w:before="120" w:after="120" w:line="288" w:lineRule="auto"/>
        <w:ind w:left="0"/>
        <w:jc w:val="left"/>
      </w:pPr>
      <w:r>
        <w:rPr>
          <w:rFonts w:eastAsia="等线" w:ascii="Arial" w:cs="Arial" w:hAnsi="Arial"/>
          <w:sz w:val="22"/>
        </w:rPr>
        <w:t>保险金额必须满足以下公式：</w:t>
      </w:r>
    </w:p>
    <w:p>
      <w:pPr>
        <w:spacing w:before="120" w:after="120" w:line="288" w:lineRule="auto"/>
        <w:ind w:left="0"/>
        <w:jc w:val="left"/>
      </w:pPr>
      <w:r>
        <w:rPr>
          <w:rFonts w:eastAsia="等线" w:ascii="Arial" w:cs="Arial" w:hAnsi="Arial"/>
          <w:b w:val="true"/>
          <w:sz w:val="22"/>
        </w:rPr>
        <w:t>最低保险金额 = 资产链上公允价值（V_xtzh）× 110%</w:t>
      </w:r>
    </w:p>
    <w:p>
      <w:pPr>
        <w:spacing w:before="120" w:after="120" w:line="288" w:lineRule="auto"/>
        <w:ind w:left="0"/>
        <w:jc w:val="left"/>
      </w:pPr>
      <w:r>
        <w:rPr>
          <w:rFonts w:eastAsia="等线" w:ascii="Arial" w:cs="Arial" w:hAnsi="Arial"/>
          <w:sz w:val="22"/>
        </w:rPr>
        <w:t>其中：</w:t>
      </w:r>
    </w:p>
    <w:p>
      <w:pPr>
        <w:numPr>
          <w:numId w:val="7"/>
        </w:numPr>
        <w:spacing w:before="120" w:after="120" w:line="288" w:lineRule="auto"/>
        <w:ind w:left="0"/>
        <w:jc w:val="left"/>
      </w:pPr>
      <w:r>
        <w:rPr>
          <w:rFonts w:eastAsia="等线" w:ascii="Arial" w:cs="Arial" w:hAnsi="Arial"/>
          <w:b w:val="true"/>
          <w:sz w:val="22"/>
        </w:rPr>
        <w:t>100%部分</w:t>
      </w:r>
      <w:r>
        <w:rPr>
          <w:rFonts w:eastAsia="等线" w:ascii="Arial" w:cs="Arial" w:hAnsi="Arial"/>
          <w:sz w:val="22"/>
        </w:rPr>
        <w:t>：覆盖资产公允价值。</w:t>
      </w:r>
    </w:p>
    <w:p>
      <w:pPr>
        <w:numPr>
          <w:numId w:val="8"/>
        </w:numPr>
        <w:spacing w:before="120" w:after="120" w:line="288" w:lineRule="auto"/>
        <w:ind w:left="0"/>
        <w:jc w:val="left"/>
      </w:pPr>
      <w:r>
        <w:rPr>
          <w:rFonts w:eastAsia="等线" w:ascii="Arial" w:cs="Arial" w:hAnsi="Arial"/>
          <w:b w:val="true"/>
          <w:sz w:val="22"/>
        </w:rPr>
        <w:t>10%附加部分</w:t>
      </w:r>
      <w:r>
        <w:rPr>
          <w:rFonts w:eastAsia="等线" w:ascii="Arial" w:cs="Arial" w:hAnsi="Arial"/>
          <w:sz w:val="22"/>
        </w:rPr>
        <w:t>：覆盖预期增值、理赔费用、资产恢复期间的收益损失等。</w:t>
      </w:r>
    </w:p>
    <w:p>
      <w:pPr>
        <w:numPr>
          <w:numId w:val="9"/>
        </w:numPr>
        <w:spacing w:before="120" w:after="120" w:line="288" w:lineRule="auto"/>
        <w:ind w:left="0"/>
        <w:jc w:val="left"/>
      </w:pPr>
      <w:r>
        <w:rPr>
          <w:rFonts w:eastAsia="等线" w:ascii="Arial" w:cs="Arial" w:hAnsi="Arial"/>
          <w:b w:val="true"/>
          <w:sz w:val="22"/>
        </w:rPr>
        <w:t>动态调整</w:t>
      </w:r>
      <w:r>
        <w:rPr>
          <w:rFonts w:eastAsia="等线" w:ascii="Arial" w:cs="Arial" w:hAnsi="Arial"/>
          <w:sz w:val="22"/>
        </w:rPr>
        <w:t>：保险金额需至少每季度根据AI重估结果调整一次，或当资产价值波动超过±15%时立即调整。</w:t>
      </w:r>
    </w:p>
    <w:p>
      <w:pPr>
        <w:spacing w:before="120" w:after="120" w:line="288" w:lineRule="auto"/>
        <w:ind w:left="0"/>
        <w:jc w:val="left"/>
      </w:pPr>
      <w:r>
        <w:rPr>
          <w:rFonts w:eastAsia="等线" w:ascii="Arial" w:cs="Arial" w:hAnsi="Arial"/>
          <w:b w:val="true"/>
          <w:sz w:val="22"/>
        </w:rPr>
        <w:t>第六条 保险期限要求</w:t>
      </w:r>
    </w:p>
    <w:p>
      <w:pPr>
        <w:numPr>
          <w:numId w:val="10"/>
        </w:numPr>
        <w:spacing w:before="120" w:after="120" w:line="288" w:lineRule="auto"/>
        <w:ind w:left="0"/>
        <w:jc w:val="left"/>
      </w:pPr>
      <w:r>
        <w:rPr>
          <w:rFonts w:eastAsia="等线" w:ascii="Arial" w:cs="Arial" w:hAnsi="Arial"/>
          <w:b w:val="true"/>
          <w:sz w:val="22"/>
        </w:rPr>
        <w:t>保险期限</w:t>
      </w:r>
      <w:r>
        <w:rPr>
          <w:rFonts w:eastAsia="等线" w:ascii="Arial" w:cs="Arial" w:hAnsi="Arial"/>
          <w:sz w:val="22"/>
        </w:rPr>
        <w:t>必须</w:t>
      </w:r>
      <w:r>
        <w:rPr>
          <w:rFonts w:eastAsia="等线" w:ascii="Arial" w:cs="Arial" w:hAnsi="Arial"/>
          <w:b w:val="true"/>
          <w:sz w:val="22"/>
        </w:rPr>
        <w:t>覆盖整个托管期间</w:t>
      </w:r>
      <w:r>
        <w:rPr>
          <w:rFonts w:eastAsia="等线" w:ascii="Arial" w:cs="Arial" w:hAnsi="Arial"/>
          <w:sz w:val="22"/>
        </w:rPr>
        <w:t>，且</w:t>
      </w:r>
      <w:r>
        <w:rPr>
          <w:rFonts w:eastAsia="等线" w:ascii="Arial" w:cs="Arial" w:hAnsi="Arial"/>
          <w:b w:val="true"/>
          <w:sz w:val="22"/>
        </w:rPr>
        <w:t>至少比托管合同期限长30天</w:t>
      </w:r>
      <w:r>
        <w:rPr>
          <w:rFonts w:eastAsia="等线" w:ascii="Arial" w:cs="Arial" w:hAnsi="Arial"/>
          <w:sz w:val="22"/>
        </w:rPr>
        <w:t>（作为缓冲期）。</w:t>
      </w:r>
    </w:p>
    <w:p>
      <w:pPr>
        <w:numPr>
          <w:numId w:val="11"/>
        </w:numPr>
        <w:spacing w:before="120" w:after="120" w:line="288" w:lineRule="auto"/>
        <w:ind w:left="0"/>
        <w:jc w:val="left"/>
      </w:pPr>
      <w:r>
        <w:rPr>
          <w:rFonts w:eastAsia="等线" w:ascii="Arial" w:cs="Arial" w:hAnsi="Arial"/>
          <w:b w:val="true"/>
          <w:sz w:val="22"/>
        </w:rPr>
        <w:t>续保要求</w:t>
      </w:r>
      <w:r>
        <w:rPr>
          <w:rFonts w:eastAsia="等线" w:ascii="Arial" w:cs="Arial" w:hAnsi="Arial"/>
          <w:sz w:val="22"/>
        </w:rPr>
        <w:t>：托管期超过一年的资产，必须购买可续保的保险产品，并在到期前30天完成续保验证。</w:t>
      </w:r>
    </w:p>
    <w:p>
      <w:pPr>
        <w:numPr>
          <w:numId w:val="12"/>
        </w:numPr>
        <w:spacing w:before="120" w:after="120" w:line="288" w:lineRule="auto"/>
        <w:ind w:left="0"/>
        <w:jc w:val="left"/>
      </w:pPr>
      <w:r>
        <w:rPr>
          <w:rFonts w:eastAsia="等线" w:ascii="Arial" w:cs="Arial" w:hAnsi="Arial"/>
          <w:b w:val="true"/>
          <w:sz w:val="22"/>
        </w:rPr>
        <w:t>脱保处置</w:t>
      </w:r>
      <w:r>
        <w:rPr>
          <w:rFonts w:eastAsia="等线" w:ascii="Arial" w:cs="Arial" w:hAnsi="Arial"/>
          <w:sz w:val="22"/>
        </w:rPr>
        <w:t>：若资产保险失效且未在规定时间内（通常为7天）恢复，系统将自动触发资产冻结，直至保险恢复。</w:t>
      </w:r>
    </w:p>
    <w:p>
      <w:pPr>
        <w:spacing w:before="120" w:after="120" w:line="288" w:lineRule="auto"/>
        <w:ind w:left="0"/>
        <w:jc w:val="left"/>
      </w:pPr>
      <w:r>
        <w:rPr>
          <w:rFonts w:eastAsia="等线" w:ascii="Arial" w:cs="Arial" w:hAnsi="Arial"/>
          <w:b w:val="true"/>
          <w:sz w:val="22"/>
        </w:rPr>
        <w:t>第七条 保险公司资质要求</w:t>
      </w:r>
    </w:p>
    <w:p>
      <w:pPr>
        <w:spacing w:before="120" w:after="120" w:line="288" w:lineRule="auto"/>
        <w:ind w:left="0"/>
        <w:jc w:val="left"/>
      </w:pPr>
      <w:r>
        <w:rPr>
          <w:rFonts w:eastAsia="等线" w:ascii="Arial" w:cs="Arial" w:hAnsi="Arial"/>
          <w:sz w:val="22"/>
        </w:rPr>
        <w:t>提供保险服务的保险公司必须满足以下至少一项条件：</w:t>
      </w:r>
    </w:p>
    <w:p>
      <w:pPr>
        <w:numPr>
          <w:numId w:val="13"/>
        </w:numPr>
        <w:spacing w:before="120" w:after="120" w:line="288" w:lineRule="auto"/>
        <w:ind w:left="0"/>
        <w:jc w:val="left"/>
      </w:pPr>
      <w:r>
        <w:rPr>
          <w:rFonts w:eastAsia="等线" w:ascii="Arial" w:cs="Arial" w:hAnsi="Arial"/>
          <w:sz w:val="22"/>
        </w:rPr>
        <w:t>在资产所在地合法注册并持有相应牌照。</w:t>
      </w:r>
    </w:p>
    <w:p>
      <w:pPr>
        <w:numPr>
          <w:numId w:val="14"/>
        </w:numPr>
        <w:spacing w:before="120" w:after="120" w:line="288" w:lineRule="auto"/>
        <w:ind w:left="0"/>
        <w:jc w:val="left"/>
      </w:pPr>
      <w:r>
        <w:rPr>
          <w:rFonts w:eastAsia="等线" w:ascii="Arial" w:cs="Arial" w:hAnsi="Arial"/>
          <w:sz w:val="22"/>
        </w:rPr>
        <w:t>国际公认的顶级保险公司（标准普尔评级不低于A级）。</w:t>
      </w:r>
    </w:p>
    <w:p>
      <w:pPr>
        <w:numPr>
          <w:numId w:val="15"/>
        </w:numPr>
        <w:spacing w:before="120" w:after="120" w:line="288" w:lineRule="auto"/>
        <w:ind w:left="0"/>
        <w:jc w:val="left"/>
      </w:pPr>
      <w:r>
        <w:rPr>
          <w:rFonts w:eastAsia="等线" w:ascii="Arial" w:cs="Arial" w:hAnsi="Arial"/>
          <w:sz w:val="22"/>
        </w:rPr>
        <w:t>获得NAC公链治理委员会认证的去中心化保险协议。</w:t>
      </w:r>
    </w:p>
    <w:p>
      <w:pPr>
        <w:numPr>
          <w:numId w:val="16"/>
        </w:numPr>
        <w:spacing w:before="120" w:after="120" w:line="288" w:lineRule="auto"/>
        <w:ind w:left="0"/>
        <w:jc w:val="left"/>
      </w:pPr>
      <w:r>
        <w:rPr>
          <w:rFonts w:eastAsia="等线" w:ascii="Arial" w:cs="Arial" w:hAnsi="Arial"/>
          <w:sz w:val="22"/>
        </w:rPr>
        <w:t>跨国保险公司集团，且在资产所在地有分支机构或承保能力。</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2" w:id="2"/>
      <w:r>
        <w:rPr>
          <w:rFonts w:eastAsia="等线" w:ascii="Arial" w:cs="Arial" w:hAnsi="Arial"/>
          <w:b w:val="true"/>
          <w:sz w:val="32"/>
        </w:rPr>
        <w:t>第二章：分资产类型强制保险细则（基于GNACS Pro前6位）</w:t>
      </w:r>
      <w:bookmarkEnd w:id="2"/>
    </w:p>
    <w:p>
      <w:pPr>
        <w:spacing w:before="120" w:after="120" w:line="288" w:lineRule="auto"/>
        <w:ind w:left="0"/>
        <w:jc w:val="left"/>
      </w:pPr>
      <w:r>
        <w:rPr>
          <w:rFonts w:eastAsia="等线" w:ascii="Arial" w:cs="Arial" w:hAnsi="Arial"/>
          <w:b w:val="true"/>
          <w:sz w:val="22"/>
        </w:rPr>
        <w:t>第八条 不动产类资产（HS编码第1-2位：R系列）</w:t>
      </w:r>
    </w:p>
    <w:p>
      <w:pPr>
        <w:spacing w:before="120" w:after="120" w:line="288" w:lineRule="auto"/>
        <w:ind w:left="0"/>
        <w:jc w:val="left"/>
      </w:pPr>
      <w:r>
        <w:rPr>
          <w:rFonts w:eastAsia="等线" w:ascii="Arial" w:cs="Arial" w:hAnsi="Arial"/>
          <w:sz w:val="22"/>
        </w:rPr>
        <w:t>*对应GNACS Pro前6位示例：R10（住宅）、R11（商业地产）等*</w:t>
      </w:r>
    </w:p>
    <w:p>
      <w:pPr>
        <w:spacing w:before="120" w:after="120" w:line="288" w:lineRule="auto"/>
        <w:ind w:left="0"/>
        <w:jc w:val="left"/>
      </w:pPr>
      <w:r>
        <w:rPr>
          <w:rFonts w:eastAsia="等线" w:ascii="Arial" w:cs="Arial" w:hAnsi="Arial"/>
          <w:b w:val="true"/>
          <w:sz w:val="22"/>
        </w:rPr>
        <w:t>必须购买的险种组合：</w:t>
      </w:r>
    </w:p>
    <w:p>
      <w:pPr>
        <w:numPr>
          <w:numId w:val="17"/>
        </w:numPr>
        <w:spacing w:before="120" w:after="120" w:line="288" w:lineRule="auto"/>
        <w:ind w:left="0"/>
        <w:jc w:val="left"/>
      </w:pPr>
      <w:r>
        <w:rPr>
          <w:rFonts w:eastAsia="等线" w:ascii="Arial" w:cs="Arial" w:hAnsi="Arial"/>
          <w:b w:val="true"/>
          <w:sz w:val="22"/>
        </w:rPr>
        <w:t>财产一切险</w:t>
      </w:r>
      <w:r>
        <w:rPr>
          <w:rFonts w:eastAsia="等线" w:ascii="Arial" w:cs="Arial" w:hAnsi="Arial"/>
          <w:sz w:val="22"/>
        </w:rPr>
        <w:t>：保障建筑物及其附属设施因火灾、爆炸、水灾、地震、盗窃等造成的损失。</w:t>
        <w:br/>
        <w:t xml:space="preserve">        </w:t>
      </w:r>
    </w:p>
    <w:p>
      <w:pPr>
        <w:numPr>
          <w:numId w:val="18"/>
        </w:numPr>
        <w:spacing w:before="120" w:after="120" w:line="288" w:lineRule="auto"/>
        <w:ind w:left="453"/>
        <w:jc w:val="left"/>
      </w:pPr>
      <w:r>
        <w:rPr>
          <w:rFonts w:eastAsia="等线" w:ascii="Arial" w:cs="Arial" w:hAnsi="Arial"/>
          <w:sz w:val="22"/>
        </w:rPr>
        <w:t>必须包含</w:t>
      </w:r>
      <w:r>
        <w:rPr>
          <w:rFonts w:eastAsia="等线" w:ascii="Arial" w:cs="Arial" w:hAnsi="Arial"/>
          <w:b w:val="true"/>
          <w:sz w:val="22"/>
        </w:rPr>
        <w:t>地震附加险</w:t>
      </w:r>
      <w:r>
        <w:rPr>
          <w:rFonts w:eastAsia="等线" w:ascii="Arial" w:cs="Arial" w:hAnsi="Arial"/>
          <w:sz w:val="22"/>
        </w:rPr>
        <w:t>（地震多发地区保额需额外提高50%）。</w:t>
      </w:r>
    </w:p>
    <w:p>
      <w:pPr>
        <w:numPr>
          <w:numId w:val="19"/>
        </w:numPr>
        <w:spacing w:before="120" w:after="120" w:line="288" w:lineRule="auto"/>
        <w:ind w:left="453"/>
        <w:jc w:val="left"/>
      </w:pPr>
      <w:r>
        <w:rPr>
          <w:rFonts w:eastAsia="等线" w:ascii="Arial" w:cs="Arial" w:hAnsi="Arial"/>
          <w:sz w:val="22"/>
        </w:rPr>
        <w:t>必须包含</w:t>
      </w:r>
      <w:r>
        <w:rPr>
          <w:rFonts w:eastAsia="等线" w:ascii="Arial" w:cs="Arial" w:hAnsi="Arial"/>
          <w:b w:val="true"/>
          <w:sz w:val="22"/>
        </w:rPr>
        <w:t>公共责任险</w:t>
      </w:r>
      <w:r>
        <w:rPr>
          <w:rFonts w:eastAsia="等线" w:ascii="Arial" w:cs="Arial" w:hAnsi="Arial"/>
          <w:sz w:val="22"/>
        </w:rPr>
        <w:t>，最低保额不低于1000万XTZH。</w:t>
      </w:r>
    </w:p>
    <w:p>
      <w:pPr>
        <w:numPr>
          <w:numId w:val="20"/>
        </w:numPr>
        <w:spacing w:before="120" w:after="120" w:line="288" w:lineRule="auto"/>
        <w:ind w:left="0"/>
        <w:jc w:val="left"/>
      </w:pPr>
      <w:r>
        <w:rPr>
          <w:rFonts w:eastAsia="等线" w:ascii="Arial" w:cs="Arial" w:hAnsi="Arial"/>
          <w:b w:val="true"/>
          <w:sz w:val="22"/>
        </w:rPr>
        <w:t>租金损失险</w:t>
      </w:r>
      <w:r>
        <w:rPr>
          <w:rFonts w:eastAsia="等线" w:ascii="Arial" w:cs="Arial" w:hAnsi="Arial"/>
          <w:sz w:val="22"/>
        </w:rPr>
        <w:t>：保障因保险事故导致资产无法出租而产生的租金损失，赔偿期不少于6个月。</w:t>
      </w:r>
    </w:p>
    <w:p>
      <w:pPr>
        <w:numPr>
          <w:numId w:val="21"/>
        </w:numPr>
        <w:spacing w:before="120" w:after="120" w:line="288" w:lineRule="auto"/>
        <w:ind w:left="0"/>
        <w:jc w:val="left"/>
      </w:pPr>
      <w:r>
        <w:rPr>
          <w:rFonts w:eastAsia="等线" w:ascii="Arial" w:cs="Arial" w:hAnsi="Arial"/>
          <w:b w:val="true"/>
          <w:sz w:val="22"/>
        </w:rPr>
        <w:t>工程/机械故障险</w:t>
      </w:r>
      <w:r>
        <w:rPr>
          <w:rFonts w:eastAsia="等线" w:ascii="Arial" w:cs="Arial" w:hAnsi="Arial"/>
          <w:sz w:val="22"/>
        </w:rPr>
        <w:t>（适用于配备电梯、中央空调等设施的物业）。</w:t>
      </w:r>
    </w:p>
    <w:p>
      <w:pPr>
        <w:spacing w:before="120" w:after="120" w:line="288" w:lineRule="auto"/>
        <w:ind w:left="0"/>
        <w:jc w:val="left"/>
      </w:pPr>
      <w:r>
        <w:rPr>
          <w:rFonts w:eastAsia="等线" w:ascii="Arial" w:cs="Arial" w:hAnsi="Arial"/>
          <w:b w:val="true"/>
          <w:sz w:val="22"/>
        </w:rPr>
        <w:t>特殊要求：</w:t>
      </w:r>
    </w:p>
    <w:p>
      <w:pPr>
        <w:numPr>
          <w:numId w:val="22"/>
        </w:numPr>
        <w:spacing w:before="120" w:after="120" w:line="288" w:lineRule="auto"/>
        <w:ind w:left="0"/>
        <w:jc w:val="left"/>
      </w:pPr>
      <w:r>
        <w:rPr>
          <w:rFonts w:eastAsia="等线" w:ascii="Arial" w:cs="Arial" w:hAnsi="Arial"/>
          <w:sz w:val="22"/>
        </w:rPr>
        <w:t>位于洪水、台风高风险区域的物业，必须购买</w:t>
      </w:r>
      <w:r>
        <w:rPr>
          <w:rFonts w:eastAsia="等线" w:ascii="Arial" w:cs="Arial" w:hAnsi="Arial"/>
          <w:b w:val="true"/>
          <w:sz w:val="22"/>
        </w:rPr>
        <w:t>巨灾风险附加险</w:t>
      </w:r>
      <w:r>
        <w:rPr>
          <w:rFonts w:eastAsia="等线" w:ascii="Arial" w:cs="Arial" w:hAnsi="Arial"/>
          <w:sz w:val="22"/>
        </w:rPr>
        <w:t>。</w:t>
      </w:r>
    </w:p>
    <w:p>
      <w:pPr>
        <w:numPr>
          <w:numId w:val="23"/>
        </w:numPr>
        <w:spacing w:before="120" w:after="120" w:line="288" w:lineRule="auto"/>
        <w:ind w:left="0"/>
        <w:jc w:val="left"/>
      </w:pPr>
      <w:r>
        <w:rPr>
          <w:rFonts w:eastAsia="等线" w:ascii="Arial" w:cs="Arial" w:hAnsi="Arial"/>
          <w:sz w:val="22"/>
        </w:rPr>
        <w:t>历史建筑、文化遗产类物业，需购买</w:t>
      </w:r>
      <w:r>
        <w:rPr>
          <w:rFonts w:eastAsia="等线" w:ascii="Arial" w:cs="Arial" w:hAnsi="Arial"/>
          <w:b w:val="true"/>
          <w:sz w:val="22"/>
        </w:rPr>
        <w:t>特定修复价值保险</w:t>
      </w:r>
      <w:r>
        <w:rPr>
          <w:rFonts w:eastAsia="等线" w:ascii="Arial" w:cs="Arial" w:hAnsi="Arial"/>
          <w:sz w:val="22"/>
        </w:rPr>
        <w:t>（保额按修复成本而非市场价值计算）。</w:t>
      </w:r>
    </w:p>
    <w:p>
      <w:pPr>
        <w:spacing w:before="120" w:after="120" w:line="288" w:lineRule="auto"/>
        <w:ind w:left="0"/>
        <w:jc w:val="left"/>
      </w:pPr>
      <w:r>
        <w:rPr>
          <w:rFonts w:eastAsia="等线" w:ascii="Arial" w:cs="Arial" w:hAnsi="Arial"/>
          <w:b w:val="true"/>
          <w:sz w:val="22"/>
        </w:rPr>
        <w:t>第九条 动产-车辆类资产（HS编码第1-2位：V系列）</w:t>
      </w:r>
    </w:p>
    <w:p>
      <w:pPr>
        <w:spacing w:before="120" w:after="120" w:line="288" w:lineRule="auto"/>
        <w:ind w:left="0"/>
        <w:jc w:val="left"/>
      </w:pPr>
      <w:r>
        <w:rPr>
          <w:rFonts w:eastAsia="等线" w:ascii="Arial" w:cs="Arial" w:hAnsi="Arial"/>
          <w:sz w:val="22"/>
        </w:rPr>
        <w:t>*对应GNACS Pro前6位示例：V20（乘用车）、V21（商用车）、V22（特种车辆）*</w:t>
      </w:r>
    </w:p>
    <w:p>
      <w:pPr>
        <w:spacing w:before="120" w:after="120" w:line="288" w:lineRule="auto"/>
        <w:ind w:left="0"/>
        <w:jc w:val="left"/>
      </w:pPr>
      <w:r>
        <w:rPr>
          <w:rFonts w:eastAsia="等线" w:ascii="Arial" w:cs="Arial" w:hAnsi="Arial"/>
          <w:b w:val="true"/>
          <w:sz w:val="22"/>
        </w:rPr>
        <w:t>必须购买的险种组合：</w:t>
      </w:r>
    </w:p>
    <w:p>
      <w:pPr>
        <w:numPr>
          <w:numId w:val="24"/>
        </w:numPr>
        <w:spacing w:before="120" w:after="120" w:line="288" w:lineRule="auto"/>
        <w:ind w:left="0"/>
        <w:jc w:val="left"/>
      </w:pPr>
      <w:r>
        <w:rPr>
          <w:rFonts w:eastAsia="等线" w:ascii="Arial" w:cs="Arial" w:hAnsi="Arial"/>
          <w:b w:val="true"/>
          <w:sz w:val="22"/>
        </w:rPr>
        <w:t>机动车辆损失险</w:t>
      </w:r>
      <w:r>
        <w:rPr>
          <w:rFonts w:eastAsia="等线" w:ascii="Arial" w:cs="Arial" w:hAnsi="Arial"/>
          <w:sz w:val="22"/>
        </w:rPr>
        <w:t>：保障车辆本身因碰撞、倾覆、火灾、盗窃等造成的损失。</w:t>
      </w:r>
    </w:p>
    <w:p>
      <w:pPr>
        <w:numPr>
          <w:numId w:val="25"/>
        </w:numPr>
        <w:spacing w:before="120" w:after="120" w:line="288" w:lineRule="auto"/>
        <w:ind w:left="0"/>
        <w:jc w:val="left"/>
      </w:pPr>
      <w:r>
        <w:rPr>
          <w:rFonts w:eastAsia="等线" w:ascii="Arial" w:cs="Arial" w:hAnsi="Arial"/>
          <w:b w:val="true"/>
          <w:sz w:val="22"/>
        </w:rPr>
        <w:t>第三者责任险</w:t>
      </w:r>
      <w:r>
        <w:rPr>
          <w:rFonts w:eastAsia="等线" w:ascii="Arial" w:cs="Arial" w:hAnsi="Arial"/>
          <w:sz w:val="22"/>
        </w:rPr>
        <w:t>：保额不得低于资产所在司法辖区法定最低要求的</w:t>
      </w:r>
      <w:r>
        <w:rPr>
          <w:rFonts w:eastAsia="等线" w:ascii="Arial" w:cs="Arial" w:hAnsi="Arial"/>
          <w:b w:val="true"/>
          <w:sz w:val="22"/>
        </w:rPr>
        <w:t>200%</w:t>
      </w:r>
      <w:r>
        <w:rPr>
          <w:rFonts w:eastAsia="等线" w:ascii="Arial" w:cs="Arial" w:hAnsi="Arial"/>
          <w:sz w:val="22"/>
        </w:rPr>
        <w:t>。</w:t>
      </w:r>
    </w:p>
    <w:p>
      <w:pPr>
        <w:numPr>
          <w:numId w:val="26"/>
        </w:numPr>
        <w:spacing w:before="120" w:after="120" w:line="288" w:lineRule="auto"/>
        <w:ind w:left="0"/>
        <w:jc w:val="left"/>
      </w:pPr>
      <w:r>
        <w:rPr>
          <w:rFonts w:eastAsia="等线" w:ascii="Arial" w:cs="Arial" w:hAnsi="Arial"/>
          <w:b w:val="true"/>
          <w:sz w:val="22"/>
        </w:rPr>
        <w:t>车上人员责任险</w:t>
      </w:r>
      <w:r>
        <w:rPr>
          <w:rFonts w:eastAsia="等线" w:ascii="Arial" w:cs="Arial" w:hAnsi="Arial"/>
          <w:sz w:val="22"/>
        </w:rPr>
        <w:t>：为所有可能的乘客位置购买。</w:t>
      </w:r>
    </w:p>
    <w:p>
      <w:pPr>
        <w:numPr>
          <w:numId w:val="27"/>
        </w:numPr>
        <w:spacing w:before="120" w:after="120" w:line="288" w:lineRule="auto"/>
        <w:ind w:left="0"/>
        <w:jc w:val="left"/>
      </w:pPr>
      <w:r>
        <w:rPr>
          <w:rFonts w:eastAsia="等线" w:ascii="Arial" w:cs="Arial" w:hAnsi="Arial"/>
          <w:b w:val="true"/>
          <w:sz w:val="22"/>
        </w:rPr>
        <w:t>全车盗抢险</w:t>
      </w:r>
      <w:r>
        <w:rPr>
          <w:rFonts w:eastAsia="等线" w:ascii="Arial" w:cs="Arial" w:hAnsi="Arial"/>
          <w:sz w:val="22"/>
        </w:rPr>
        <w:t>。</w:t>
      </w:r>
    </w:p>
    <w:p>
      <w:pPr>
        <w:spacing w:before="120" w:after="120" w:line="288" w:lineRule="auto"/>
        <w:ind w:left="0"/>
        <w:jc w:val="left"/>
      </w:pPr>
      <w:r>
        <w:rPr>
          <w:rFonts w:eastAsia="等线" w:ascii="Arial" w:cs="Arial" w:hAnsi="Arial"/>
          <w:b w:val="true"/>
          <w:sz w:val="22"/>
        </w:rPr>
        <w:t>特殊要求：</w:t>
      </w:r>
    </w:p>
    <w:p>
      <w:pPr>
        <w:numPr>
          <w:numId w:val="28"/>
        </w:numPr>
        <w:spacing w:before="120" w:after="120" w:line="288" w:lineRule="auto"/>
        <w:ind w:left="0"/>
        <w:jc w:val="left"/>
      </w:pPr>
      <w:r>
        <w:rPr>
          <w:rFonts w:eastAsia="等线" w:ascii="Arial" w:cs="Arial" w:hAnsi="Arial"/>
          <w:sz w:val="22"/>
        </w:rPr>
        <w:t>商用车辆（货运、客运）必须额外购买</w:t>
      </w:r>
      <w:r>
        <w:rPr>
          <w:rFonts w:eastAsia="等线" w:ascii="Arial" w:cs="Arial" w:hAnsi="Arial"/>
          <w:b w:val="true"/>
          <w:sz w:val="22"/>
        </w:rPr>
        <w:t>货物责任险</w:t>
      </w:r>
      <w:r>
        <w:rPr>
          <w:rFonts w:eastAsia="等线" w:ascii="Arial" w:cs="Arial" w:hAnsi="Arial"/>
          <w:sz w:val="22"/>
        </w:rPr>
        <w:t>或</w:t>
      </w:r>
      <w:r>
        <w:rPr>
          <w:rFonts w:eastAsia="等线" w:ascii="Arial" w:cs="Arial" w:hAnsi="Arial"/>
          <w:b w:val="true"/>
          <w:sz w:val="22"/>
        </w:rPr>
        <w:t>乘客责任险</w:t>
      </w:r>
      <w:r>
        <w:rPr>
          <w:rFonts w:eastAsia="等线" w:ascii="Arial" w:cs="Arial" w:hAnsi="Arial"/>
          <w:sz w:val="22"/>
        </w:rPr>
        <w:t>。</w:t>
      </w:r>
    </w:p>
    <w:p>
      <w:pPr>
        <w:numPr>
          <w:numId w:val="29"/>
        </w:numPr>
        <w:spacing w:before="120" w:after="120" w:line="288" w:lineRule="auto"/>
        <w:ind w:left="0"/>
        <w:jc w:val="left"/>
      </w:pPr>
      <w:r>
        <w:rPr>
          <w:rFonts w:eastAsia="等线" w:ascii="Arial" w:cs="Arial" w:hAnsi="Arial"/>
          <w:sz w:val="22"/>
        </w:rPr>
        <w:t>古董车、收藏车必须购买</w:t>
      </w:r>
      <w:r>
        <w:rPr>
          <w:rFonts w:eastAsia="等线" w:ascii="Arial" w:cs="Arial" w:hAnsi="Arial"/>
          <w:b w:val="true"/>
          <w:sz w:val="22"/>
        </w:rPr>
        <w:t>约定价值保险</w:t>
      </w:r>
      <w:r>
        <w:rPr>
          <w:rFonts w:eastAsia="等线" w:ascii="Arial" w:cs="Arial" w:hAnsi="Arial"/>
          <w:sz w:val="22"/>
        </w:rPr>
        <w:t>（Agreed Value Policy），保额由专业评估机构确定。</w:t>
      </w:r>
    </w:p>
    <w:p>
      <w:pPr>
        <w:numPr>
          <w:numId w:val="30"/>
        </w:numPr>
        <w:spacing w:before="120" w:after="120" w:line="288" w:lineRule="auto"/>
        <w:ind w:left="0"/>
        <w:jc w:val="left"/>
      </w:pPr>
      <w:r>
        <w:rPr>
          <w:rFonts w:eastAsia="等线" w:ascii="Arial" w:cs="Arial" w:hAnsi="Arial"/>
          <w:sz w:val="22"/>
        </w:rPr>
        <w:t>营运车辆必须购买</w:t>
      </w:r>
      <w:r>
        <w:rPr>
          <w:rFonts w:eastAsia="等线" w:ascii="Arial" w:cs="Arial" w:hAnsi="Arial"/>
          <w:b w:val="true"/>
          <w:sz w:val="22"/>
        </w:rPr>
        <w:t>营运中断险</w:t>
      </w:r>
      <w:r>
        <w:rPr>
          <w:rFonts w:eastAsia="等线" w:ascii="Arial" w:cs="Arial" w:hAnsi="Arial"/>
          <w:sz w:val="22"/>
        </w:rPr>
        <w:t>。</w:t>
      </w:r>
    </w:p>
    <w:p>
      <w:pPr>
        <w:spacing w:before="120" w:after="120" w:line="288" w:lineRule="auto"/>
        <w:ind w:left="0"/>
        <w:jc w:val="left"/>
      </w:pPr>
      <w:r>
        <w:rPr>
          <w:rFonts w:eastAsia="等线" w:ascii="Arial" w:cs="Arial" w:hAnsi="Arial"/>
          <w:b w:val="true"/>
          <w:sz w:val="22"/>
        </w:rPr>
        <w:t>第十条 动产-收藏品/艺术品（HS编码第1-2位：C系列）</w:t>
      </w:r>
    </w:p>
    <w:p>
      <w:pPr>
        <w:spacing w:before="120" w:after="120" w:line="288" w:lineRule="auto"/>
        <w:ind w:left="0"/>
        <w:jc w:val="left"/>
      </w:pPr>
      <w:r>
        <w:rPr>
          <w:rFonts w:eastAsia="等线" w:ascii="Arial" w:cs="Arial" w:hAnsi="Arial"/>
          <w:sz w:val="22"/>
        </w:rPr>
        <w:t>*对应GNACS Pro前6位示例：C10（艺术品）、C11（珠宝）、C12（名酒）*</w:t>
      </w:r>
    </w:p>
    <w:p>
      <w:pPr>
        <w:spacing w:before="120" w:after="120" w:line="288" w:lineRule="auto"/>
        <w:ind w:left="0"/>
        <w:jc w:val="left"/>
      </w:pPr>
      <w:r>
        <w:rPr>
          <w:rFonts w:eastAsia="等线" w:ascii="Arial" w:cs="Arial" w:hAnsi="Arial"/>
          <w:b w:val="true"/>
          <w:sz w:val="22"/>
        </w:rPr>
        <w:t>必须购买的险种组合：</w:t>
      </w:r>
    </w:p>
    <w:p>
      <w:pPr>
        <w:numPr>
          <w:numId w:val="31"/>
        </w:numPr>
        <w:spacing w:before="120" w:after="120" w:line="288" w:lineRule="auto"/>
        <w:ind w:left="0"/>
        <w:jc w:val="left"/>
      </w:pPr>
      <w:r>
        <w:rPr>
          <w:rFonts w:eastAsia="等线" w:ascii="Arial" w:cs="Arial" w:hAnsi="Arial"/>
          <w:b w:val="true"/>
          <w:sz w:val="22"/>
        </w:rPr>
        <w:t>艺术品/收藏品一切险</w:t>
      </w:r>
      <w:r>
        <w:rPr>
          <w:rFonts w:eastAsia="等线" w:ascii="Arial" w:cs="Arial" w:hAnsi="Arial"/>
          <w:sz w:val="22"/>
        </w:rPr>
        <w:t>：保障在保管、展览、运输过程中因一切意外事故造成的损失。必须为"一切险"条款，而非"指定险"。</w:t>
      </w:r>
    </w:p>
    <w:p>
      <w:pPr>
        <w:numPr>
          <w:numId w:val="32"/>
        </w:numPr>
        <w:spacing w:before="120" w:after="120" w:line="288" w:lineRule="auto"/>
        <w:ind w:left="0"/>
        <w:jc w:val="left"/>
      </w:pPr>
      <w:r>
        <w:rPr>
          <w:rFonts w:eastAsia="等线" w:ascii="Arial" w:cs="Arial" w:hAnsi="Arial"/>
          <w:b w:val="true"/>
          <w:sz w:val="22"/>
        </w:rPr>
        <w:t>神秘失踪险</w:t>
      </w:r>
      <w:r>
        <w:rPr>
          <w:rFonts w:eastAsia="等线" w:ascii="Arial" w:cs="Arial" w:hAnsi="Arial"/>
          <w:sz w:val="22"/>
        </w:rPr>
        <w:t>：保障无明显原因导致的失踪。</w:t>
      </w:r>
    </w:p>
    <w:p>
      <w:pPr>
        <w:numPr>
          <w:numId w:val="33"/>
        </w:numPr>
        <w:spacing w:before="120" w:after="120" w:line="288" w:lineRule="auto"/>
        <w:ind w:left="0"/>
        <w:jc w:val="left"/>
      </w:pPr>
      <w:r>
        <w:rPr>
          <w:rFonts w:eastAsia="等线" w:ascii="Arial" w:cs="Arial" w:hAnsi="Arial"/>
          <w:b w:val="true"/>
          <w:sz w:val="22"/>
        </w:rPr>
        <w:t>修复责任险</w:t>
      </w:r>
      <w:r>
        <w:rPr>
          <w:rFonts w:eastAsia="等线" w:ascii="Arial" w:cs="Arial" w:hAnsi="Arial"/>
          <w:sz w:val="22"/>
        </w:rPr>
        <w:t>：保障因不当修复造成的价值损失。</w:t>
      </w:r>
    </w:p>
    <w:p>
      <w:pPr>
        <w:spacing w:before="120" w:after="120" w:line="288" w:lineRule="auto"/>
        <w:ind w:left="0"/>
        <w:jc w:val="left"/>
      </w:pPr>
      <w:r>
        <w:rPr>
          <w:rFonts w:eastAsia="等线" w:ascii="Arial" w:cs="Arial" w:hAnsi="Arial"/>
          <w:b w:val="true"/>
          <w:sz w:val="22"/>
        </w:rPr>
        <w:t>特殊要求：</w:t>
      </w:r>
    </w:p>
    <w:p>
      <w:pPr>
        <w:numPr>
          <w:numId w:val="34"/>
        </w:numPr>
        <w:spacing w:before="120" w:after="120" w:line="288" w:lineRule="auto"/>
        <w:ind w:left="0"/>
        <w:jc w:val="left"/>
      </w:pPr>
      <w:r>
        <w:rPr>
          <w:rFonts w:eastAsia="等线" w:ascii="Arial" w:cs="Arial" w:hAnsi="Arial"/>
          <w:sz w:val="22"/>
        </w:rPr>
        <w:t>必须基于</w:t>
      </w:r>
      <w:r>
        <w:rPr>
          <w:rFonts w:eastAsia="等线" w:ascii="Arial" w:cs="Arial" w:hAnsi="Arial"/>
          <w:b w:val="true"/>
          <w:sz w:val="22"/>
        </w:rPr>
        <w:t>专业评估报告</w:t>
      </w:r>
      <w:r>
        <w:rPr>
          <w:rFonts w:eastAsia="等线" w:ascii="Arial" w:cs="Arial" w:hAnsi="Arial"/>
          <w:sz w:val="22"/>
        </w:rPr>
        <w:t>确定保险金额，并每年重新评估。</w:t>
      </w:r>
    </w:p>
    <w:p>
      <w:pPr>
        <w:numPr>
          <w:numId w:val="35"/>
        </w:numPr>
        <w:spacing w:before="120" w:after="120" w:line="288" w:lineRule="auto"/>
        <w:ind w:left="0"/>
        <w:jc w:val="left"/>
      </w:pPr>
      <w:r>
        <w:rPr>
          <w:rFonts w:eastAsia="等线" w:ascii="Arial" w:cs="Arial" w:hAnsi="Arial"/>
          <w:sz w:val="22"/>
        </w:rPr>
        <w:t>必须明确</w:t>
      </w:r>
      <w:r>
        <w:rPr>
          <w:rFonts w:eastAsia="等线" w:ascii="Arial" w:cs="Arial" w:hAnsi="Arial"/>
          <w:b w:val="true"/>
          <w:sz w:val="22"/>
        </w:rPr>
        <w:t>保管地点限制</w:t>
      </w:r>
      <w:r>
        <w:rPr>
          <w:rFonts w:eastAsia="等线" w:ascii="Arial" w:cs="Arial" w:hAnsi="Arial"/>
          <w:sz w:val="22"/>
        </w:rPr>
        <w:t>和</w:t>
      </w:r>
      <w:r>
        <w:rPr>
          <w:rFonts w:eastAsia="等线" w:ascii="Arial" w:cs="Arial" w:hAnsi="Arial"/>
          <w:b w:val="true"/>
          <w:sz w:val="22"/>
        </w:rPr>
        <w:t>运输要求</w:t>
      </w:r>
      <w:r>
        <w:rPr>
          <w:rFonts w:eastAsia="等线" w:ascii="Arial" w:cs="Arial" w:hAnsi="Arial"/>
          <w:sz w:val="22"/>
        </w:rPr>
        <w:t>（如必须使用专业艺术品运输公司）。</w:t>
      </w:r>
    </w:p>
    <w:p>
      <w:pPr>
        <w:numPr>
          <w:numId w:val="36"/>
        </w:numPr>
        <w:spacing w:before="120" w:after="120" w:line="288" w:lineRule="auto"/>
        <w:ind w:left="0"/>
        <w:jc w:val="left"/>
      </w:pPr>
      <w:r>
        <w:rPr>
          <w:rFonts w:eastAsia="等线" w:ascii="Arial" w:cs="Arial" w:hAnsi="Arial"/>
          <w:sz w:val="22"/>
        </w:rPr>
        <w:t>展览期间需购买单独的</w:t>
      </w:r>
      <w:r>
        <w:rPr>
          <w:rFonts w:eastAsia="等线" w:ascii="Arial" w:cs="Arial" w:hAnsi="Arial"/>
          <w:b w:val="true"/>
          <w:sz w:val="22"/>
        </w:rPr>
        <w:t>展览责任险</w:t>
      </w:r>
      <w:r>
        <w:rPr>
          <w:rFonts w:eastAsia="等线" w:ascii="Arial" w:cs="Arial" w:hAnsi="Arial"/>
          <w:sz w:val="22"/>
        </w:rPr>
        <w:t>。</w:t>
      </w:r>
    </w:p>
    <w:p>
      <w:pPr>
        <w:spacing w:before="120" w:after="120" w:line="288" w:lineRule="auto"/>
        <w:ind w:left="0"/>
        <w:jc w:val="left"/>
      </w:pPr>
      <w:r>
        <w:rPr>
          <w:rFonts w:eastAsia="等线" w:ascii="Arial" w:cs="Arial" w:hAnsi="Arial"/>
          <w:b w:val="true"/>
          <w:sz w:val="22"/>
        </w:rPr>
        <w:t>第十一条 金融资产类（GNACS Pro第9位：0-金融资产）</w:t>
      </w:r>
    </w:p>
    <w:p>
      <w:pPr>
        <w:spacing w:before="120" w:after="120" w:line="288" w:lineRule="auto"/>
        <w:ind w:left="0"/>
        <w:jc w:val="left"/>
      </w:pPr>
      <w:r>
        <w:rPr>
          <w:rFonts w:eastAsia="等线" w:ascii="Arial" w:cs="Arial" w:hAnsi="Arial"/>
          <w:sz w:val="22"/>
        </w:rPr>
        <w:t>*包括应收账款、债券、股权等*</w:t>
      </w:r>
    </w:p>
    <w:p>
      <w:pPr>
        <w:spacing w:before="120" w:after="120" w:line="288" w:lineRule="auto"/>
        <w:ind w:left="0"/>
        <w:jc w:val="left"/>
      </w:pPr>
      <w:r>
        <w:rPr>
          <w:rFonts w:eastAsia="等线" w:ascii="Arial" w:cs="Arial" w:hAnsi="Arial"/>
          <w:b w:val="true"/>
          <w:sz w:val="22"/>
        </w:rPr>
        <w:t>保险需求分析：</w:t>
      </w:r>
    </w:p>
    <w:p>
      <w:pPr>
        <w:numPr>
          <w:numId w:val="37"/>
        </w:numPr>
        <w:spacing w:before="120" w:after="120" w:line="288" w:lineRule="auto"/>
        <w:ind w:left="0"/>
        <w:jc w:val="left"/>
      </w:pPr>
      <w:r>
        <w:rPr>
          <w:rFonts w:eastAsia="等线" w:ascii="Arial" w:cs="Arial" w:hAnsi="Arial"/>
          <w:sz w:val="22"/>
        </w:rPr>
        <w:t>金融资产本身不直接对应物理实体，其托管风险主要为</w:t>
      </w:r>
      <w:r>
        <w:rPr>
          <w:rFonts w:eastAsia="等线" w:ascii="Arial" w:cs="Arial" w:hAnsi="Arial"/>
          <w:b w:val="true"/>
          <w:sz w:val="22"/>
        </w:rPr>
        <w:t>信用风险、操作风险、法律风险</w:t>
      </w:r>
      <w:r>
        <w:rPr>
          <w:rFonts w:eastAsia="等线" w:ascii="Arial" w:cs="Arial" w:hAnsi="Arial"/>
          <w:sz w:val="22"/>
        </w:rPr>
        <w:t>。</w:t>
      </w:r>
    </w:p>
    <w:p>
      <w:pPr>
        <w:numPr>
          <w:numId w:val="38"/>
        </w:numPr>
        <w:spacing w:before="120" w:after="120" w:line="288" w:lineRule="auto"/>
        <w:ind w:left="0"/>
        <w:jc w:val="left"/>
      </w:pPr>
      <w:r>
        <w:rPr>
          <w:rFonts w:eastAsia="等线" w:ascii="Arial" w:cs="Arial" w:hAnsi="Arial"/>
          <w:b w:val="true"/>
          <w:sz w:val="22"/>
        </w:rPr>
        <w:t>必须购买的险种</w:t>
      </w:r>
      <w:r>
        <w:rPr>
          <w:rFonts w:eastAsia="等线" w:ascii="Arial" w:cs="Arial" w:hAnsi="Arial"/>
          <w:sz w:val="22"/>
        </w:rPr>
        <w:t>：</w:t>
        <w:br/>
        <w:t xml:space="preserve">        </w:t>
      </w:r>
    </w:p>
    <w:p>
      <w:pPr>
        <w:numPr>
          <w:numId w:val="39"/>
        </w:numPr>
        <w:spacing w:before="120" w:after="120" w:line="288" w:lineRule="auto"/>
        <w:ind w:left="453"/>
        <w:jc w:val="left"/>
      </w:pPr>
      <w:r>
        <w:rPr>
          <w:rFonts w:eastAsia="等线" w:ascii="Arial" w:cs="Arial" w:hAnsi="Arial"/>
          <w:b w:val="true"/>
          <w:sz w:val="22"/>
        </w:rPr>
        <w:t>专业责任保险（E&amp;O）</w:t>
      </w:r>
      <w:r>
        <w:rPr>
          <w:rFonts w:eastAsia="等线" w:ascii="Arial" w:cs="Arial" w:hAnsi="Arial"/>
          <w:sz w:val="22"/>
        </w:rPr>
        <w:t>：为负责资产托管的金融机构（如银行、信托公司）购买，保障因其错误、疏忽导致的损失。</w:t>
      </w:r>
    </w:p>
    <w:p>
      <w:pPr>
        <w:numPr>
          <w:numId w:val="40"/>
        </w:numPr>
        <w:spacing w:before="120" w:after="120" w:line="288" w:lineRule="auto"/>
        <w:ind w:left="453"/>
        <w:jc w:val="left"/>
      </w:pPr>
      <w:r>
        <w:rPr>
          <w:rFonts w:eastAsia="等线" w:ascii="Arial" w:cs="Arial" w:hAnsi="Arial"/>
          <w:b w:val="true"/>
          <w:sz w:val="22"/>
        </w:rPr>
        <w:t>犯罪保险</w:t>
      </w:r>
      <w:r>
        <w:rPr>
          <w:rFonts w:eastAsia="等线" w:ascii="Arial" w:cs="Arial" w:hAnsi="Arial"/>
          <w:sz w:val="22"/>
        </w:rPr>
        <w:t>：保障因员工欺诈、盗窃、计算机犯罪导致的资产损失。</w:t>
      </w:r>
    </w:p>
    <w:p>
      <w:pPr>
        <w:numPr>
          <w:numId w:val="41"/>
        </w:numPr>
        <w:spacing w:before="120" w:after="120" w:line="288" w:lineRule="auto"/>
        <w:ind w:left="453"/>
        <w:jc w:val="left"/>
      </w:pPr>
      <w:r>
        <w:rPr>
          <w:rFonts w:eastAsia="等线" w:ascii="Arial" w:cs="Arial" w:hAnsi="Arial"/>
          <w:b w:val="true"/>
          <w:sz w:val="22"/>
        </w:rPr>
        <w:t>网络安全保险</w:t>
      </w:r>
      <w:r>
        <w:rPr>
          <w:rFonts w:eastAsia="等线" w:ascii="Arial" w:cs="Arial" w:hAnsi="Arial"/>
          <w:sz w:val="22"/>
        </w:rPr>
        <w:t>：保障因黑客攻击、数据泄露导致的直接损失与业务中断。</w:t>
      </w:r>
    </w:p>
    <w:p>
      <w:pPr>
        <w:spacing w:before="120" w:after="120" w:line="288" w:lineRule="auto"/>
        <w:ind w:left="0"/>
        <w:jc w:val="left"/>
      </w:pPr>
      <w:r>
        <w:rPr>
          <w:rFonts w:eastAsia="等线" w:ascii="Arial" w:cs="Arial" w:hAnsi="Arial"/>
          <w:b w:val="true"/>
          <w:sz w:val="22"/>
        </w:rPr>
        <w:t>第十二条 数字原生资产（GNACS Pro：9901系列）</w:t>
      </w:r>
    </w:p>
    <w:p>
      <w:pPr>
        <w:spacing w:before="120" w:after="120" w:line="288" w:lineRule="auto"/>
        <w:ind w:left="0"/>
        <w:jc w:val="left"/>
      </w:pPr>
      <w:r>
        <w:rPr>
          <w:rFonts w:eastAsia="等线" w:ascii="Arial" w:cs="Arial" w:hAnsi="Arial"/>
          <w:sz w:val="22"/>
        </w:rPr>
        <w:t>*包括数字艺术品、游戏资产、数字知识产权等*</w:t>
      </w:r>
    </w:p>
    <w:p>
      <w:pPr>
        <w:spacing w:before="120" w:after="120" w:line="288" w:lineRule="auto"/>
        <w:ind w:left="0"/>
        <w:jc w:val="left"/>
      </w:pPr>
      <w:r>
        <w:rPr>
          <w:rFonts w:eastAsia="等线" w:ascii="Arial" w:cs="Arial" w:hAnsi="Arial"/>
          <w:b w:val="true"/>
          <w:sz w:val="22"/>
        </w:rPr>
        <w:t>保险挑战与解决方案：</w:t>
      </w:r>
    </w:p>
    <w:p>
      <w:pPr>
        <w:numPr>
          <w:numId w:val="42"/>
        </w:numPr>
        <w:spacing w:before="120" w:after="120" w:line="288" w:lineRule="auto"/>
        <w:ind w:left="0"/>
        <w:jc w:val="left"/>
      </w:pPr>
      <w:r>
        <w:rPr>
          <w:rFonts w:eastAsia="等线" w:ascii="Arial" w:cs="Arial" w:hAnsi="Arial"/>
          <w:b w:val="true"/>
          <w:sz w:val="22"/>
        </w:rPr>
        <w:t>核心风险</w:t>
      </w:r>
      <w:r>
        <w:rPr>
          <w:rFonts w:eastAsia="等线" w:ascii="Arial" w:cs="Arial" w:hAnsi="Arial"/>
          <w:sz w:val="22"/>
        </w:rPr>
        <w:t>：私钥丢失/被盗、智能合约漏洞、平台/托管方破产、版权争议。</w:t>
      </w:r>
    </w:p>
    <w:p>
      <w:pPr>
        <w:numPr>
          <w:numId w:val="43"/>
        </w:numPr>
        <w:spacing w:before="120" w:after="120" w:line="288" w:lineRule="auto"/>
        <w:ind w:left="0"/>
        <w:jc w:val="left"/>
      </w:pPr>
      <w:r>
        <w:rPr>
          <w:rFonts w:eastAsia="等线" w:ascii="Arial" w:cs="Arial" w:hAnsi="Arial"/>
          <w:b w:val="true"/>
          <w:sz w:val="22"/>
        </w:rPr>
        <w:t>必须购买的险种组合</w:t>
      </w:r>
      <w:r>
        <w:rPr>
          <w:rFonts w:eastAsia="等线" w:ascii="Arial" w:cs="Arial" w:hAnsi="Arial"/>
          <w:sz w:val="22"/>
        </w:rPr>
        <w:t>：</w:t>
        <w:br/>
        <w:t xml:space="preserve">        </w:t>
      </w:r>
    </w:p>
    <w:p>
      <w:pPr>
        <w:numPr>
          <w:numId w:val="44"/>
        </w:numPr>
        <w:spacing w:before="120" w:after="120" w:line="288" w:lineRule="auto"/>
        <w:ind w:left="453"/>
        <w:jc w:val="left"/>
      </w:pPr>
      <w:r>
        <w:rPr>
          <w:rFonts w:eastAsia="等线" w:ascii="Arial" w:cs="Arial" w:hAnsi="Arial"/>
          <w:b w:val="true"/>
          <w:sz w:val="22"/>
        </w:rPr>
        <w:t>数字资产托管保险</w:t>
      </w:r>
      <w:r>
        <w:rPr>
          <w:rFonts w:eastAsia="等线" w:ascii="Arial" w:cs="Arial" w:hAnsi="Arial"/>
          <w:sz w:val="22"/>
        </w:rPr>
        <w:t>：由专业数字资产托管机构（如Fireblocks、Coinbase Custody）提供的商业保险，保障冷热钱包中的资产安全。</w:t>
      </w:r>
    </w:p>
    <w:p>
      <w:pPr>
        <w:numPr>
          <w:numId w:val="45"/>
        </w:numPr>
        <w:spacing w:before="120" w:after="120" w:line="288" w:lineRule="auto"/>
        <w:ind w:left="453"/>
        <w:jc w:val="left"/>
      </w:pPr>
      <w:r>
        <w:rPr>
          <w:rFonts w:eastAsia="等线" w:ascii="Arial" w:cs="Arial" w:hAnsi="Arial"/>
          <w:b w:val="true"/>
          <w:sz w:val="22"/>
        </w:rPr>
        <w:t>智能合约安全保险</w:t>
      </w:r>
      <w:r>
        <w:rPr>
          <w:rFonts w:eastAsia="等线" w:ascii="Arial" w:cs="Arial" w:hAnsi="Arial"/>
          <w:sz w:val="22"/>
        </w:rPr>
        <w:t>：保障因经过审计的智能合约中未被发现的漏洞导致的资产损失。可通过Nexus Mutual等去中心化保险协议购买。</w:t>
      </w:r>
    </w:p>
    <w:p>
      <w:pPr>
        <w:numPr>
          <w:numId w:val="46"/>
        </w:numPr>
        <w:spacing w:before="120" w:after="120" w:line="288" w:lineRule="auto"/>
        <w:ind w:left="453"/>
        <w:jc w:val="left"/>
      </w:pPr>
      <w:r>
        <w:rPr>
          <w:rFonts w:eastAsia="等线" w:ascii="Arial" w:cs="Arial" w:hAnsi="Arial"/>
          <w:b w:val="true"/>
          <w:sz w:val="22"/>
        </w:rPr>
        <w:t>知识产权侵权责任险</w:t>
      </w:r>
      <w:r>
        <w:rPr>
          <w:rFonts w:eastAsia="等线" w:ascii="Arial" w:cs="Arial" w:hAnsi="Arial"/>
          <w:sz w:val="22"/>
        </w:rPr>
        <w:t>：保障因数字资产版权不清导致的第三方索赔。</w:t>
      </w:r>
    </w:p>
    <w:p>
      <w:pPr>
        <w:spacing w:before="120" w:after="120" w:line="288" w:lineRule="auto"/>
        <w:ind w:left="0"/>
        <w:jc w:val="left"/>
      </w:pPr>
      <w:r>
        <w:rPr>
          <w:rFonts w:eastAsia="等线" w:ascii="Arial" w:cs="Arial" w:hAnsi="Arial"/>
          <w:b w:val="true"/>
          <w:sz w:val="22"/>
        </w:rPr>
        <w:t>特殊要求：</w:t>
      </w:r>
    </w:p>
    <w:p>
      <w:pPr>
        <w:numPr>
          <w:numId w:val="47"/>
        </w:numPr>
        <w:spacing w:before="120" w:after="120" w:line="288" w:lineRule="auto"/>
        <w:ind w:left="0"/>
        <w:jc w:val="left"/>
      </w:pPr>
      <w:r>
        <w:rPr>
          <w:rFonts w:eastAsia="等线" w:ascii="Arial" w:cs="Arial" w:hAnsi="Arial"/>
          <w:sz w:val="22"/>
        </w:rPr>
        <w:t>私钥必须采用</w:t>
      </w:r>
      <w:r>
        <w:rPr>
          <w:rFonts w:eastAsia="等线" w:ascii="Arial" w:cs="Arial" w:hAnsi="Arial"/>
          <w:b w:val="true"/>
          <w:sz w:val="22"/>
        </w:rPr>
        <w:t>多重签名（Multi-sig）</w:t>
      </w:r>
      <w:r>
        <w:rPr>
          <w:rFonts w:eastAsia="等线" w:ascii="Arial" w:cs="Arial" w:hAnsi="Arial"/>
          <w:sz w:val="22"/>
        </w:rPr>
        <w:t>或</w:t>
      </w:r>
      <w:r>
        <w:rPr>
          <w:rFonts w:eastAsia="等线" w:ascii="Arial" w:cs="Arial" w:hAnsi="Arial"/>
          <w:b w:val="true"/>
          <w:sz w:val="22"/>
        </w:rPr>
        <w:t>分布式托管（MPC）</w:t>
      </w:r>
      <w:r>
        <w:rPr>
          <w:rFonts w:eastAsia="等线" w:ascii="Arial" w:cs="Arial" w:hAnsi="Arial"/>
          <w:sz w:val="22"/>
        </w:rPr>
        <w:t>技术，保险条款应与此匹配。</w:t>
      </w:r>
    </w:p>
    <w:p>
      <w:pPr>
        <w:numPr>
          <w:numId w:val="48"/>
        </w:numPr>
        <w:spacing w:before="120" w:after="120" w:line="288" w:lineRule="auto"/>
        <w:ind w:left="0"/>
        <w:jc w:val="left"/>
      </w:pPr>
      <w:r>
        <w:rPr>
          <w:rFonts w:eastAsia="等线" w:ascii="Arial" w:cs="Arial" w:hAnsi="Arial"/>
          <w:sz w:val="22"/>
        </w:rPr>
        <w:t>必须明确保险是否覆盖</w:t>
      </w:r>
      <w:r>
        <w:rPr>
          <w:rFonts w:eastAsia="等线" w:ascii="Arial" w:cs="Arial" w:hAnsi="Arial"/>
          <w:b w:val="true"/>
          <w:sz w:val="22"/>
        </w:rPr>
        <w:t>DeFi协议风险</w:t>
      </w:r>
      <w:r>
        <w:rPr>
          <w:rFonts w:eastAsia="等线" w:ascii="Arial" w:cs="Arial" w:hAnsi="Arial"/>
          <w:sz w:val="22"/>
        </w:rPr>
        <w:t>（如无常损失、清算漏洞）。</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3" w:id="3"/>
      <w:r>
        <w:rPr>
          <w:rFonts w:eastAsia="等线" w:ascii="Arial" w:cs="Arial" w:hAnsi="Arial"/>
          <w:b w:val="true"/>
          <w:sz w:val="32"/>
        </w:rPr>
        <w:t>第三章：保险购买、验证与链上存证流程</w:t>
      </w:r>
      <w:bookmarkEnd w:id="3"/>
    </w:p>
    <w:p>
      <w:pPr>
        <w:spacing w:before="120" w:after="120" w:line="288" w:lineRule="auto"/>
        <w:ind w:left="0"/>
        <w:jc w:val="left"/>
      </w:pPr>
      <w:r>
        <w:rPr>
          <w:rFonts w:eastAsia="等线" w:ascii="Arial" w:cs="Arial" w:hAnsi="Arial"/>
          <w:b w:val="true"/>
          <w:sz w:val="22"/>
        </w:rPr>
        <w:t>第十三条 保险购买流程（链下+链上闭环）</w:t>
      </w:r>
    </w:p>
    <w:p>
      <w:pPr>
        <w:numPr>
          <w:numId w:val="49"/>
        </w:numPr>
        <w:spacing w:before="120" w:after="120" w:line="288" w:lineRule="auto"/>
        <w:ind w:left="0"/>
        <w:jc w:val="left"/>
      </w:pPr>
      <w:r>
        <w:rPr>
          <w:rFonts w:eastAsia="等线" w:ascii="Arial" w:cs="Arial" w:hAnsi="Arial"/>
          <w:b w:val="true"/>
          <w:sz w:val="22"/>
        </w:rPr>
        <w:t>投保申请</w:t>
      </w:r>
      <w:r>
        <w:rPr>
          <w:rFonts w:eastAsia="等线" w:ascii="Arial" w:cs="Arial" w:hAnsi="Arial"/>
          <w:sz w:val="22"/>
        </w:rPr>
        <w:t>：资产所有者（或授权方）向符合资质的保险公司提交投保申请，提供：</w:t>
        <w:br/>
        <w:t xml:space="preserve">        </w:t>
      </w:r>
    </w:p>
    <w:p>
      <w:pPr>
        <w:numPr>
          <w:numId w:val="50"/>
        </w:numPr>
        <w:spacing w:before="120" w:after="120" w:line="288" w:lineRule="auto"/>
        <w:ind w:left="453"/>
        <w:jc w:val="left"/>
      </w:pPr>
      <w:r>
        <w:rPr>
          <w:rFonts w:eastAsia="等线" w:ascii="Arial" w:cs="Arial" w:hAnsi="Arial"/>
          <w:sz w:val="22"/>
        </w:rPr>
        <w:t>- 资产DNA_Code</w:t>
      </w:r>
    </w:p>
    <w:p>
      <w:pPr>
        <w:numPr>
          <w:numId w:val="51"/>
        </w:numPr>
        <w:spacing w:before="120" w:after="120" w:line="288" w:lineRule="auto"/>
        <w:ind w:left="453"/>
        <w:jc w:val="left"/>
      </w:pPr>
      <w:r>
        <w:rPr>
          <w:rFonts w:eastAsia="等线" w:ascii="Arial" w:cs="Arial" w:hAnsi="Arial"/>
          <w:sz w:val="22"/>
        </w:rPr>
        <w:t>- 链上公允价值证明（AI估值报告哈希）</w:t>
      </w:r>
    </w:p>
    <w:p>
      <w:pPr>
        <w:numPr>
          <w:numId w:val="52"/>
        </w:numPr>
        <w:spacing w:before="120" w:after="120" w:line="288" w:lineRule="auto"/>
        <w:ind w:left="453"/>
        <w:jc w:val="left"/>
      </w:pPr>
      <w:r>
        <w:rPr>
          <w:rFonts w:eastAsia="等线" w:ascii="Arial" w:cs="Arial" w:hAnsi="Arial"/>
          <w:sz w:val="22"/>
        </w:rPr>
        <w:t>- 资产物理特征/法律状态证明文件</w:t>
      </w:r>
    </w:p>
    <w:p>
      <w:pPr>
        <w:numPr>
          <w:numId w:val="53"/>
        </w:numPr>
        <w:spacing w:before="120" w:after="120" w:line="288" w:lineRule="auto"/>
        <w:ind w:left="453"/>
        <w:jc w:val="left"/>
      </w:pPr>
      <w:r>
        <w:rPr>
          <w:rFonts w:eastAsia="等线" w:ascii="Arial" w:cs="Arial" w:hAnsi="Arial"/>
          <w:sz w:val="22"/>
        </w:rPr>
        <w:t>- 托管合同副本</w:t>
      </w:r>
    </w:p>
    <w:p>
      <w:pPr>
        <w:numPr>
          <w:numId w:val="54"/>
        </w:numPr>
        <w:spacing w:before="120" w:after="120" w:line="288" w:lineRule="auto"/>
        <w:ind w:left="0"/>
        <w:jc w:val="left"/>
      </w:pPr>
      <w:r>
        <w:rPr>
          <w:rFonts w:eastAsia="等线" w:ascii="Arial" w:cs="Arial" w:hAnsi="Arial"/>
          <w:b w:val="true"/>
          <w:sz w:val="22"/>
        </w:rPr>
        <w:t>核保与出单</w:t>
      </w:r>
      <w:r>
        <w:rPr>
          <w:rFonts w:eastAsia="等线" w:ascii="Arial" w:cs="Arial" w:hAnsi="Arial"/>
          <w:sz w:val="22"/>
        </w:rPr>
        <w:t>：保险公司核保后出具保单。</w:t>
      </w:r>
    </w:p>
    <w:p>
      <w:pPr>
        <w:numPr>
          <w:numId w:val="55"/>
        </w:numPr>
        <w:spacing w:before="120" w:after="120" w:line="288" w:lineRule="auto"/>
        <w:ind w:left="0"/>
        <w:jc w:val="left"/>
      </w:pPr>
      <w:r>
        <w:rPr>
          <w:rFonts w:eastAsia="等线" w:ascii="Arial" w:cs="Arial" w:hAnsi="Arial"/>
          <w:b w:val="true"/>
          <w:sz w:val="22"/>
        </w:rPr>
        <w:t>保险信息链上存证</w:t>
      </w:r>
      <w:r>
        <w:rPr>
          <w:rFonts w:eastAsia="等线" w:ascii="Arial" w:cs="Arial" w:hAnsi="Arial"/>
          <w:sz w:val="22"/>
        </w:rPr>
        <w:t>：</w:t>
        <w:br/>
        <w:t xml:space="preserve">        </w:t>
      </w:r>
    </w:p>
    <w:p>
      <w:pPr>
        <w:numPr>
          <w:numId w:val="56"/>
        </w:numPr>
        <w:spacing w:before="120" w:after="120" w:line="288" w:lineRule="auto"/>
        <w:ind w:left="453"/>
        <w:jc w:val="left"/>
      </w:pPr>
      <w:r>
        <w:rPr>
          <w:rFonts w:eastAsia="等线" w:ascii="Arial" w:cs="Arial" w:hAnsi="Arial"/>
          <w:sz w:val="22"/>
        </w:rPr>
        <w:t>a. 将保单关键信息（保单号、保险公司、保险期间、保险金额、免赔额、主要条款摘要）生成JSON结构化数据。</w:t>
      </w:r>
    </w:p>
    <w:p>
      <w:pPr>
        <w:numPr>
          <w:numId w:val="57"/>
        </w:numPr>
        <w:spacing w:before="120" w:after="120" w:line="288" w:lineRule="auto"/>
        <w:ind w:left="453"/>
        <w:jc w:val="left"/>
      </w:pPr>
      <w:r>
        <w:rPr>
          <w:rFonts w:eastAsia="等线" w:ascii="Arial" w:cs="Arial" w:hAnsi="Arial"/>
          <w:sz w:val="22"/>
        </w:rPr>
        <w:t>b. 计算该JSON数据的哈希值，并将其</w:t>
      </w:r>
      <w:r>
        <w:rPr>
          <w:rFonts w:eastAsia="等线" w:ascii="Arial" w:cs="Arial" w:hAnsi="Arial"/>
          <w:b w:val="true"/>
          <w:sz w:val="22"/>
        </w:rPr>
        <w:t>写入资产DNA的扩展属性字段</w:t>
      </w:r>
      <w:r>
        <w:rPr>
          <w:rFonts w:eastAsia="等线" w:ascii="Arial" w:cs="Arial" w:hAnsi="Arial"/>
          <w:sz w:val="22"/>
        </w:rPr>
        <w:t>（如</w:t>
      </w:r>
      <w:r>
        <w:rPr>
          <w:rFonts w:eastAsia="Consolas" w:ascii="Consolas" w:cs="Consolas" w:hAnsi="Consolas"/>
          <w:sz w:val="22"/>
          <w:shd w:fill="EFF0F1"/>
        </w:rPr>
        <w:t>insurance_hash</w:t>
      </w:r>
      <w:r>
        <w:rPr>
          <w:rFonts w:eastAsia="等线" w:ascii="Arial" w:cs="Arial" w:hAnsi="Arial"/>
          <w:sz w:val="22"/>
        </w:rPr>
        <w:t>）。</w:t>
      </w:r>
    </w:p>
    <w:p>
      <w:pPr>
        <w:numPr>
          <w:numId w:val="58"/>
        </w:numPr>
        <w:spacing w:before="120" w:after="120" w:line="288" w:lineRule="auto"/>
        <w:ind w:left="453"/>
        <w:jc w:val="left"/>
      </w:pPr>
      <w:r>
        <w:rPr>
          <w:rFonts w:eastAsia="等线" w:ascii="Arial" w:cs="Arial" w:hAnsi="Arial"/>
          <w:sz w:val="22"/>
        </w:rPr>
        <w:t>c. 将完整保单PDF文件上传至IPFS/Arweave，将其内容标识符（CID）与资产DNA关联。</w:t>
      </w:r>
    </w:p>
    <w:p>
      <w:pPr>
        <w:numPr>
          <w:numId w:val="59"/>
        </w:numPr>
        <w:spacing w:before="120" w:after="120" w:line="288" w:lineRule="auto"/>
        <w:ind w:left="453"/>
        <w:jc w:val="left"/>
      </w:pPr>
      <w:r>
        <w:rPr>
          <w:rFonts w:eastAsia="等线" w:ascii="Arial" w:cs="Arial" w:hAnsi="Arial"/>
          <w:sz w:val="22"/>
        </w:rPr>
        <w:t>d. 上述操作由保险公司或授权第三方通过调用NAC公链的"保险注册智能合约"完成，并支付少量XIC作为Gas费。</w:t>
      </w:r>
    </w:p>
    <w:p>
      <w:pPr>
        <w:numPr>
          <w:numId w:val="60"/>
        </w:numPr>
        <w:spacing w:before="120" w:after="120" w:line="288" w:lineRule="auto"/>
        <w:ind w:left="0"/>
        <w:jc w:val="left"/>
      </w:pPr>
      <w:r>
        <w:rPr>
          <w:rFonts w:eastAsia="等线" w:ascii="Arial" w:cs="Arial" w:hAnsi="Arial"/>
          <w:b w:val="true"/>
          <w:sz w:val="22"/>
        </w:rPr>
        <w:t>保险状态验证</w:t>
      </w:r>
      <w:r>
        <w:rPr>
          <w:rFonts w:eastAsia="等线" w:ascii="Arial" w:cs="Arial" w:hAnsi="Arial"/>
          <w:sz w:val="22"/>
        </w:rPr>
        <w:t>：AI合规引擎自动验证链上保险记录的真实性（如通过保险公司官方API），并将保险状态作为资产合规掩码的一部分。</w:t>
      </w:r>
    </w:p>
    <w:p>
      <w:pPr>
        <w:spacing w:before="120" w:after="120" w:line="288" w:lineRule="auto"/>
        <w:ind w:left="0"/>
        <w:jc w:val="left"/>
      </w:pPr>
      <w:r>
        <w:rPr>
          <w:rFonts w:eastAsia="等线" w:ascii="Arial" w:cs="Arial" w:hAnsi="Arial"/>
          <w:b w:val="true"/>
          <w:sz w:val="22"/>
        </w:rPr>
        <w:t>第十四条 保险期间监控与续保</w:t>
      </w:r>
    </w:p>
    <w:p>
      <w:pPr>
        <w:numPr>
          <w:numId w:val="61"/>
        </w:numPr>
        <w:spacing w:before="120" w:after="120" w:line="288" w:lineRule="auto"/>
        <w:ind w:left="0"/>
        <w:jc w:val="left"/>
      </w:pPr>
      <w:r>
        <w:rPr>
          <w:rFonts w:eastAsia="等线" w:ascii="Arial" w:cs="Arial" w:hAnsi="Arial"/>
          <w:b w:val="true"/>
          <w:sz w:val="22"/>
        </w:rPr>
        <w:t>自动监控</w:t>
      </w:r>
      <w:r>
        <w:rPr>
          <w:rFonts w:eastAsia="等线" w:ascii="Arial" w:cs="Arial" w:hAnsi="Arial"/>
          <w:sz w:val="22"/>
        </w:rPr>
        <w:t>：系统每日检查所有托管资产的保险有效期。</w:t>
      </w:r>
    </w:p>
    <w:p>
      <w:pPr>
        <w:numPr>
          <w:numId w:val="62"/>
        </w:numPr>
        <w:spacing w:before="120" w:after="120" w:line="288" w:lineRule="auto"/>
        <w:ind w:left="0"/>
        <w:jc w:val="left"/>
      </w:pPr>
      <w:r>
        <w:rPr>
          <w:rFonts w:eastAsia="等线" w:ascii="Arial" w:cs="Arial" w:hAnsi="Arial"/>
          <w:b w:val="true"/>
          <w:sz w:val="22"/>
        </w:rPr>
        <w:t>提前预警</w:t>
      </w:r>
      <w:r>
        <w:rPr>
          <w:rFonts w:eastAsia="等线" w:ascii="Arial" w:cs="Arial" w:hAnsi="Arial"/>
          <w:sz w:val="22"/>
        </w:rPr>
        <w:t>：在保险到期前30天、15天、7天向OwnerDID、托管机构发送预警。</w:t>
      </w:r>
    </w:p>
    <w:p>
      <w:pPr>
        <w:numPr>
          <w:numId w:val="63"/>
        </w:numPr>
        <w:spacing w:before="120" w:after="120" w:line="288" w:lineRule="auto"/>
        <w:ind w:left="0"/>
        <w:jc w:val="left"/>
      </w:pPr>
      <w:r>
        <w:rPr>
          <w:rFonts w:eastAsia="等线" w:ascii="Arial" w:cs="Arial" w:hAnsi="Arial"/>
          <w:b w:val="true"/>
          <w:sz w:val="22"/>
        </w:rPr>
        <w:t>自动续保</w:t>
      </w:r>
      <w:r>
        <w:rPr>
          <w:rFonts w:eastAsia="等线" w:ascii="Arial" w:cs="Arial" w:hAnsi="Arial"/>
          <w:sz w:val="22"/>
        </w:rPr>
        <w:t>：若投保时授权，系统可调用保险公司API尝试自动续保，并从指定地址扣除保费（以XTZH或稳定币支付）。</w:t>
      </w:r>
    </w:p>
    <w:p>
      <w:pPr>
        <w:numPr>
          <w:numId w:val="64"/>
        </w:numPr>
        <w:spacing w:before="120" w:after="120" w:line="288" w:lineRule="auto"/>
        <w:ind w:left="0"/>
        <w:jc w:val="left"/>
      </w:pPr>
      <w:r>
        <w:rPr>
          <w:rFonts w:eastAsia="等线" w:ascii="Arial" w:cs="Arial" w:hAnsi="Arial"/>
          <w:b w:val="true"/>
          <w:sz w:val="22"/>
        </w:rPr>
        <w:t>脱保处置</w:t>
      </w:r>
      <w:r>
        <w:rPr>
          <w:rFonts w:eastAsia="等线" w:ascii="Arial" w:cs="Arial" w:hAnsi="Arial"/>
          <w:sz w:val="22"/>
        </w:rPr>
        <w:t>：到期未续保，资产状态降级为"保险失效"，链上相关操作（如质押、交易）受限。</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4" w:id="4"/>
      <w:r>
        <w:rPr>
          <w:rFonts w:eastAsia="等线" w:ascii="Arial" w:cs="Arial" w:hAnsi="Arial"/>
          <w:b w:val="true"/>
          <w:sz w:val="32"/>
        </w:rPr>
        <w:t>第四章：保险理赔与链上价值恢复流程</w:t>
      </w:r>
      <w:bookmarkEnd w:id="4"/>
    </w:p>
    <w:p>
      <w:pPr>
        <w:spacing w:before="120" w:after="120" w:line="288" w:lineRule="auto"/>
        <w:ind w:left="0"/>
        <w:jc w:val="left"/>
      </w:pPr>
      <w:r>
        <w:rPr>
          <w:rFonts w:eastAsia="等线" w:ascii="Arial" w:cs="Arial" w:hAnsi="Arial"/>
          <w:b w:val="true"/>
          <w:sz w:val="22"/>
        </w:rPr>
        <w:t>第十五条 保险事件报告与验证</w:t>
      </w:r>
    </w:p>
    <w:p>
      <w:pPr>
        <w:numPr>
          <w:numId w:val="65"/>
        </w:numPr>
        <w:spacing w:before="120" w:after="120" w:line="288" w:lineRule="auto"/>
        <w:ind w:left="0"/>
        <w:jc w:val="left"/>
      </w:pPr>
      <w:r>
        <w:rPr>
          <w:rFonts w:eastAsia="等线" w:ascii="Arial" w:cs="Arial" w:hAnsi="Arial"/>
          <w:b w:val="true"/>
          <w:sz w:val="22"/>
        </w:rPr>
        <w:t>事件报告</w:t>
      </w:r>
      <w:r>
        <w:rPr>
          <w:rFonts w:eastAsia="等线" w:ascii="Arial" w:cs="Arial" w:hAnsi="Arial"/>
          <w:sz w:val="22"/>
        </w:rPr>
        <w:t>：一旦发生保险事故，托管机构或资产所有者必须在</w:t>
      </w:r>
      <w:r>
        <w:rPr>
          <w:rFonts w:eastAsia="等线" w:ascii="Arial" w:cs="Arial" w:hAnsi="Arial"/>
          <w:b w:val="true"/>
          <w:sz w:val="22"/>
        </w:rPr>
        <w:t>24小时</w:t>
      </w:r>
      <w:r>
        <w:rPr>
          <w:rFonts w:eastAsia="等线" w:ascii="Arial" w:cs="Arial" w:hAnsi="Arial"/>
          <w:sz w:val="22"/>
        </w:rPr>
        <w:t>内通过DApp上报，并尽可能提供证据（照片、视频、传感器数据、警方报告等）。</w:t>
      </w:r>
    </w:p>
    <w:p>
      <w:pPr>
        <w:numPr>
          <w:numId w:val="66"/>
        </w:numPr>
        <w:spacing w:before="120" w:after="120" w:line="288" w:lineRule="auto"/>
        <w:ind w:left="0"/>
        <w:jc w:val="left"/>
      </w:pPr>
      <w:r>
        <w:rPr>
          <w:rFonts w:eastAsia="等线" w:ascii="Arial" w:cs="Arial" w:hAnsi="Arial"/>
          <w:b w:val="true"/>
          <w:sz w:val="22"/>
        </w:rPr>
        <w:t>AI辅助定损</w:t>
      </w:r>
      <w:r>
        <w:rPr>
          <w:rFonts w:eastAsia="等线" w:ascii="Arial" w:cs="Arial" w:hAnsi="Arial"/>
          <w:sz w:val="22"/>
        </w:rPr>
        <w:t>：</w:t>
        <w:br/>
        <w:t xml:space="preserve">        </w:t>
      </w:r>
    </w:p>
    <w:p>
      <w:pPr>
        <w:numPr>
          <w:numId w:val="67"/>
        </w:numPr>
        <w:spacing w:before="120" w:after="120" w:line="288" w:lineRule="auto"/>
        <w:ind w:left="453"/>
        <w:jc w:val="left"/>
      </w:pPr>
      <w:r>
        <w:rPr>
          <w:rFonts w:eastAsia="等线" w:ascii="Arial" w:cs="Arial" w:hAnsi="Arial"/>
          <w:sz w:val="22"/>
        </w:rPr>
        <w:t>系统调用物联网传感器数据、监控录像等。</w:t>
      </w:r>
    </w:p>
    <w:p>
      <w:pPr>
        <w:numPr>
          <w:numId w:val="68"/>
        </w:numPr>
        <w:spacing w:before="120" w:after="120" w:line="288" w:lineRule="auto"/>
        <w:ind w:left="453"/>
        <w:jc w:val="left"/>
      </w:pPr>
      <w:r>
        <w:rPr>
          <w:rFonts w:eastAsia="等线" w:ascii="Arial" w:cs="Arial" w:hAnsi="Arial"/>
          <w:sz w:val="22"/>
        </w:rPr>
        <w:t>AI图像识别模块评估损失程度。</w:t>
      </w:r>
    </w:p>
    <w:p>
      <w:pPr>
        <w:numPr>
          <w:numId w:val="69"/>
        </w:numPr>
        <w:spacing w:before="120" w:after="120" w:line="288" w:lineRule="auto"/>
        <w:ind w:left="453"/>
        <w:jc w:val="left"/>
      </w:pPr>
      <w:r>
        <w:rPr>
          <w:rFonts w:eastAsia="等线" w:ascii="Arial" w:cs="Arial" w:hAnsi="Arial"/>
          <w:sz w:val="22"/>
        </w:rPr>
        <w:t>对于复杂损失，系统可推荐第三方公估机构。</w:t>
      </w:r>
    </w:p>
    <w:p>
      <w:pPr>
        <w:numPr>
          <w:numId w:val="70"/>
        </w:numPr>
        <w:spacing w:before="120" w:after="120" w:line="288" w:lineRule="auto"/>
        <w:ind w:left="0"/>
        <w:jc w:val="left"/>
      </w:pPr>
      <w:r>
        <w:rPr>
          <w:rFonts w:eastAsia="等线" w:ascii="Arial" w:cs="Arial" w:hAnsi="Arial"/>
          <w:b w:val="true"/>
          <w:sz w:val="22"/>
        </w:rPr>
        <w:t>保险责任判定</w:t>
      </w:r>
      <w:r>
        <w:rPr>
          <w:rFonts w:eastAsia="等线" w:ascii="Arial" w:cs="Arial" w:hAnsi="Arial"/>
          <w:sz w:val="22"/>
        </w:rPr>
        <w:t>：AI合规引擎对照保单条款与事故原因，进行初步责任判定。</w:t>
      </w:r>
    </w:p>
    <w:p>
      <w:pPr>
        <w:spacing w:before="120" w:after="120" w:line="288" w:lineRule="auto"/>
        <w:ind w:left="0"/>
        <w:jc w:val="left"/>
      </w:pPr>
      <w:r>
        <w:rPr>
          <w:rFonts w:eastAsia="等线" w:ascii="Arial" w:cs="Arial" w:hAnsi="Arial"/>
          <w:b w:val="true"/>
          <w:sz w:val="22"/>
        </w:rPr>
        <w:t>第十六条 理赔自动化与支付</w:t>
      </w:r>
    </w:p>
    <w:p>
      <w:pPr>
        <w:numPr>
          <w:numId w:val="71"/>
        </w:numPr>
        <w:spacing w:before="120" w:after="120" w:line="288" w:lineRule="auto"/>
        <w:ind w:left="0"/>
        <w:jc w:val="left"/>
      </w:pPr>
      <w:r>
        <w:rPr>
          <w:rFonts w:eastAsia="等线" w:ascii="Arial" w:cs="Arial" w:hAnsi="Arial"/>
          <w:b w:val="true"/>
          <w:sz w:val="22"/>
        </w:rPr>
        <w:t>传统保险公司理赔</w:t>
      </w:r>
      <w:r>
        <w:rPr>
          <w:rFonts w:eastAsia="等线" w:ascii="Arial" w:cs="Arial" w:hAnsi="Arial"/>
          <w:sz w:val="22"/>
        </w:rPr>
        <w:t>：</w:t>
        <w:br/>
        <w:t xml:space="preserve">        </w:t>
      </w:r>
    </w:p>
    <w:p>
      <w:pPr>
        <w:numPr>
          <w:numId w:val="72"/>
        </w:numPr>
        <w:spacing w:before="120" w:after="120" w:line="288" w:lineRule="auto"/>
        <w:ind w:left="453"/>
        <w:jc w:val="left"/>
      </w:pPr>
      <w:r>
        <w:rPr>
          <w:rFonts w:eastAsia="等线" w:ascii="Arial" w:cs="Arial" w:hAnsi="Arial"/>
          <w:sz w:val="22"/>
        </w:rPr>
        <w:t>系统将链上验证过的事故报告与定损结果自动发送至保险公司理赔系统。</w:t>
      </w:r>
    </w:p>
    <w:p>
      <w:pPr>
        <w:numPr>
          <w:numId w:val="73"/>
        </w:numPr>
        <w:spacing w:before="120" w:after="120" w:line="288" w:lineRule="auto"/>
        <w:ind w:left="453"/>
        <w:jc w:val="left"/>
      </w:pPr>
      <w:r>
        <w:rPr>
          <w:rFonts w:eastAsia="等线" w:ascii="Arial" w:cs="Arial" w:hAnsi="Arial"/>
          <w:sz w:val="22"/>
        </w:rPr>
        <w:t>保险公司做出理赔决定后，将赔款支付至智能合约控制的专属账户。</w:t>
      </w:r>
    </w:p>
    <w:p>
      <w:pPr>
        <w:numPr>
          <w:numId w:val="74"/>
        </w:numPr>
        <w:spacing w:before="120" w:after="120" w:line="288" w:lineRule="auto"/>
        <w:ind w:left="453"/>
        <w:jc w:val="left"/>
      </w:pPr>
      <w:r>
        <w:rPr>
          <w:rFonts w:eastAsia="等线" w:ascii="Arial" w:cs="Arial" w:hAnsi="Arial"/>
          <w:sz w:val="22"/>
        </w:rPr>
        <w:t>智能合约验证赔款到账后，自动执行下一步。</w:t>
      </w:r>
    </w:p>
    <w:p>
      <w:pPr>
        <w:numPr>
          <w:numId w:val="75"/>
        </w:numPr>
        <w:spacing w:before="120" w:after="120" w:line="288" w:lineRule="auto"/>
        <w:ind w:left="0"/>
        <w:jc w:val="left"/>
      </w:pPr>
      <w:r>
        <w:rPr>
          <w:rFonts w:eastAsia="等线" w:ascii="Arial" w:cs="Arial" w:hAnsi="Arial"/>
          <w:b w:val="true"/>
          <w:sz w:val="22"/>
        </w:rPr>
        <w:t>去中心化保险协议理赔</w:t>
      </w:r>
      <w:r>
        <w:rPr>
          <w:rFonts w:eastAsia="等线" w:ascii="Arial" w:cs="Arial" w:hAnsi="Arial"/>
          <w:sz w:val="22"/>
        </w:rPr>
        <w:t>：</w:t>
        <w:br/>
        <w:t xml:space="preserve">        </w:t>
      </w:r>
    </w:p>
    <w:p>
      <w:pPr>
        <w:numPr>
          <w:numId w:val="76"/>
        </w:numPr>
        <w:spacing w:before="120" w:after="120" w:line="288" w:lineRule="auto"/>
        <w:ind w:left="453"/>
        <w:jc w:val="left"/>
      </w:pPr>
      <w:r>
        <w:rPr>
          <w:rFonts w:eastAsia="等线" w:ascii="Arial" w:cs="Arial" w:hAnsi="Arial"/>
          <w:sz w:val="22"/>
        </w:rPr>
        <w:t>触发链上索赔提案，由持币者或指定委员会投票表决。</w:t>
      </w:r>
    </w:p>
    <w:p>
      <w:pPr>
        <w:numPr>
          <w:numId w:val="77"/>
        </w:numPr>
        <w:spacing w:before="120" w:after="120" w:line="288" w:lineRule="auto"/>
        <w:ind w:left="453"/>
        <w:jc w:val="left"/>
      </w:pPr>
      <w:r>
        <w:rPr>
          <w:rFonts w:eastAsia="等线" w:ascii="Arial" w:cs="Arial" w:hAnsi="Arial"/>
          <w:sz w:val="22"/>
        </w:rPr>
        <w:t>投票通过后，资金从保险池自动划转至受款合约。</w:t>
      </w:r>
    </w:p>
    <w:p>
      <w:pPr>
        <w:numPr>
          <w:numId w:val="78"/>
        </w:numPr>
        <w:spacing w:before="120" w:after="120" w:line="288" w:lineRule="auto"/>
        <w:ind w:left="0"/>
        <w:jc w:val="left"/>
      </w:pPr>
      <w:r>
        <w:rPr>
          <w:rFonts w:eastAsia="等线" w:ascii="Arial" w:cs="Arial" w:hAnsi="Arial"/>
          <w:b w:val="true"/>
          <w:sz w:val="22"/>
        </w:rPr>
        <w:t>赔款与XTZH价值恢复</w:t>
      </w:r>
      <w:r>
        <w:rPr>
          <w:rFonts w:eastAsia="等线" w:ascii="Arial" w:cs="Arial" w:hAnsi="Arial"/>
          <w:sz w:val="22"/>
        </w:rPr>
        <w:t>：</w:t>
        <w:br/>
        <w:t xml:space="preserve">        </w:t>
      </w:r>
      <w:r>
        <w:rPr>
          <w:rFonts w:eastAsia="等线" w:ascii="Arial" w:cs="Arial" w:hAnsi="Arial"/>
          <w:sz w:val="22"/>
        </w:rPr>
        <w:t>赔款进入智能合约后，系统根据赔款金额与资产受损情况，决定：</w:t>
      </w:r>
    </w:p>
    <w:p>
      <w:pPr>
        <w:numPr>
          <w:numId w:val="79"/>
        </w:numPr>
        <w:spacing w:before="120" w:after="120" w:line="288" w:lineRule="auto"/>
        <w:ind w:left="453"/>
        <w:jc w:val="left"/>
      </w:pPr>
      <w:r>
        <w:rPr>
          <w:rFonts w:eastAsia="等线" w:ascii="Arial" w:cs="Arial" w:hAnsi="Arial"/>
          <w:sz w:val="22"/>
        </w:rPr>
        <w:t xml:space="preserve">a. </w:t>
      </w:r>
      <w:r>
        <w:rPr>
          <w:rFonts w:eastAsia="等线" w:ascii="Arial" w:cs="Arial" w:hAnsi="Arial"/>
          <w:b w:val="true"/>
          <w:sz w:val="22"/>
        </w:rPr>
        <w:t>全额修复/重置</w:t>
      </w:r>
      <w:r>
        <w:rPr>
          <w:rFonts w:eastAsia="等线" w:ascii="Arial" w:cs="Arial" w:hAnsi="Arial"/>
          <w:sz w:val="22"/>
        </w:rPr>
        <w:t>：若赔款足够，用赔款修复或重置资产，链上资产价值维持不变。</w:t>
      </w:r>
    </w:p>
    <w:p>
      <w:pPr>
        <w:numPr>
          <w:numId w:val="80"/>
        </w:numPr>
        <w:spacing w:before="120" w:after="120" w:line="288" w:lineRule="auto"/>
        <w:ind w:left="453"/>
        <w:jc w:val="left"/>
      </w:pPr>
      <w:r>
        <w:rPr>
          <w:rFonts w:eastAsia="等线" w:ascii="Arial" w:cs="Arial" w:hAnsi="Arial"/>
          <w:sz w:val="22"/>
        </w:rPr>
        <w:t xml:space="preserve">b. </w:t>
      </w:r>
      <w:r>
        <w:rPr>
          <w:rFonts w:eastAsia="等线" w:ascii="Arial" w:cs="Arial" w:hAnsi="Arial"/>
          <w:b w:val="true"/>
          <w:sz w:val="22"/>
        </w:rPr>
        <w:t>部分赔偿与价值调减</w:t>
      </w:r>
      <w:r>
        <w:rPr>
          <w:rFonts w:eastAsia="等线" w:ascii="Arial" w:cs="Arial" w:hAnsi="Arial"/>
          <w:sz w:val="22"/>
        </w:rPr>
        <w:t>：若为部分损失，链上资产公允价值按损失比例调减，赔款支付给所有者。</w:t>
      </w:r>
    </w:p>
    <w:p>
      <w:pPr>
        <w:numPr>
          <w:numId w:val="81"/>
        </w:numPr>
        <w:spacing w:before="120" w:after="120" w:line="288" w:lineRule="auto"/>
        <w:ind w:left="453"/>
        <w:jc w:val="left"/>
      </w:pPr>
      <w:r>
        <w:rPr>
          <w:rFonts w:eastAsia="等线" w:ascii="Arial" w:cs="Arial" w:hAnsi="Arial"/>
          <w:sz w:val="22"/>
        </w:rPr>
        <w:t xml:space="preserve">c. </w:t>
      </w:r>
      <w:r>
        <w:rPr>
          <w:rFonts w:eastAsia="等线" w:ascii="Arial" w:cs="Arial" w:hAnsi="Arial"/>
          <w:b w:val="true"/>
          <w:sz w:val="22"/>
        </w:rPr>
        <w:t>全损与退出</w:t>
      </w:r>
      <w:r>
        <w:rPr>
          <w:rFonts w:eastAsia="等线" w:ascii="Arial" w:cs="Arial" w:hAnsi="Arial"/>
          <w:sz w:val="22"/>
        </w:rPr>
        <w:t>：若资产全损且无法修复，启动《资产退出综合法典》中的"全损退出流程"，赔款用于赎回对应XTZH并销毁。</w:t>
      </w:r>
    </w:p>
    <w:p>
      <w:pPr>
        <w:spacing w:before="120" w:after="120" w:line="288" w:lineRule="auto"/>
        <w:ind w:left="0"/>
        <w:jc w:val="left"/>
      </w:pPr>
      <w:r>
        <w:rPr>
          <w:rFonts w:eastAsia="等线" w:ascii="Arial" w:cs="Arial" w:hAnsi="Arial"/>
          <w:b w:val="true"/>
          <w:sz w:val="22"/>
        </w:rPr>
        <w:t>第十七条 理赔争议解决</w:t>
      </w:r>
    </w:p>
    <w:p>
      <w:pPr>
        <w:numPr>
          <w:numId w:val="82"/>
        </w:numPr>
        <w:spacing w:before="120" w:after="120" w:line="288" w:lineRule="auto"/>
        <w:ind w:left="0"/>
        <w:jc w:val="left"/>
      </w:pPr>
      <w:r>
        <w:rPr>
          <w:rFonts w:eastAsia="等线" w:ascii="Arial" w:cs="Arial" w:hAnsi="Arial"/>
          <w:b w:val="true"/>
          <w:sz w:val="22"/>
        </w:rPr>
        <w:t>协商</w:t>
      </w:r>
      <w:r>
        <w:rPr>
          <w:rFonts w:eastAsia="等线" w:ascii="Arial" w:cs="Arial" w:hAnsi="Arial"/>
          <w:sz w:val="22"/>
        </w:rPr>
        <w:t>：首先在保险智能合约框架内协商。</w:t>
      </w:r>
    </w:p>
    <w:p>
      <w:pPr>
        <w:numPr>
          <w:numId w:val="83"/>
        </w:numPr>
        <w:spacing w:before="120" w:after="120" w:line="288" w:lineRule="auto"/>
        <w:ind w:left="0"/>
        <w:jc w:val="left"/>
      </w:pPr>
      <w:r>
        <w:rPr>
          <w:rFonts w:eastAsia="等线" w:ascii="Arial" w:cs="Arial" w:hAnsi="Arial"/>
          <w:b w:val="true"/>
          <w:sz w:val="22"/>
        </w:rPr>
        <w:t>仲裁</w:t>
      </w:r>
      <w:r>
        <w:rPr>
          <w:rFonts w:eastAsia="等线" w:ascii="Arial" w:cs="Arial" w:hAnsi="Arial"/>
          <w:sz w:val="22"/>
        </w:rPr>
        <w:t>：协商不成，可提交至NAC链上仲裁院，调用保险条款与事故数据快速裁决。</w:t>
      </w:r>
    </w:p>
    <w:p>
      <w:pPr>
        <w:numPr>
          <w:numId w:val="84"/>
        </w:numPr>
        <w:spacing w:before="120" w:after="120" w:line="288" w:lineRule="auto"/>
        <w:ind w:left="0"/>
        <w:jc w:val="left"/>
      </w:pPr>
      <w:r>
        <w:rPr>
          <w:rFonts w:eastAsia="等线" w:ascii="Arial" w:cs="Arial" w:hAnsi="Arial"/>
          <w:b w:val="true"/>
          <w:sz w:val="22"/>
        </w:rPr>
        <w:t>司法诉讼</w:t>
      </w:r>
      <w:r>
        <w:rPr>
          <w:rFonts w:eastAsia="等线" w:ascii="Arial" w:cs="Arial" w:hAnsi="Arial"/>
          <w:sz w:val="22"/>
        </w:rPr>
        <w:t>：最终可诉至有管辖权的法院。</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5" w:id="5"/>
      <w:r>
        <w:rPr>
          <w:rFonts w:eastAsia="等线" w:ascii="Arial" w:cs="Arial" w:hAnsi="Arial"/>
          <w:b w:val="true"/>
          <w:sz w:val="32"/>
        </w:rPr>
        <w:t>第五章：去中心化保险（DeIns）特别条款</w:t>
      </w:r>
      <w:bookmarkEnd w:id="5"/>
    </w:p>
    <w:p>
      <w:pPr>
        <w:spacing w:before="120" w:after="120" w:line="288" w:lineRule="auto"/>
        <w:ind w:left="0"/>
        <w:jc w:val="left"/>
      </w:pPr>
      <w:r>
        <w:rPr>
          <w:rFonts w:eastAsia="等线" w:ascii="Arial" w:cs="Arial" w:hAnsi="Arial"/>
          <w:b w:val="true"/>
          <w:sz w:val="22"/>
        </w:rPr>
        <w:t>第十八条 允许使用的去中心化保险协议</w:t>
      </w:r>
    </w:p>
    <w:p>
      <w:pPr>
        <w:spacing w:before="120" w:after="120" w:line="288" w:lineRule="auto"/>
        <w:ind w:left="0"/>
        <w:jc w:val="left"/>
      </w:pPr>
      <w:r>
        <w:rPr>
          <w:rFonts w:eastAsia="等线" w:ascii="Arial" w:cs="Arial" w:hAnsi="Arial"/>
          <w:sz w:val="22"/>
        </w:rPr>
        <w:t>为鼓励创新，允许使用满足以下条件的去中心化保险协议：</w:t>
      </w:r>
    </w:p>
    <w:p>
      <w:pPr>
        <w:numPr>
          <w:numId w:val="85"/>
        </w:numPr>
        <w:spacing w:before="120" w:after="120" w:line="288" w:lineRule="auto"/>
        <w:ind w:left="0"/>
        <w:jc w:val="left"/>
      </w:pPr>
      <w:r>
        <w:rPr>
          <w:rFonts w:eastAsia="等线" w:ascii="Arial" w:cs="Arial" w:hAnsi="Arial"/>
          <w:sz w:val="22"/>
        </w:rPr>
        <w:t>保险池资金规模不低于1000万XTZH。</w:t>
      </w:r>
    </w:p>
    <w:p>
      <w:pPr>
        <w:numPr>
          <w:numId w:val="86"/>
        </w:numPr>
        <w:spacing w:before="120" w:after="120" w:line="288" w:lineRule="auto"/>
        <w:ind w:left="0"/>
        <w:jc w:val="left"/>
      </w:pPr>
      <w:r>
        <w:rPr>
          <w:rFonts w:eastAsia="等线" w:ascii="Arial" w:cs="Arial" w:hAnsi="Arial"/>
          <w:sz w:val="22"/>
        </w:rPr>
        <w:t>已稳定运行超过2年，有良好的索赔处理历史。</w:t>
      </w:r>
    </w:p>
    <w:p>
      <w:pPr>
        <w:numPr>
          <w:numId w:val="87"/>
        </w:numPr>
        <w:spacing w:before="120" w:after="120" w:line="288" w:lineRule="auto"/>
        <w:ind w:left="0"/>
        <w:jc w:val="left"/>
      </w:pPr>
      <w:r>
        <w:rPr>
          <w:rFonts w:eastAsia="等线" w:ascii="Arial" w:cs="Arial" w:hAnsi="Arial"/>
          <w:sz w:val="22"/>
        </w:rPr>
        <w:t>其智能合约经过顶级安全公司审计且公开审计报告。</w:t>
      </w:r>
    </w:p>
    <w:p>
      <w:pPr>
        <w:numPr>
          <w:numId w:val="88"/>
        </w:numPr>
        <w:spacing w:before="120" w:after="120" w:line="288" w:lineRule="auto"/>
        <w:ind w:left="0"/>
        <w:jc w:val="left"/>
      </w:pPr>
      <w:r>
        <w:rPr>
          <w:rFonts w:eastAsia="等线" w:ascii="Arial" w:cs="Arial" w:hAnsi="Arial"/>
          <w:sz w:val="22"/>
        </w:rPr>
        <w:t>治理机制健全，索赔投票参与者活跃且分散。</w:t>
      </w:r>
    </w:p>
    <w:p>
      <w:pPr>
        <w:spacing w:before="120" w:after="120" w:line="288" w:lineRule="auto"/>
        <w:ind w:left="0"/>
        <w:jc w:val="left"/>
      </w:pPr>
      <w:r>
        <w:rPr>
          <w:rFonts w:eastAsia="等线" w:ascii="Arial" w:cs="Arial" w:hAnsi="Arial"/>
          <w:b w:val="true"/>
          <w:sz w:val="22"/>
        </w:rPr>
        <w:t>第十九条 DeIns与传统保险的混合模式</w:t>
      </w:r>
    </w:p>
    <w:p>
      <w:pPr>
        <w:spacing w:before="120" w:after="120" w:line="288" w:lineRule="auto"/>
        <w:ind w:left="0"/>
        <w:jc w:val="left"/>
      </w:pPr>
      <w:r>
        <w:rPr>
          <w:rFonts w:eastAsia="等线" w:ascii="Arial" w:cs="Arial" w:hAnsi="Arial"/>
          <w:sz w:val="22"/>
        </w:rPr>
        <w:t>鼓励采用"分层保险"模式：</w:t>
      </w:r>
    </w:p>
    <w:p>
      <w:pPr>
        <w:numPr>
          <w:numId w:val="89"/>
        </w:numPr>
        <w:spacing w:before="120" w:after="120" w:line="288" w:lineRule="auto"/>
        <w:ind w:left="0"/>
        <w:jc w:val="left"/>
      </w:pPr>
      <w:r>
        <w:rPr>
          <w:rFonts w:eastAsia="等线" w:ascii="Arial" w:cs="Arial" w:hAnsi="Arial"/>
          <w:b w:val="true"/>
          <w:sz w:val="22"/>
        </w:rPr>
        <w:t>第一层（底层，高频率低损失风险）</w:t>
      </w:r>
      <w:r>
        <w:rPr>
          <w:rFonts w:eastAsia="等线" w:ascii="Arial" w:cs="Arial" w:hAnsi="Arial"/>
          <w:sz w:val="22"/>
        </w:rPr>
        <w:t>：由去中心化保险协议承保，理赔快速自动化。</w:t>
      </w:r>
    </w:p>
    <w:p>
      <w:pPr>
        <w:numPr>
          <w:numId w:val="90"/>
        </w:numPr>
        <w:spacing w:before="120" w:after="120" w:line="288" w:lineRule="auto"/>
        <w:ind w:left="0"/>
        <w:jc w:val="left"/>
      </w:pPr>
      <w:r>
        <w:rPr>
          <w:rFonts w:eastAsia="等线" w:ascii="Arial" w:cs="Arial" w:hAnsi="Arial"/>
          <w:b w:val="true"/>
          <w:sz w:val="22"/>
        </w:rPr>
        <w:t>第二层（上层，低频高损失巨灾风险）</w:t>
      </w:r>
      <w:r>
        <w:rPr>
          <w:rFonts w:eastAsia="等线" w:ascii="Arial" w:cs="Arial" w:hAnsi="Arial"/>
          <w:sz w:val="22"/>
        </w:rPr>
        <w:t>：由传统再保险公司承保，提供终极保障。</w:t>
      </w:r>
    </w:p>
    <w:p>
      <w:pPr>
        <w:pBdr>
          <w:bottom w:val="single" w:color="dee0e3"/>
          <w:between w:val="single" w:color="dee0e3"/>
        </w:pBdr>
        <w:spacing w:before="120" w:after="120" w:line="288" w:lineRule="auto"/>
        <w:ind w:left="0"/>
      </w:pPr>
    </w:p>
    <w:p>
      <w:pPr>
        <w:pStyle w:val="2"/>
        <w:spacing w:before="320" w:after="120" w:line="288" w:lineRule="auto"/>
        <w:ind w:left="0"/>
        <w:jc w:val="left"/>
        <w:outlineLvl w:val="1"/>
      </w:pPr>
      <w:bookmarkStart w:name="heading_6" w:id="6"/>
      <w:r>
        <w:rPr>
          <w:rFonts w:eastAsia="等线" w:ascii="Arial" w:cs="Arial" w:hAnsi="Arial"/>
          <w:b w:val="true"/>
          <w:sz w:val="32"/>
        </w:rPr>
        <w:t>第六章：罚则与附则</w:t>
      </w:r>
      <w:bookmarkEnd w:id="6"/>
    </w:p>
    <w:p>
      <w:pPr>
        <w:spacing w:before="120" w:after="120" w:line="288" w:lineRule="auto"/>
        <w:ind w:left="0"/>
        <w:jc w:val="left"/>
      </w:pPr>
      <w:r>
        <w:rPr>
          <w:rFonts w:eastAsia="等线" w:ascii="Arial" w:cs="Arial" w:hAnsi="Arial"/>
          <w:b w:val="true"/>
          <w:sz w:val="22"/>
        </w:rPr>
        <w:t>第二十条 违规处罚</w:t>
      </w:r>
    </w:p>
    <w:p>
      <w:pPr>
        <w:numPr>
          <w:numId w:val="91"/>
        </w:numPr>
        <w:spacing w:before="120" w:after="120" w:line="288" w:lineRule="auto"/>
        <w:ind w:left="0"/>
        <w:jc w:val="left"/>
      </w:pPr>
      <w:r>
        <w:rPr>
          <w:rFonts w:eastAsia="等线" w:ascii="Arial" w:cs="Arial" w:hAnsi="Arial"/>
          <w:b w:val="true"/>
          <w:sz w:val="22"/>
        </w:rPr>
        <w:t>未购买保险</w:t>
      </w:r>
      <w:r>
        <w:rPr>
          <w:rFonts w:eastAsia="等线" w:ascii="Arial" w:cs="Arial" w:hAnsi="Arial"/>
          <w:sz w:val="22"/>
        </w:rPr>
        <w:t>：资产无法进入正式托管与上链流程。</w:t>
      </w:r>
    </w:p>
    <w:p>
      <w:pPr>
        <w:numPr>
          <w:numId w:val="92"/>
        </w:numPr>
        <w:spacing w:before="120" w:after="120" w:line="288" w:lineRule="auto"/>
        <w:ind w:left="0"/>
        <w:jc w:val="left"/>
      </w:pPr>
      <w:r>
        <w:rPr>
          <w:rFonts w:eastAsia="等线" w:ascii="Arial" w:cs="Arial" w:hAnsi="Arial"/>
          <w:b w:val="true"/>
          <w:sz w:val="22"/>
        </w:rPr>
        <w:t>保险欺诈</w:t>
      </w:r>
      <w:r>
        <w:rPr>
          <w:rFonts w:eastAsia="等线" w:ascii="Arial" w:cs="Arial" w:hAnsi="Arial"/>
          <w:sz w:val="22"/>
        </w:rPr>
        <w:t>：提供虚假信息骗取保险或夸大索赔，一经查实，永久封禁相关DID，追回赔款，并处以涉案金额3倍的XIC罚款。</w:t>
      </w:r>
    </w:p>
    <w:p>
      <w:pPr>
        <w:numPr>
          <w:numId w:val="93"/>
        </w:numPr>
        <w:spacing w:before="120" w:after="120" w:line="288" w:lineRule="auto"/>
        <w:ind w:left="0"/>
        <w:jc w:val="left"/>
      </w:pPr>
      <w:r>
        <w:rPr>
          <w:rFonts w:eastAsia="等线" w:ascii="Arial" w:cs="Arial" w:hAnsi="Arial"/>
          <w:b w:val="true"/>
          <w:sz w:val="22"/>
        </w:rPr>
        <w:t>托管机构失职</w:t>
      </w:r>
      <w:r>
        <w:rPr>
          <w:rFonts w:eastAsia="等线" w:ascii="Arial" w:cs="Arial" w:hAnsi="Arial"/>
          <w:sz w:val="22"/>
        </w:rPr>
        <w:t>：未有效验证客户保险或未及时报告事故，取消其托管资质，扣除保证金。</w:t>
      </w:r>
    </w:p>
    <w:p>
      <w:pPr>
        <w:spacing w:before="120" w:after="120" w:line="288" w:lineRule="auto"/>
        <w:ind w:left="0"/>
        <w:jc w:val="left"/>
      </w:pPr>
      <w:r>
        <w:rPr>
          <w:rFonts w:eastAsia="等线" w:ascii="Arial" w:cs="Arial" w:hAnsi="Arial"/>
          <w:b w:val="true"/>
          <w:sz w:val="22"/>
        </w:rPr>
        <w:t>第二十一条 法典修订</w:t>
      </w:r>
    </w:p>
    <w:p>
      <w:pPr>
        <w:spacing w:before="120" w:after="120" w:line="288" w:lineRule="auto"/>
        <w:ind w:left="0"/>
        <w:jc w:val="left"/>
      </w:pPr>
      <w:r>
        <w:rPr>
          <w:rFonts w:eastAsia="等线" w:ascii="Arial" w:cs="Arial" w:hAnsi="Arial"/>
          <w:sz w:val="22"/>
        </w:rPr>
        <w:t>本法典修订需经治理委员会提案，并获得全网XIC持有者投票≥70%赞成票通过。</w:t>
      </w:r>
    </w:p>
    <w:p>
      <w:pPr>
        <w:spacing w:before="120" w:after="120" w:line="288" w:lineRule="auto"/>
        <w:ind w:left="0"/>
        <w:jc w:val="left"/>
      </w:pPr>
      <w:r>
        <w:rPr>
          <w:rFonts w:eastAsia="等线" w:ascii="Arial" w:cs="Arial" w:hAnsi="Arial"/>
          <w:b w:val="true"/>
          <w:sz w:val="22"/>
        </w:rPr>
        <w:t>第二十二条 生效</w:t>
      </w:r>
    </w:p>
    <w:p>
      <w:pPr>
        <w:spacing w:before="120" w:after="120" w:line="288" w:lineRule="auto"/>
        <w:ind w:left="0"/>
        <w:jc w:val="left"/>
      </w:pPr>
      <w:r>
        <w:rPr>
          <w:rFonts w:eastAsia="等线" w:ascii="Arial" w:cs="Arial" w:hAnsi="Arial"/>
          <w:sz w:val="22"/>
        </w:rPr>
        <w:t>本法典自公布之日起生效。</w:t>
      </w:r>
    </w:p>
    <w:p>
      <w:pPr>
        <w:pBdr>
          <w:bottom w:val="single" w:color="dee0e3"/>
          <w:between w:val="single" w:color="dee0e3"/>
        </w:pBdr>
        <w:spacing w:before="120" w:after="120" w:line="288" w:lineRule="auto"/>
        <w:ind w:left="0"/>
      </w:pPr>
    </w:p>
    <w:p>
      <w:pPr>
        <w:spacing w:before="120" w:after="120" w:line="288" w:lineRule="auto"/>
        <w:ind w:left="0"/>
        <w:jc w:val="left"/>
      </w:pPr>
      <w:r>
        <w:rPr>
          <w:rFonts w:eastAsia="等线" w:ascii="Arial" w:cs="Arial" w:hAnsi="Arial"/>
          <w:b w:val="true"/>
          <w:sz w:val="22"/>
        </w:rPr>
        <w:t>立法说明</w:t>
      </w:r>
      <w:r>
        <w:rPr>
          <w:rFonts w:eastAsia="等线" w:ascii="Arial" w:cs="Arial" w:hAnsi="Arial"/>
          <w:sz w:val="22"/>
        </w:rPr>
        <w:t>：本法典基于《GNACS Pro分类标准》，为每一大类资产量身定制了强制保险要求，实现了风险管理与链上技术的深度融合。通过保险凭证链上化、理赔流程自动化，确保了托管资产价值的稳定性和公链系统的整体安全，是NAC公链构建可信、稳健RWA生态的核心支柱之一。</w:t>
      </w:r>
    </w:p>
    <w:p>
      <w:pPr>
        <w:spacing w:before="120" w:after="120" w:line="288" w:lineRule="auto"/>
        <w:ind w:left="0"/>
        <w:jc w:val="left"/>
      </w:pPr>
      <w:r>
        <w:rPr>
          <w:rFonts w:eastAsia="等线" w:ascii="Arial" w:cs="Arial" w:hAnsi="Arial"/>
          <w:sz w:val="22"/>
        </w:rPr>
        <w:t>|（注：文档部分内容可能由 AI 生成)</w:t>
      </w:r>
    </w:p>
    <w:sectPr>
      <w:footerReference w:type="default" r:id="rId3"/>
      <w:headerReference w:type="default" r:id="rId5"/>
      <w:pgSz w:orient="portrait" w:h="16840" w:w="11905"/>
    </w:sectPr>
  </w:body>
</w:document>
</file>

<file path=word/footer1.xml><?xml version="1.0" encoding="utf-8"?>
<w:ftr xmlns:w="http://schemas.openxmlformats.org/wordprocessingml/2006/main">
  <w:p/>
</w:ftr>
</file>

<file path=word/header1.xml><?xml version="1.0" encoding="utf-8"?>
<w:hdr xmlns:w="http://schemas.openxmlformats.org/wordprocessingml/2006/main">
  <w:p/>
</w:hdr>
</file>

<file path=word/numbering.xml><?xml version="1.0" encoding="utf-8"?>
<w:numbering xmlns:w="http://schemas.openxmlformats.org/wordprocessingml/2006/main">
  <w:abstractNum w:abstractNumId="1212907">
    <w:lvl>
      <w:numFmt w:val="bullet"/>
      <w:suff w:val="tab"/>
      <w:lvlText w:val="•"/>
      <w:rPr>
        <w:color w:val="3370ff"/>
      </w:rPr>
    </w:lvl>
  </w:abstractNum>
  <w:abstractNum w:abstractNumId="1212908">
    <w:lvl>
      <w:numFmt w:val="bullet"/>
      <w:suff w:val="tab"/>
      <w:lvlText w:val="•"/>
      <w:rPr>
        <w:color w:val="3370ff"/>
      </w:rPr>
    </w:lvl>
  </w:abstractNum>
  <w:abstractNum w:abstractNumId="1212909">
    <w:lvl>
      <w:numFmt w:val="bullet"/>
      <w:suff w:val="tab"/>
      <w:lvlText w:val="•"/>
      <w:rPr>
        <w:color w:val="3370ff"/>
      </w:rPr>
    </w:lvl>
  </w:abstractNum>
  <w:abstractNum w:abstractNumId="1212910">
    <w:lvl>
      <w:numFmt w:val="bullet"/>
      <w:suff w:val="tab"/>
      <w:lvlText w:val="•"/>
      <w:rPr>
        <w:color w:val="3370ff"/>
      </w:rPr>
    </w:lvl>
  </w:abstractNum>
  <w:abstractNum w:abstractNumId="1212911">
    <w:lvl>
      <w:numFmt w:val="bullet"/>
      <w:suff w:val="tab"/>
      <w:lvlText w:val="•"/>
      <w:rPr>
        <w:color w:val="3370ff"/>
      </w:rPr>
    </w:lvl>
  </w:abstractNum>
  <w:abstractNum w:abstractNumId="1212912">
    <w:lvl>
      <w:numFmt w:val="bullet"/>
      <w:suff w:val="tab"/>
      <w:lvlText w:val="•"/>
      <w:rPr>
        <w:color w:val="3370ff"/>
      </w:rPr>
    </w:lvl>
  </w:abstractNum>
  <w:abstractNum w:abstractNumId="1212913">
    <w:lvl>
      <w:start w:val="1"/>
      <w:numFmt w:val="decimal"/>
      <w:suff w:val="tab"/>
      <w:lvlText w:val="%1."/>
      <w:rPr>
        <w:color w:val="3370ff"/>
      </w:rPr>
    </w:lvl>
  </w:abstractNum>
  <w:abstractNum w:abstractNumId="1212914">
    <w:lvl>
      <w:start w:val="2"/>
      <w:numFmt w:val="decimal"/>
      <w:suff w:val="tab"/>
      <w:lvlText w:val="%1."/>
      <w:rPr>
        <w:color w:val="3370ff"/>
      </w:rPr>
    </w:lvl>
  </w:abstractNum>
  <w:abstractNum w:abstractNumId="1212915">
    <w:lvl>
      <w:start w:val="3"/>
      <w:numFmt w:val="decimal"/>
      <w:suff w:val="tab"/>
      <w:lvlText w:val="%1."/>
      <w:rPr>
        <w:color w:val="3370ff"/>
      </w:rPr>
    </w:lvl>
  </w:abstractNum>
  <w:abstractNum w:abstractNumId="1212916">
    <w:lvl>
      <w:numFmt w:val="bullet"/>
      <w:suff w:val="tab"/>
      <w:lvlText w:val="•"/>
      <w:rPr>
        <w:color w:val="3370ff"/>
      </w:rPr>
    </w:lvl>
  </w:abstractNum>
  <w:abstractNum w:abstractNumId="1212917">
    <w:lvl>
      <w:numFmt w:val="bullet"/>
      <w:suff w:val="tab"/>
      <w:lvlText w:val="•"/>
      <w:rPr>
        <w:color w:val="3370ff"/>
      </w:rPr>
    </w:lvl>
  </w:abstractNum>
  <w:abstractNum w:abstractNumId="1212918">
    <w:lvl>
      <w:numFmt w:val="bullet"/>
      <w:suff w:val="tab"/>
      <w:lvlText w:val="•"/>
      <w:rPr>
        <w:color w:val="3370ff"/>
      </w:rPr>
    </w:lvl>
  </w:abstractNum>
  <w:abstractNum w:abstractNumId="1212919">
    <w:lvl>
      <w:start w:val="1"/>
      <w:numFmt w:val="decimal"/>
      <w:suff w:val="tab"/>
      <w:lvlText w:val="%1."/>
      <w:rPr>
        <w:color w:val="3370ff"/>
      </w:rPr>
    </w:lvl>
  </w:abstractNum>
  <w:abstractNum w:abstractNumId="1212920">
    <w:lvl>
      <w:start w:val="2"/>
      <w:numFmt w:val="decimal"/>
      <w:suff w:val="tab"/>
      <w:lvlText w:val="%1."/>
      <w:rPr>
        <w:color w:val="3370ff"/>
      </w:rPr>
    </w:lvl>
  </w:abstractNum>
  <w:abstractNum w:abstractNumId="1212921">
    <w:lvl>
      <w:start w:val="3"/>
      <w:numFmt w:val="decimal"/>
      <w:suff w:val="tab"/>
      <w:lvlText w:val="%1."/>
      <w:rPr>
        <w:color w:val="3370ff"/>
      </w:rPr>
    </w:lvl>
  </w:abstractNum>
  <w:abstractNum w:abstractNumId="1212922">
    <w:lvl>
      <w:start w:val="4"/>
      <w:numFmt w:val="decimal"/>
      <w:suff w:val="tab"/>
      <w:lvlText w:val="%1."/>
      <w:rPr>
        <w:color w:val="3370ff"/>
      </w:rPr>
    </w:lvl>
  </w:abstractNum>
  <w:abstractNum w:abstractNumId="1212923">
    <w:lvl>
      <w:start w:val="1"/>
      <w:numFmt w:val="decimal"/>
      <w:suff w:val="tab"/>
      <w:lvlText w:val="%1."/>
      <w:rPr>
        <w:color w:val="3370ff"/>
      </w:rPr>
    </w:lvl>
  </w:abstractNum>
  <w:abstractNum w:abstractNumId="1212924">
    <w:lvl>
      <w:numFmt w:val="bullet"/>
      <w:suff w:val="tab"/>
      <w:lvlText w:val="￮"/>
      <w:rPr>
        <w:color w:val="3370ff"/>
      </w:rPr>
    </w:lvl>
  </w:abstractNum>
  <w:abstractNum w:abstractNumId="1212925">
    <w:lvl>
      <w:numFmt w:val="bullet"/>
      <w:suff w:val="tab"/>
      <w:lvlText w:val="￮"/>
      <w:rPr>
        <w:color w:val="3370ff"/>
      </w:rPr>
    </w:lvl>
  </w:abstractNum>
  <w:abstractNum w:abstractNumId="1212926">
    <w:lvl>
      <w:start w:val="2"/>
      <w:numFmt w:val="decimal"/>
      <w:suff w:val="tab"/>
      <w:lvlText w:val="%1."/>
      <w:rPr>
        <w:color w:val="3370ff"/>
      </w:rPr>
    </w:lvl>
  </w:abstractNum>
  <w:abstractNum w:abstractNumId="1212927">
    <w:lvl>
      <w:start w:val="3"/>
      <w:numFmt w:val="decimal"/>
      <w:suff w:val="tab"/>
      <w:lvlText w:val="%1."/>
      <w:rPr>
        <w:color w:val="3370ff"/>
      </w:rPr>
    </w:lvl>
  </w:abstractNum>
  <w:abstractNum w:abstractNumId="1212928">
    <w:lvl>
      <w:numFmt w:val="bullet"/>
      <w:suff w:val="tab"/>
      <w:lvlText w:val="•"/>
      <w:rPr>
        <w:color w:val="3370ff"/>
      </w:rPr>
    </w:lvl>
  </w:abstractNum>
  <w:abstractNum w:abstractNumId="1212929">
    <w:lvl>
      <w:numFmt w:val="bullet"/>
      <w:suff w:val="tab"/>
      <w:lvlText w:val="•"/>
      <w:rPr>
        <w:color w:val="3370ff"/>
      </w:rPr>
    </w:lvl>
  </w:abstractNum>
  <w:abstractNum w:abstractNumId="1212930">
    <w:lvl>
      <w:start w:val="1"/>
      <w:numFmt w:val="decimal"/>
      <w:suff w:val="tab"/>
      <w:lvlText w:val="%1."/>
      <w:rPr>
        <w:color w:val="3370ff"/>
      </w:rPr>
    </w:lvl>
  </w:abstractNum>
  <w:abstractNum w:abstractNumId="1212931">
    <w:lvl>
      <w:start w:val="2"/>
      <w:numFmt w:val="decimal"/>
      <w:suff w:val="tab"/>
      <w:lvlText w:val="%1."/>
      <w:rPr>
        <w:color w:val="3370ff"/>
      </w:rPr>
    </w:lvl>
  </w:abstractNum>
  <w:abstractNum w:abstractNumId="1212932">
    <w:lvl>
      <w:start w:val="3"/>
      <w:numFmt w:val="decimal"/>
      <w:suff w:val="tab"/>
      <w:lvlText w:val="%1."/>
      <w:rPr>
        <w:color w:val="3370ff"/>
      </w:rPr>
    </w:lvl>
  </w:abstractNum>
  <w:abstractNum w:abstractNumId="1212933">
    <w:lvl>
      <w:start w:val="4"/>
      <w:numFmt w:val="decimal"/>
      <w:suff w:val="tab"/>
      <w:lvlText w:val="%1."/>
      <w:rPr>
        <w:color w:val="3370ff"/>
      </w:rPr>
    </w:lvl>
  </w:abstractNum>
  <w:abstractNum w:abstractNumId="1212934">
    <w:lvl>
      <w:numFmt w:val="bullet"/>
      <w:suff w:val="tab"/>
      <w:lvlText w:val="•"/>
      <w:rPr>
        <w:color w:val="3370ff"/>
      </w:rPr>
    </w:lvl>
  </w:abstractNum>
  <w:abstractNum w:abstractNumId="1212935">
    <w:lvl>
      <w:numFmt w:val="bullet"/>
      <w:suff w:val="tab"/>
      <w:lvlText w:val="•"/>
      <w:rPr>
        <w:color w:val="3370ff"/>
      </w:rPr>
    </w:lvl>
  </w:abstractNum>
  <w:abstractNum w:abstractNumId="1212936">
    <w:lvl>
      <w:numFmt w:val="bullet"/>
      <w:suff w:val="tab"/>
      <w:lvlText w:val="•"/>
      <w:rPr>
        <w:color w:val="3370ff"/>
      </w:rPr>
    </w:lvl>
  </w:abstractNum>
  <w:abstractNum w:abstractNumId="1212937">
    <w:lvl>
      <w:start w:val="1"/>
      <w:numFmt w:val="decimal"/>
      <w:suff w:val="tab"/>
      <w:lvlText w:val="%1."/>
      <w:rPr>
        <w:color w:val="3370ff"/>
      </w:rPr>
    </w:lvl>
  </w:abstractNum>
  <w:abstractNum w:abstractNumId="1212938">
    <w:lvl>
      <w:start w:val="2"/>
      <w:numFmt w:val="decimal"/>
      <w:suff w:val="tab"/>
      <w:lvlText w:val="%1."/>
      <w:rPr>
        <w:color w:val="3370ff"/>
      </w:rPr>
    </w:lvl>
  </w:abstractNum>
  <w:abstractNum w:abstractNumId="1212939">
    <w:lvl>
      <w:start w:val="3"/>
      <w:numFmt w:val="decimal"/>
      <w:suff w:val="tab"/>
      <w:lvlText w:val="%1."/>
      <w:rPr>
        <w:color w:val="3370ff"/>
      </w:rPr>
    </w:lvl>
  </w:abstractNum>
  <w:abstractNum w:abstractNumId="1212940">
    <w:lvl>
      <w:numFmt w:val="bullet"/>
      <w:suff w:val="tab"/>
      <w:lvlText w:val="•"/>
      <w:rPr>
        <w:color w:val="3370ff"/>
      </w:rPr>
    </w:lvl>
  </w:abstractNum>
  <w:abstractNum w:abstractNumId="1212941">
    <w:lvl>
      <w:numFmt w:val="bullet"/>
      <w:suff w:val="tab"/>
      <w:lvlText w:val="•"/>
      <w:rPr>
        <w:color w:val="3370ff"/>
      </w:rPr>
    </w:lvl>
  </w:abstractNum>
  <w:abstractNum w:abstractNumId="1212942">
    <w:lvl>
      <w:numFmt w:val="bullet"/>
      <w:suff w:val="tab"/>
      <w:lvlText w:val="•"/>
      <w:rPr>
        <w:color w:val="3370ff"/>
      </w:rPr>
    </w:lvl>
  </w:abstractNum>
  <w:abstractNum w:abstractNumId="1212943">
    <w:lvl>
      <w:numFmt w:val="bullet"/>
      <w:suff w:val="tab"/>
      <w:lvlText w:val="•"/>
      <w:rPr>
        <w:color w:val="3370ff"/>
      </w:rPr>
    </w:lvl>
  </w:abstractNum>
  <w:abstractNum w:abstractNumId="1212944">
    <w:lvl>
      <w:numFmt w:val="bullet"/>
      <w:suff w:val="tab"/>
      <w:lvlText w:val="•"/>
      <w:rPr>
        <w:color w:val="3370ff"/>
      </w:rPr>
    </w:lvl>
  </w:abstractNum>
  <w:abstractNum w:abstractNumId="1212945">
    <w:lvl>
      <w:start w:val="1"/>
      <w:numFmt w:val="lowerLetter"/>
      <w:suff w:val="tab"/>
      <w:lvlText w:val="%1."/>
      <w:rPr>
        <w:color w:val="3370ff"/>
      </w:rPr>
    </w:lvl>
  </w:abstractNum>
  <w:abstractNum w:abstractNumId="1212946">
    <w:lvl>
      <w:start w:val="2"/>
      <w:numFmt w:val="lowerLetter"/>
      <w:suff w:val="tab"/>
      <w:lvlText w:val="%1."/>
      <w:rPr>
        <w:color w:val="3370ff"/>
      </w:rPr>
    </w:lvl>
  </w:abstractNum>
  <w:abstractNum w:abstractNumId="1212947">
    <w:lvl>
      <w:start w:val="3"/>
      <w:numFmt w:val="lowerLetter"/>
      <w:suff w:val="tab"/>
      <w:lvlText w:val="%1."/>
      <w:rPr>
        <w:color w:val="3370ff"/>
      </w:rPr>
    </w:lvl>
  </w:abstractNum>
  <w:abstractNum w:abstractNumId="1212948">
    <w:lvl>
      <w:numFmt w:val="bullet"/>
      <w:suff w:val="tab"/>
      <w:lvlText w:val="•"/>
      <w:rPr>
        <w:color w:val="3370ff"/>
      </w:rPr>
    </w:lvl>
  </w:abstractNum>
  <w:abstractNum w:abstractNumId="1212949">
    <w:lvl>
      <w:numFmt w:val="bullet"/>
      <w:suff w:val="tab"/>
      <w:lvlText w:val="•"/>
      <w:rPr>
        <w:color w:val="3370ff"/>
      </w:rPr>
    </w:lvl>
  </w:abstractNum>
  <w:abstractNum w:abstractNumId="1212950">
    <w:lvl>
      <w:start w:val="1"/>
      <w:numFmt w:val="lowerLetter"/>
      <w:suff w:val="tab"/>
      <w:lvlText w:val="%1."/>
      <w:rPr>
        <w:color w:val="3370ff"/>
      </w:rPr>
    </w:lvl>
  </w:abstractNum>
  <w:abstractNum w:abstractNumId="1212951">
    <w:lvl>
      <w:start w:val="2"/>
      <w:numFmt w:val="lowerLetter"/>
      <w:suff w:val="tab"/>
      <w:lvlText w:val="%1."/>
      <w:rPr>
        <w:color w:val="3370ff"/>
      </w:rPr>
    </w:lvl>
  </w:abstractNum>
  <w:abstractNum w:abstractNumId="1212952">
    <w:lvl>
      <w:start w:val="3"/>
      <w:numFmt w:val="lowerLetter"/>
      <w:suff w:val="tab"/>
      <w:lvlText w:val="%1."/>
      <w:rPr>
        <w:color w:val="3370ff"/>
      </w:rPr>
    </w:lvl>
  </w:abstractNum>
  <w:abstractNum w:abstractNumId="1212953">
    <w:lvl>
      <w:numFmt w:val="bullet"/>
      <w:suff w:val="tab"/>
      <w:lvlText w:val="•"/>
      <w:rPr>
        <w:color w:val="3370ff"/>
      </w:rPr>
    </w:lvl>
  </w:abstractNum>
  <w:abstractNum w:abstractNumId="1212954">
    <w:lvl>
      <w:numFmt w:val="bullet"/>
      <w:suff w:val="tab"/>
      <w:lvlText w:val="•"/>
      <w:rPr>
        <w:color w:val="3370ff"/>
      </w:rPr>
    </w:lvl>
  </w:abstractNum>
  <w:abstractNum w:abstractNumId="1212955">
    <w:lvl>
      <w:start w:val="1"/>
      <w:numFmt w:val="decimal"/>
      <w:suff w:val="tab"/>
      <w:lvlText w:val="%1."/>
      <w:rPr>
        <w:color w:val="3370ff"/>
      </w:rPr>
    </w:lvl>
  </w:abstractNum>
  <w:abstractNum w:abstractNumId="1212956">
    <w:lvl>
      <w:numFmt w:val="bullet"/>
      <w:suff w:val="tab"/>
      <w:lvlText w:val="￮"/>
      <w:rPr>
        <w:color w:val="3370ff"/>
      </w:rPr>
    </w:lvl>
  </w:abstractNum>
  <w:abstractNum w:abstractNumId="1212957">
    <w:lvl>
      <w:numFmt w:val="bullet"/>
      <w:suff w:val="tab"/>
      <w:lvlText w:val="￮"/>
      <w:rPr>
        <w:color w:val="3370ff"/>
      </w:rPr>
    </w:lvl>
  </w:abstractNum>
  <w:abstractNum w:abstractNumId="1212958">
    <w:lvl>
      <w:numFmt w:val="bullet"/>
      <w:suff w:val="tab"/>
      <w:lvlText w:val="￮"/>
      <w:rPr>
        <w:color w:val="3370ff"/>
      </w:rPr>
    </w:lvl>
  </w:abstractNum>
  <w:abstractNum w:abstractNumId="1212959">
    <w:lvl>
      <w:numFmt w:val="bullet"/>
      <w:suff w:val="tab"/>
      <w:lvlText w:val="￮"/>
      <w:rPr>
        <w:color w:val="3370ff"/>
      </w:rPr>
    </w:lvl>
  </w:abstractNum>
  <w:abstractNum w:abstractNumId="1212960">
    <w:lvl>
      <w:start w:val="2"/>
      <w:numFmt w:val="decimal"/>
      <w:suff w:val="tab"/>
      <w:lvlText w:val="%1."/>
      <w:rPr>
        <w:color w:val="3370ff"/>
      </w:rPr>
    </w:lvl>
  </w:abstractNum>
  <w:abstractNum w:abstractNumId="1212961">
    <w:lvl>
      <w:start w:val="3"/>
      <w:numFmt w:val="decimal"/>
      <w:suff w:val="tab"/>
      <w:lvlText w:val="%1."/>
      <w:rPr>
        <w:color w:val="3370ff"/>
      </w:rPr>
    </w:lvl>
  </w:abstractNum>
  <w:abstractNum w:abstractNumId="1212962">
    <w:lvl>
      <w:start w:val="1"/>
      <w:numFmt w:val="lowerLetter"/>
      <w:suff w:val="tab"/>
      <w:lvlText w:val="%1."/>
      <w:rPr>
        <w:color w:val="3370ff"/>
      </w:rPr>
    </w:lvl>
  </w:abstractNum>
  <w:abstractNum w:abstractNumId="1212963">
    <w:lvl>
      <w:start w:val="2"/>
      <w:numFmt w:val="lowerLetter"/>
      <w:suff w:val="tab"/>
      <w:lvlText w:val="%1."/>
      <w:rPr>
        <w:color w:val="3370ff"/>
      </w:rPr>
    </w:lvl>
  </w:abstractNum>
  <w:abstractNum w:abstractNumId="1212964">
    <w:lvl>
      <w:start w:val="3"/>
      <w:numFmt w:val="lowerLetter"/>
      <w:suff w:val="tab"/>
      <w:lvlText w:val="%1."/>
      <w:rPr>
        <w:color w:val="3370ff"/>
      </w:rPr>
    </w:lvl>
  </w:abstractNum>
  <w:abstractNum w:abstractNumId="1212965">
    <w:lvl>
      <w:start w:val="4"/>
      <w:numFmt w:val="lowerLetter"/>
      <w:suff w:val="tab"/>
      <w:lvlText w:val="%1."/>
      <w:rPr>
        <w:color w:val="3370ff"/>
      </w:rPr>
    </w:lvl>
  </w:abstractNum>
  <w:abstractNum w:abstractNumId="1212966">
    <w:lvl>
      <w:start w:val="4"/>
      <w:numFmt w:val="decimal"/>
      <w:suff w:val="tab"/>
      <w:lvlText w:val="%1."/>
      <w:rPr>
        <w:color w:val="3370ff"/>
      </w:rPr>
    </w:lvl>
  </w:abstractNum>
  <w:abstractNum w:abstractNumId="1212967">
    <w:lvl>
      <w:start w:val="1"/>
      <w:numFmt w:val="decimal"/>
      <w:suff w:val="tab"/>
      <w:lvlText w:val="%1."/>
      <w:rPr>
        <w:color w:val="3370ff"/>
      </w:rPr>
    </w:lvl>
  </w:abstractNum>
  <w:abstractNum w:abstractNumId="1212968">
    <w:lvl>
      <w:start w:val="2"/>
      <w:numFmt w:val="decimal"/>
      <w:suff w:val="tab"/>
      <w:lvlText w:val="%1."/>
      <w:rPr>
        <w:color w:val="3370ff"/>
      </w:rPr>
    </w:lvl>
  </w:abstractNum>
  <w:abstractNum w:abstractNumId="1212969">
    <w:lvl>
      <w:start w:val="3"/>
      <w:numFmt w:val="decimal"/>
      <w:suff w:val="tab"/>
      <w:lvlText w:val="%1."/>
      <w:rPr>
        <w:color w:val="3370ff"/>
      </w:rPr>
    </w:lvl>
  </w:abstractNum>
  <w:abstractNum w:abstractNumId="1212970">
    <w:lvl>
      <w:start w:val="4"/>
      <w:numFmt w:val="decimal"/>
      <w:suff w:val="tab"/>
      <w:lvlText w:val="%1."/>
      <w:rPr>
        <w:color w:val="3370ff"/>
      </w:rPr>
    </w:lvl>
  </w:abstractNum>
  <w:abstractNum w:abstractNumId="1212971">
    <w:lvl>
      <w:start w:val="1"/>
      <w:numFmt w:val="decimal"/>
      <w:suff w:val="tab"/>
      <w:lvlText w:val="%1."/>
      <w:rPr>
        <w:color w:val="3370ff"/>
      </w:rPr>
    </w:lvl>
  </w:abstractNum>
  <w:abstractNum w:abstractNumId="1212972">
    <w:lvl>
      <w:start w:val="2"/>
      <w:numFmt w:val="decimal"/>
      <w:suff w:val="tab"/>
      <w:lvlText w:val="%1."/>
      <w:rPr>
        <w:color w:val="3370ff"/>
      </w:rPr>
    </w:lvl>
  </w:abstractNum>
  <w:abstractNum w:abstractNumId="1212973">
    <w:lvl>
      <w:numFmt w:val="bullet"/>
      <w:suff w:val="tab"/>
      <w:lvlText w:val="￮"/>
      <w:rPr>
        <w:color w:val="3370ff"/>
      </w:rPr>
    </w:lvl>
  </w:abstractNum>
  <w:abstractNum w:abstractNumId="1212974">
    <w:lvl>
      <w:numFmt w:val="bullet"/>
      <w:suff w:val="tab"/>
      <w:lvlText w:val="￮"/>
      <w:rPr>
        <w:color w:val="3370ff"/>
      </w:rPr>
    </w:lvl>
  </w:abstractNum>
  <w:abstractNum w:abstractNumId="1212975">
    <w:lvl>
      <w:numFmt w:val="bullet"/>
      <w:suff w:val="tab"/>
      <w:lvlText w:val="￮"/>
      <w:rPr>
        <w:color w:val="3370ff"/>
      </w:rPr>
    </w:lvl>
  </w:abstractNum>
  <w:abstractNum w:abstractNumId="1212976">
    <w:lvl>
      <w:start w:val="3"/>
      <w:numFmt w:val="decimal"/>
      <w:suff w:val="tab"/>
      <w:lvlText w:val="%1."/>
      <w:rPr>
        <w:color w:val="3370ff"/>
      </w:rPr>
    </w:lvl>
  </w:abstractNum>
  <w:abstractNum w:abstractNumId="1212977">
    <w:lvl>
      <w:start w:val="1"/>
      <w:numFmt w:val="decimal"/>
      <w:suff w:val="tab"/>
      <w:lvlText w:val="%1."/>
      <w:rPr>
        <w:color w:val="3370ff"/>
      </w:rPr>
    </w:lvl>
  </w:abstractNum>
  <w:abstractNum w:abstractNumId="1212978">
    <w:lvl>
      <w:numFmt w:val="bullet"/>
      <w:suff w:val="tab"/>
      <w:lvlText w:val="￮"/>
      <w:rPr>
        <w:color w:val="3370ff"/>
      </w:rPr>
    </w:lvl>
  </w:abstractNum>
  <w:abstractNum w:abstractNumId="1212979">
    <w:lvl>
      <w:numFmt w:val="bullet"/>
      <w:suff w:val="tab"/>
      <w:lvlText w:val="￮"/>
      <w:rPr>
        <w:color w:val="3370ff"/>
      </w:rPr>
    </w:lvl>
  </w:abstractNum>
  <w:abstractNum w:abstractNumId="1212980">
    <w:lvl>
      <w:numFmt w:val="bullet"/>
      <w:suff w:val="tab"/>
      <w:lvlText w:val="￮"/>
      <w:rPr>
        <w:color w:val="3370ff"/>
      </w:rPr>
    </w:lvl>
  </w:abstractNum>
  <w:abstractNum w:abstractNumId="1212981">
    <w:lvl>
      <w:start w:val="2"/>
      <w:numFmt w:val="decimal"/>
      <w:suff w:val="tab"/>
      <w:lvlText w:val="%1."/>
      <w:rPr>
        <w:color w:val="3370ff"/>
      </w:rPr>
    </w:lvl>
  </w:abstractNum>
  <w:abstractNum w:abstractNumId="1212982">
    <w:lvl>
      <w:numFmt w:val="bullet"/>
      <w:suff w:val="tab"/>
      <w:lvlText w:val="￮"/>
      <w:rPr>
        <w:color w:val="3370ff"/>
      </w:rPr>
    </w:lvl>
  </w:abstractNum>
  <w:abstractNum w:abstractNumId="1212983">
    <w:lvl>
      <w:numFmt w:val="bullet"/>
      <w:suff w:val="tab"/>
      <w:lvlText w:val="￮"/>
      <w:rPr>
        <w:color w:val="3370ff"/>
      </w:rPr>
    </w:lvl>
  </w:abstractNum>
  <w:abstractNum w:abstractNumId="1212984">
    <w:lvl>
      <w:start w:val="3"/>
      <w:numFmt w:val="decimal"/>
      <w:suff w:val="tab"/>
      <w:lvlText w:val="%1."/>
      <w:rPr>
        <w:color w:val="3370ff"/>
      </w:rPr>
    </w:lvl>
  </w:abstractNum>
  <w:abstractNum w:abstractNumId="1212985">
    <w:lvl>
      <w:numFmt w:val="bullet"/>
      <w:suff w:val="tab"/>
      <w:lvlText w:val="￮"/>
      <w:rPr>
        <w:color w:val="3370ff"/>
      </w:rPr>
    </w:lvl>
  </w:abstractNum>
  <w:abstractNum w:abstractNumId="1212986">
    <w:lvl>
      <w:numFmt w:val="bullet"/>
      <w:suff w:val="tab"/>
      <w:lvlText w:val="￮"/>
      <w:rPr>
        <w:color w:val="3370ff"/>
      </w:rPr>
    </w:lvl>
  </w:abstractNum>
  <w:abstractNum w:abstractNumId="1212987">
    <w:lvl>
      <w:numFmt w:val="bullet"/>
      <w:suff w:val="tab"/>
      <w:lvlText w:val="￮"/>
      <w:rPr>
        <w:color w:val="3370ff"/>
      </w:rPr>
    </w:lvl>
  </w:abstractNum>
  <w:abstractNum w:abstractNumId="1212988">
    <w:lvl>
      <w:numFmt w:val="bullet"/>
      <w:suff w:val="tab"/>
      <w:lvlText w:val="•"/>
      <w:rPr>
        <w:color w:val="3370ff"/>
      </w:rPr>
    </w:lvl>
  </w:abstractNum>
  <w:abstractNum w:abstractNumId="1212989">
    <w:lvl>
      <w:numFmt w:val="bullet"/>
      <w:suff w:val="tab"/>
      <w:lvlText w:val="•"/>
      <w:rPr>
        <w:color w:val="3370ff"/>
      </w:rPr>
    </w:lvl>
  </w:abstractNum>
  <w:abstractNum w:abstractNumId="1212990">
    <w:lvl>
      <w:numFmt w:val="bullet"/>
      <w:suff w:val="tab"/>
      <w:lvlText w:val="•"/>
      <w:rPr>
        <w:color w:val="3370ff"/>
      </w:rPr>
    </w:lvl>
  </w:abstractNum>
  <w:abstractNum w:abstractNumId="1212991">
    <w:lvl>
      <w:start w:val="1"/>
      <w:numFmt w:val="decimal"/>
      <w:suff w:val="tab"/>
      <w:lvlText w:val="%1."/>
      <w:rPr>
        <w:color w:val="3370ff"/>
      </w:rPr>
    </w:lvl>
  </w:abstractNum>
  <w:abstractNum w:abstractNumId="1212992">
    <w:lvl>
      <w:start w:val="2"/>
      <w:numFmt w:val="decimal"/>
      <w:suff w:val="tab"/>
      <w:lvlText w:val="%1."/>
      <w:rPr>
        <w:color w:val="3370ff"/>
      </w:rPr>
    </w:lvl>
  </w:abstractNum>
  <w:abstractNum w:abstractNumId="1212993">
    <w:lvl>
      <w:start w:val="3"/>
      <w:numFmt w:val="decimal"/>
      <w:suff w:val="tab"/>
      <w:lvlText w:val="%1."/>
      <w:rPr>
        <w:color w:val="3370ff"/>
      </w:rPr>
    </w:lvl>
  </w:abstractNum>
  <w:abstractNum w:abstractNumId="1212994">
    <w:lvl>
      <w:start w:val="4"/>
      <w:numFmt w:val="decimal"/>
      <w:suff w:val="tab"/>
      <w:lvlText w:val="%1."/>
      <w:rPr>
        <w:color w:val="3370ff"/>
      </w:rPr>
    </w:lvl>
  </w:abstractNum>
  <w:abstractNum w:abstractNumId="1212995">
    <w:lvl>
      <w:numFmt w:val="bullet"/>
      <w:suff w:val="tab"/>
      <w:lvlText w:val="•"/>
      <w:rPr>
        <w:color w:val="3370ff"/>
      </w:rPr>
    </w:lvl>
  </w:abstractNum>
  <w:abstractNum w:abstractNumId="1212996">
    <w:lvl>
      <w:numFmt w:val="bullet"/>
      <w:suff w:val="tab"/>
      <w:lvlText w:val="•"/>
      <w:rPr>
        <w:color w:val="3370ff"/>
      </w:rPr>
    </w:lvl>
  </w:abstractNum>
  <w:abstractNum w:abstractNumId="1212997">
    <w:lvl>
      <w:numFmt w:val="bullet"/>
      <w:suff w:val="tab"/>
      <w:lvlText w:val="•"/>
      <w:rPr>
        <w:color w:val="3370ff"/>
      </w:rPr>
    </w:lvl>
  </w:abstractNum>
  <w:abstractNum w:abstractNumId="1212998">
    <w:lvl>
      <w:numFmt w:val="bullet"/>
      <w:suff w:val="tab"/>
      <w:lvlText w:val="•"/>
      <w:rPr>
        <w:color w:val="3370ff"/>
      </w:rPr>
    </w:lvl>
  </w:abstractNum>
  <w:abstractNum w:abstractNumId="1212999">
    <w:lvl>
      <w:numFmt w:val="bullet"/>
      <w:suff w:val="tab"/>
      <w:lvlText w:val="•"/>
      <w:rPr>
        <w:color w:val="3370ff"/>
      </w:rPr>
    </w:lvl>
  </w:abstractNum>
  <w:num w:numId="1">
    <w:abstractNumId w:val="1212907"/>
  </w:num>
  <w:num w:numId="2">
    <w:abstractNumId w:val="1212908"/>
  </w:num>
  <w:num w:numId="3">
    <w:abstractNumId w:val="1212909"/>
  </w:num>
  <w:num w:numId="4">
    <w:abstractNumId w:val="1212910"/>
  </w:num>
  <w:num w:numId="5">
    <w:abstractNumId w:val="1212911"/>
  </w:num>
  <w:num w:numId="6">
    <w:abstractNumId w:val="1212912"/>
  </w:num>
  <w:num w:numId="7">
    <w:abstractNumId w:val="1212913"/>
  </w:num>
  <w:num w:numId="8">
    <w:abstractNumId w:val="1212914"/>
  </w:num>
  <w:num w:numId="9">
    <w:abstractNumId w:val="1212915"/>
  </w:num>
  <w:num w:numId="10">
    <w:abstractNumId w:val="1212916"/>
  </w:num>
  <w:num w:numId="11">
    <w:abstractNumId w:val="1212917"/>
  </w:num>
  <w:num w:numId="12">
    <w:abstractNumId w:val="1212918"/>
  </w:num>
  <w:num w:numId="13">
    <w:abstractNumId w:val="1212919"/>
  </w:num>
  <w:num w:numId="14">
    <w:abstractNumId w:val="1212920"/>
  </w:num>
  <w:num w:numId="15">
    <w:abstractNumId w:val="1212921"/>
  </w:num>
  <w:num w:numId="16">
    <w:abstractNumId w:val="1212922"/>
  </w:num>
  <w:num w:numId="17">
    <w:abstractNumId w:val="1212923"/>
  </w:num>
  <w:num w:numId="18">
    <w:abstractNumId w:val="1212924"/>
  </w:num>
  <w:num w:numId="19">
    <w:abstractNumId w:val="1212925"/>
  </w:num>
  <w:num w:numId="20">
    <w:abstractNumId w:val="1212926"/>
  </w:num>
  <w:num w:numId="21">
    <w:abstractNumId w:val="1212927"/>
  </w:num>
  <w:num w:numId="22">
    <w:abstractNumId w:val="1212928"/>
  </w:num>
  <w:num w:numId="23">
    <w:abstractNumId w:val="1212929"/>
  </w:num>
  <w:num w:numId="24">
    <w:abstractNumId w:val="1212930"/>
  </w:num>
  <w:num w:numId="25">
    <w:abstractNumId w:val="1212931"/>
  </w:num>
  <w:num w:numId="26">
    <w:abstractNumId w:val="1212932"/>
  </w:num>
  <w:num w:numId="27">
    <w:abstractNumId w:val="1212933"/>
  </w:num>
  <w:num w:numId="28">
    <w:abstractNumId w:val="1212934"/>
  </w:num>
  <w:num w:numId="29">
    <w:abstractNumId w:val="1212935"/>
  </w:num>
  <w:num w:numId="30">
    <w:abstractNumId w:val="1212936"/>
  </w:num>
  <w:num w:numId="31">
    <w:abstractNumId w:val="1212937"/>
  </w:num>
  <w:num w:numId="32">
    <w:abstractNumId w:val="1212938"/>
  </w:num>
  <w:num w:numId="33">
    <w:abstractNumId w:val="1212939"/>
  </w:num>
  <w:num w:numId="34">
    <w:abstractNumId w:val="1212940"/>
  </w:num>
  <w:num w:numId="35">
    <w:abstractNumId w:val="1212941"/>
  </w:num>
  <w:num w:numId="36">
    <w:abstractNumId w:val="1212942"/>
  </w:num>
  <w:num w:numId="37">
    <w:abstractNumId w:val="1212943"/>
  </w:num>
  <w:num w:numId="38">
    <w:abstractNumId w:val="1212944"/>
  </w:num>
  <w:num w:numId="39">
    <w:abstractNumId w:val="1212945"/>
  </w:num>
  <w:num w:numId="40">
    <w:abstractNumId w:val="1212946"/>
  </w:num>
  <w:num w:numId="41">
    <w:abstractNumId w:val="1212947"/>
  </w:num>
  <w:num w:numId="42">
    <w:abstractNumId w:val="1212948"/>
  </w:num>
  <w:num w:numId="43">
    <w:abstractNumId w:val="1212949"/>
  </w:num>
  <w:num w:numId="44">
    <w:abstractNumId w:val="1212950"/>
  </w:num>
  <w:num w:numId="45">
    <w:abstractNumId w:val="1212951"/>
  </w:num>
  <w:num w:numId="46">
    <w:abstractNumId w:val="1212952"/>
  </w:num>
  <w:num w:numId="47">
    <w:abstractNumId w:val="1212953"/>
  </w:num>
  <w:num w:numId="48">
    <w:abstractNumId w:val="1212954"/>
  </w:num>
  <w:num w:numId="49">
    <w:abstractNumId w:val="1212955"/>
  </w:num>
  <w:num w:numId="50">
    <w:abstractNumId w:val="1212956"/>
  </w:num>
  <w:num w:numId="51">
    <w:abstractNumId w:val="1212957"/>
  </w:num>
  <w:num w:numId="52">
    <w:abstractNumId w:val="1212958"/>
  </w:num>
  <w:num w:numId="53">
    <w:abstractNumId w:val="1212959"/>
  </w:num>
  <w:num w:numId="54">
    <w:abstractNumId w:val="1212960"/>
  </w:num>
  <w:num w:numId="55">
    <w:abstractNumId w:val="1212961"/>
  </w:num>
  <w:num w:numId="56">
    <w:abstractNumId w:val="1212962"/>
  </w:num>
  <w:num w:numId="57">
    <w:abstractNumId w:val="1212963"/>
  </w:num>
  <w:num w:numId="58">
    <w:abstractNumId w:val="1212964"/>
  </w:num>
  <w:num w:numId="59">
    <w:abstractNumId w:val="1212965"/>
  </w:num>
  <w:num w:numId="60">
    <w:abstractNumId w:val="1212966"/>
  </w:num>
  <w:num w:numId="61">
    <w:abstractNumId w:val="1212967"/>
  </w:num>
  <w:num w:numId="62">
    <w:abstractNumId w:val="1212968"/>
  </w:num>
  <w:num w:numId="63">
    <w:abstractNumId w:val="1212969"/>
  </w:num>
  <w:num w:numId="64">
    <w:abstractNumId w:val="1212970"/>
  </w:num>
  <w:num w:numId="65">
    <w:abstractNumId w:val="1212971"/>
  </w:num>
  <w:num w:numId="66">
    <w:abstractNumId w:val="1212972"/>
  </w:num>
  <w:num w:numId="67">
    <w:abstractNumId w:val="1212973"/>
  </w:num>
  <w:num w:numId="68">
    <w:abstractNumId w:val="1212974"/>
  </w:num>
  <w:num w:numId="69">
    <w:abstractNumId w:val="1212975"/>
  </w:num>
  <w:num w:numId="70">
    <w:abstractNumId w:val="1212976"/>
  </w:num>
  <w:num w:numId="71">
    <w:abstractNumId w:val="1212977"/>
  </w:num>
  <w:num w:numId="72">
    <w:abstractNumId w:val="1212978"/>
  </w:num>
  <w:num w:numId="73">
    <w:abstractNumId w:val="1212979"/>
  </w:num>
  <w:num w:numId="74">
    <w:abstractNumId w:val="1212980"/>
  </w:num>
  <w:num w:numId="75">
    <w:abstractNumId w:val="1212981"/>
  </w:num>
  <w:num w:numId="76">
    <w:abstractNumId w:val="1212982"/>
  </w:num>
  <w:num w:numId="77">
    <w:abstractNumId w:val="1212983"/>
  </w:num>
  <w:num w:numId="78">
    <w:abstractNumId w:val="1212984"/>
  </w:num>
  <w:num w:numId="79">
    <w:abstractNumId w:val="1212985"/>
  </w:num>
  <w:num w:numId="80">
    <w:abstractNumId w:val="1212986"/>
  </w:num>
  <w:num w:numId="81">
    <w:abstractNumId w:val="1212987"/>
  </w:num>
  <w:num w:numId="82">
    <w:abstractNumId w:val="1212988"/>
  </w:num>
  <w:num w:numId="83">
    <w:abstractNumId w:val="1212989"/>
  </w:num>
  <w:num w:numId="84">
    <w:abstractNumId w:val="1212990"/>
  </w:num>
  <w:num w:numId="85">
    <w:abstractNumId w:val="1212991"/>
  </w:num>
  <w:num w:numId="86">
    <w:abstractNumId w:val="1212992"/>
  </w:num>
  <w:num w:numId="87">
    <w:abstractNumId w:val="1212993"/>
  </w:num>
  <w:num w:numId="88">
    <w:abstractNumId w:val="1212994"/>
  </w:num>
  <w:num w:numId="89">
    <w:abstractNumId w:val="1212995"/>
  </w:num>
  <w:num w:numId="90">
    <w:abstractNumId w:val="1212996"/>
  </w:num>
  <w:num w:numId="91">
    <w:abstractNumId w:val="1212997"/>
  </w:num>
  <w:num w:numId="92">
    <w:abstractNumId w:val="1212998"/>
  </w:num>
  <w:num w:numId="93">
    <w:abstractNumId w:val="1212999"/>
  </w:num>
</w:numbering>
</file>

<file path=word/settings.xml><?xml version="1.0" encoding="utf-8"?>
<w:settings xmlns:w="http://schemas.openxmlformats.org/wordprocessingml/2006/main"/>
</file>

<file path=word/styles.xml><?xml version="1.0" encoding="utf-8"?>
<w:style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styles.xml" Type="http://schemas.openxmlformats.org/officeDocument/2006/relationships/styles"/><Relationship Id="rId3" Target="footer1.xml" Type="http://schemas.openxmlformats.org/officeDocument/2006/relationships/footer"/><Relationship Id="rId4" Target="numbering.xml" Type="http://schemas.openxmlformats.org/officeDocument/2006/relationships/numbering"/><Relationship Id="rId5" Target="header1.xml" Type="http://schemas.openxmlformats.org/officeDocument/2006/relationships/header"/></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2026-01-24T23:33:23Z</dcterms:created>
  <dc:creator>Apache POI</dc:creator>
</cp:coreProperties>
</file>