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《NAC原生公链资产质押与赎回（赎当）细则法典》（宪法级</w:t>
      </w:r>
      <w:r>
        <w:rPr>
          <w:rFonts w:eastAsia="等线" w:ascii="Arial" w:cs="Arial" w:hAnsi="Arial"/>
          <w:b w:val="true"/>
          <w:sz w:val="52"/>
        </w:rPr>
        <w:t>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版本号：</w:t>
      </w:r>
      <w:r>
        <w:rPr>
          <w:rFonts w:eastAsia="等线" w:ascii="Arial" w:cs="Arial" w:hAnsi="Arial"/>
          <w:sz w:val="22"/>
        </w:rPr>
        <w:t>1.0.0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生效日期：</w:t>
      </w:r>
      <w:r>
        <w:rPr>
          <w:rFonts w:eastAsia="等线" w:ascii="Arial" w:cs="Arial" w:hAnsi="Arial"/>
          <w:sz w:val="22"/>
        </w:rPr>
        <w:t>待XIC持有者超级多数治理投票通过后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制定机构：</w:t>
      </w:r>
      <w:r>
        <w:rPr>
          <w:rFonts w:eastAsia="等线" w:ascii="Arial" w:cs="Arial" w:hAnsi="Arial"/>
          <w:sz w:val="22"/>
        </w:rPr>
        <w:t>NAC公链治理委员会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法典地位：</w:t>
      </w:r>
      <w:r>
        <w:rPr>
          <w:rFonts w:eastAsia="等线" w:ascii="Arial" w:cs="Arial" w:hAnsi="Arial"/>
          <w:sz w:val="22"/>
        </w:rPr>
        <w:t>本法典为规范NAC原生公链上资产质押融资及后续赎回（赎当）行为的最高操作准则，是《资产上链综合法典》与《资产退出综合法典》的重要补充。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序章：总则与核心定义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第一条 立法宗旨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建立透明、公正、安全、高效的链上资产质押融资市场，明确质押权设立、存续、实现及赎回（赎当）的全流程规则，保障出借方（债权人）、借款方（债务人，即资产所有者）及衍生权益持有人的合法权益，防范金融市场风险与操作漏洞，特制定本法典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第二条 核心定义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质押资产</w:t>
      </w:r>
      <w:r>
        <w:rPr>
          <w:rFonts w:eastAsia="等线" w:ascii="Arial" w:cs="Arial" w:hAnsi="Arial"/>
          <w:sz w:val="22"/>
        </w:rPr>
        <w:t>：指依据《资产上链综合法典》已完成原生映射，并依据本法典通过智能合约将其“质押权”授予特定债权人的链上资产。其所有权（OwnerDID）不变，但处置权受限。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质押权</w:t>
      </w:r>
      <w:r>
        <w:rPr>
          <w:rFonts w:eastAsia="等线" w:ascii="Arial" w:cs="Arial" w:hAnsi="Arial"/>
          <w:sz w:val="22"/>
        </w:rPr>
        <w:t>：债权人享有的，在债务人不履行到期债务时，就该质押资产的变现价款优先受偿的权利。该权利以智能合约形式锁定于资产DNA。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债务合约</w:t>
      </w:r>
      <w:r>
        <w:rPr>
          <w:rFonts w:eastAsia="等线" w:ascii="Arial" w:cs="Arial" w:hAnsi="Arial"/>
          <w:sz w:val="22"/>
        </w:rPr>
        <w:t>：记录借款本金、利率、期限、还款计划、质押资产ID（DNA）等核心条款的链上智能合约。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赎回（赎当）</w:t>
      </w:r>
      <w:r>
        <w:rPr>
          <w:rFonts w:eastAsia="等线" w:ascii="Arial" w:cs="Arial" w:hAnsi="Arial"/>
          <w:sz w:val="22"/>
        </w:rPr>
        <w:t>：指债务人在约定还款期内或宽限期内，清偿债务合约项下全部本息及相关费用后，解除资产质押状态，恢复其完整主权的过程。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清算</w:t>
      </w:r>
      <w:r>
        <w:rPr>
          <w:rFonts w:eastAsia="等线" w:ascii="Arial" w:cs="Arial" w:hAnsi="Arial"/>
          <w:sz w:val="22"/>
        </w:rPr>
        <w:t>：指债务人违约后，系统依据合约规则自动处置质押资产，以清偿债务的过程。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第三条 基本原则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合约优先原则</w:t>
      </w:r>
      <w:r>
        <w:rPr>
          <w:rFonts w:eastAsia="等线" w:ascii="Arial" w:cs="Arial" w:hAnsi="Arial"/>
          <w:sz w:val="22"/>
        </w:rPr>
        <w:t>：质押、赎回、清算等一切行为，以双方签署的链上债务合约为首要依据。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资产价值足额覆盖原则</w:t>
      </w:r>
      <w:r>
        <w:rPr>
          <w:rFonts w:eastAsia="等线" w:ascii="Arial" w:cs="Arial" w:hAnsi="Arial"/>
          <w:sz w:val="22"/>
        </w:rPr>
        <w:t>：质押资产的价值（由AI动态估值）必须始终覆盖债务本息及潜在清算费用，并留有充足缓冲（质押率）。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程序自动化与不可篡改原则</w:t>
      </w:r>
      <w:r>
        <w:rPr>
          <w:rFonts w:eastAsia="等线" w:ascii="Arial" w:cs="Arial" w:hAnsi="Arial"/>
          <w:sz w:val="22"/>
        </w:rPr>
        <w:t>：核心步骤由智能合约自动执行，关键操作需多方签名并永久上链存证。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风险隔离原则</w:t>
      </w:r>
      <w:r>
        <w:rPr>
          <w:rFonts w:eastAsia="等线" w:ascii="Arial" w:cs="Arial" w:hAnsi="Arial"/>
          <w:sz w:val="22"/>
        </w:rPr>
        <w:t>：单一资产质押融资活动不得引发系统性风险，设置风险隔离与熔断机制。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第一章：质押权设立与合约生成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第四条 可质押资产条件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资产必须满足以下全部条件，方可发起质押申请：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状态为“已确权”或“已备案”，且不在任何退出流程、司法冻结或仲裁期内。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资产DNA有效，且在多组件存储中状态一致。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资产未设置其他在先的、未解除的质押权或抵押权。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根据《AI合规与审批细则法典》，其当前合规评分≥70分，且资产类型未被列入禁止质押清单。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资产所有者（OwnerDID）的信用评分不低于系统要求的最低阈值。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第五条 质押融资申请与审批流程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发起申请</w:t>
      </w:r>
      <w:r>
        <w:rPr>
          <w:rFonts w:eastAsia="等线" w:ascii="Arial" w:cs="Arial" w:hAnsi="Arial"/>
          <w:sz w:val="22"/>
        </w:rPr>
        <w:t>：资产所有者通过DApp提交质押申请，指定期望借款金额（以XTZH计价）、期限、可接受的利率范围。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AI估值与风险定价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a. AI估值引擎基于最新数据对资产进行快速重估，得出当前公允价值 </w:t>
      </w:r>
      <w:r>
        <w:rPr>
          <w:rFonts w:eastAsia="Consolas" w:ascii="Consolas" w:cs="Consolas" w:hAnsi="Consolas"/>
          <w:sz w:val="22"/>
          <w:shd w:fill="EFF0F1"/>
        </w:rPr>
        <w:t>V_current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b. 风险定价引擎根据资产GNACS编码、历史波动率、市场流动性、所有者信用，计算最大可质押额度 </w:t>
      </w:r>
      <w:r>
        <w:rPr>
          <w:rFonts w:eastAsia="Consolas" w:ascii="Consolas" w:cs="Consolas" w:hAnsi="Consolas"/>
          <w:sz w:val="22"/>
          <w:shd w:fill="EFF0F1"/>
        </w:rPr>
        <w:t>L_max</w:t>
      </w:r>
      <w:r>
        <w:rPr>
          <w:rFonts w:eastAsia="等线" w:ascii="Arial" w:cs="Arial" w:hAnsi="Arial"/>
          <w:sz w:val="22"/>
        </w:rPr>
        <w:t xml:space="preserve"> 和推荐利率 </w:t>
      </w:r>
      <w:r>
        <w:rPr>
          <w:rFonts w:eastAsia="Consolas" w:ascii="Consolas" w:cs="Consolas" w:hAnsi="Consolas"/>
          <w:sz w:val="22"/>
          <w:shd w:fill="EFF0F1"/>
        </w:rPr>
        <w:t>r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c. </w:t>
      </w:r>
      <w:r>
        <w:rPr>
          <w:rFonts w:eastAsia="等线" w:ascii="Arial" w:cs="Arial" w:hAnsi="Arial"/>
          <w:b w:val="true"/>
          <w:sz w:val="22"/>
        </w:rPr>
        <w:t>核心公式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L_max = V_current * 初始质押率上限</w:t>
      </w:r>
      <w:r>
        <w:rPr>
          <w:rFonts w:eastAsia="等线" w:ascii="Arial" w:cs="Arial" w:hAnsi="Arial"/>
          <w:sz w:val="22"/>
        </w:rPr>
        <w:t>。初始质押率上限由资产类型动态决定（如不动产70%，上市公司股票60%，数字艺术品40%）。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合约条款匹配与发布</w:t>
      </w:r>
      <w:r>
        <w:rPr>
          <w:rFonts w:eastAsia="等线" w:ascii="Arial" w:cs="Arial" w:hAnsi="Arial"/>
          <w:sz w:val="22"/>
        </w:rPr>
        <w:t>：系统将生成的标准化债务合约条款（含质押资产DNA、借款额、利率、期限、清算线）发布至借贷市场。出借人可浏览并承诺出资。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资金归集与质押生效</w:t>
      </w:r>
      <w:r>
        <w:rPr>
          <w:rFonts w:eastAsia="等线" w:ascii="Arial" w:cs="Arial" w:hAnsi="Arial"/>
          <w:sz w:val="22"/>
        </w:rPr>
        <w:t xml:space="preserve">：当承诺出资额达到借款额时，合约正式部署。出借人XTZH划入合约，质押资产状态同步变更为“已质押”，其 </w:t>
      </w:r>
      <w:r>
        <w:rPr>
          <w:rFonts w:eastAsia="Consolas" w:ascii="Consolas" w:cs="Consolas" w:hAnsi="Consolas"/>
          <w:sz w:val="22"/>
          <w:shd w:fill="EFF0F1"/>
        </w:rPr>
        <w:t>MaxPawnAmount</w:t>
      </w:r>
      <w:r>
        <w:rPr>
          <w:rFonts w:eastAsia="等线" w:ascii="Arial" w:cs="Arial" w:hAnsi="Arial"/>
          <w:sz w:val="22"/>
        </w:rPr>
        <w:t xml:space="preserve"> 字段被更新，质押权关联记录写入资产DNA扩展属性及PostgreSQL。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第六条 质押期间的资产状态与收益处理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状态限制</w:t>
      </w:r>
      <w:r>
        <w:rPr>
          <w:rFonts w:eastAsia="等线" w:ascii="Arial" w:cs="Arial" w:hAnsi="Arial"/>
          <w:sz w:val="22"/>
        </w:rPr>
        <w:t>：质押资产无法进行转让、再次质押、或发起退出申请。但仍可产生收益（如租金、股息）。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收益分配</w:t>
      </w:r>
      <w:r>
        <w:rPr>
          <w:rFonts w:eastAsia="等线" w:ascii="Arial" w:cs="Arial" w:hAnsi="Arial"/>
          <w:sz w:val="22"/>
        </w:rPr>
        <w:t>：质押期间产生的收益，默认自动划入债务合约用于偿还利息或本金。具体分配方式（如直接支付给所有者）可在债务合约中特别约定。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动态监控</w:t>
      </w:r>
      <w:r>
        <w:rPr>
          <w:rFonts w:eastAsia="等线" w:ascii="Arial" w:cs="Arial" w:hAnsi="Arial"/>
          <w:sz w:val="22"/>
        </w:rPr>
        <w:t xml:space="preserve">：系统每日监控 </w:t>
      </w:r>
      <w:r>
        <w:rPr>
          <w:rFonts w:eastAsia="Consolas" w:ascii="Consolas" w:cs="Consolas" w:hAnsi="Consolas"/>
          <w:sz w:val="22"/>
          <w:shd w:fill="EFF0F1"/>
        </w:rPr>
        <w:t>V_current</w:t>
      </w:r>
      <w:r>
        <w:rPr>
          <w:rFonts w:eastAsia="等线" w:ascii="Arial" w:cs="Arial" w:hAnsi="Arial"/>
          <w:sz w:val="22"/>
        </w:rPr>
        <w:t xml:space="preserve"> 与债务余额的比率（即“健康因子”）。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第二章：赎回（赎当）流程细则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第七条 正常赎回（合约期内清偿）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发起赎回请求</w:t>
      </w:r>
      <w:r>
        <w:rPr>
          <w:rFonts w:eastAsia="等线" w:ascii="Arial" w:cs="Arial" w:hAnsi="Arial"/>
          <w:sz w:val="22"/>
        </w:rPr>
        <w:t>：债务人（资产所有者）向债务合约发起“还款赎回”交易，支付足额的XTZH（覆盖剩余本息及赎回手续费）。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智能合约自动校验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a. 校验付款金额是否充足。</w:t>
      </w:r>
    </w:p>
    <w:p>
      <w:pPr>
        <w:numPr>
          <w:numId w:val="2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b. 校验当前是否在合约规定的还款期内（或宽限期内）。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c. 校验资产质押状态是否正常。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资金清算与债务解除</w:t>
      </w:r>
      <w:r>
        <w:rPr>
          <w:rFonts w:eastAsia="等线" w:ascii="Arial" w:cs="Arial" w:hAnsi="Arial"/>
          <w:sz w:val="22"/>
        </w:rPr>
        <w:t>：合约自动将收到的XTZH按优先级分配给出借人（本息）、协议国库（手续费）。完成后，标记债务状态为“已清偿”。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质押权解除与资产状态恢复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a. 触发资产ACC-20合约，将状态从“已质押”回退至“已确权”。</w:t>
      </w:r>
    </w:p>
    <w:p>
      <w:pPr>
        <w:numPr>
          <w:numId w:val="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b. 清除资产DNA中关联的质押权记录。</w:t>
      </w:r>
    </w:p>
    <w:p>
      <w:pPr>
        <w:numPr>
          <w:numId w:val="3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c. </w:t>
      </w:r>
      <w:r>
        <w:rPr>
          <w:rFonts w:eastAsia="等线" w:ascii="Arial" w:cs="Arial" w:hAnsi="Arial"/>
          <w:b w:val="true"/>
          <w:sz w:val="22"/>
        </w:rPr>
        <w:t>数据同步引擎</w:t>
      </w:r>
      <w:r>
        <w:rPr>
          <w:rFonts w:eastAsia="等线" w:ascii="Arial" w:cs="Arial" w:hAnsi="Arial"/>
          <w:sz w:val="22"/>
        </w:rPr>
        <w:t>启动，将资产状态变更同步至四大组件：</w:t>
        <w:br/>
        <w:t xml:space="preserve">            </w:t>
      </w:r>
    </w:p>
    <w:p>
      <w:pPr>
        <w:numPr>
          <w:numId w:val="35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PostgreSQL：更新资产状态，质押记录归档。</w:t>
      </w:r>
    </w:p>
    <w:p>
      <w:pPr>
        <w:numPr>
          <w:numId w:val="36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MySQL：更新配置版本。</w:t>
      </w:r>
    </w:p>
    <w:p>
      <w:pPr>
        <w:numPr>
          <w:numId w:val="37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MongoDB：记录赎回操作日志。</w:t>
      </w:r>
    </w:p>
    <w:p>
      <w:pPr>
        <w:numPr>
          <w:numId w:val="38"/>
        </w:numPr>
        <w:spacing w:before="120" w:after="120" w:line="288" w:lineRule="auto"/>
        <w:ind w:left="907"/>
        <w:jc w:val="left"/>
      </w:pPr>
      <w:r>
        <w:rPr>
          <w:rFonts w:eastAsia="等线" w:ascii="Arial" w:cs="Arial" w:hAnsi="Arial"/>
          <w:sz w:val="22"/>
        </w:rPr>
        <w:t>- OpenLDAP：恢复资产条目的完整操作权限。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质押资产归还</w:t>
      </w:r>
      <w:r>
        <w:rPr>
          <w:rFonts w:eastAsia="等线" w:ascii="Arial" w:cs="Arial" w:hAnsi="Arial"/>
          <w:sz w:val="22"/>
        </w:rPr>
        <w:t>：上述步骤全部原子性完成后，资产完整主权自动恢复给原OwnerDID。系统发送赎回成功通知。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第八条 提前赎回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债务人可在合约到期前提前赎回，但需遵循以下规则：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允许性</w:t>
      </w:r>
      <w:r>
        <w:rPr>
          <w:rFonts w:eastAsia="等线" w:ascii="Arial" w:cs="Arial" w:hAnsi="Arial"/>
          <w:sz w:val="22"/>
        </w:rPr>
        <w:t>：债务合约必须明确允许提前赎回。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成本</w:t>
      </w:r>
      <w:r>
        <w:rPr>
          <w:rFonts w:eastAsia="等线" w:ascii="Arial" w:cs="Arial" w:hAnsi="Arial"/>
          <w:sz w:val="22"/>
        </w:rPr>
        <w:t>：可能需要支付提前还款罚金（如有约定），罚金计算公式需在合约中明示。</w:t>
      </w:r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流程</w:t>
      </w:r>
      <w:r>
        <w:rPr>
          <w:rFonts w:eastAsia="等线" w:ascii="Arial" w:cs="Arial" w:hAnsi="Arial"/>
          <w:sz w:val="22"/>
        </w:rPr>
        <w:t>：同第七条，但合约校验时需计算并收取提前还款罚金。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第九条 逾期赎回（宽限期内）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宽限期</w:t>
      </w:r>
      <w:r>
        <w:rPr>
          <w:rFonts w:eastAsia="等线" w:ascii="Arial" w:cs="Arial" w:hAnsi="Arial"/>
          <w:sz w:val="22"/>
        </w:rPr>
        <w:t>：债务合约应明确设置一个还款日后的宽限期（如3-5个区块时间，约1-1.5天）。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惩罚</w:t>
      </w:r>
      <w:r>
        <w:rPr>
          <w:rFonts w:eastAsia="等线" w:ascii="Arial" w:cs="Arial" w:hAnsi="Arial"/>
          <w:sz w:val="22"/>
        </w:rPr>
        <w:t>：在宽限期内赎回，需支付额外的逾期罚息。罚息率在合约中约定。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流程</w:t>
      </w:r>
      <w:r>
        <w:rPr>
          <w:rFonts w:eastAsia="等线" w:ascii="Arial" w:cs="Arial" w:hAnsi="Arial"/>
          <w:sz w:val="22"/>
        </w:rPr>
        <w:t>：同第七条，但需清偿逾期罚息。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第三章：违约清算流程细则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第十条 清算触发条件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当以下任一条件被智能合约连续校验通过（如连续2个区块确认）时，自动触发清算程序：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健康因子击穿清算线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V_current / 债务本息余额 &amp;lt; 清算线</w:t>
      </w:r>
      <w:r>
        <w:rPr>
          <w:rFonts w:eastAsia="等线" w:ascii="Arial" w:cs="Arial" w:hAnsi="Arial"/>
          <w:sz w:val="22"/>
        </w:rPr>
        <w:t>。清算线通常为110%-130%，高于初始质押率。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合约到期未赎回</w:t>
      </w:r>
      <w:r>
        <w:rPr>
          <w:rFonts w:eastAsia="等线" w:ascii="Arial" w:cs="Arial" w:hAnsi="Arial"/>
          <w:sz w:val="22"/>
        </w:rPr>
        <w:t>：还款期及宽限期结束后，债务仍未清偿。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资产合规丧失</w:t>
      </w:r>
      <w:r>
        <w:rPr>
          <w:rFonts w:eastAsia="等线" w:ascii="Arial" w:cs="Arial" w:hAnsi="Arial"/>
          <w:sz w:val="22"/>
        </w:rPr>
        <w:t>：质押资产合规评分在质押期间降至50分以下，且在规定期限内未恢复。</w:t>
      </w:r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其他合约约定的违约事件</w:t>
      </w:r>
      <w:r>
        <w:rPr>
          <w:rFonts w:eastAsia="等线" w:ascii="Arial" w:cs="Arial" w:hAnsi="Arial"/>
          <w:sz w:val="22"/>
        </w:rPr>
        <w:t>：如所有者DID被冻结等。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第十一条 自动清算执行流程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状态冻结与公告</w:t>
      </w:r>
      <w:r>
        <w:rPr>
          <w:rFonts w:eastAsia="等线" w:ascii="Arial" w:cs="Arial" w:hAnsi="Arial"/>
          <w:sz w:val="22"/>
        </w:rPr>
        <w:t>：资产状态立即变更为“清算中”，禁止任何赎回操作。同时向市场和权益持有人发布清算公告。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清算定价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a. 采用“紧急估值模型”，基于多个预言机提供的实时市场数据，快速确定清算底价 </w:t>
      </w:r>
      <w:r>
        <w:rPr>
          <w:rFonts w:eastAsia="Consolas" w:ascii="Consolas" w:cs="Consolas" w:hAnsi="Consolas"/>
          <w:sz w:val="22"/>
          <w:shd w:fill="EFF0F1"/>
        </w:rPr>
        <w:t>P_liquidation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b. </w:t>
      </w:r>
      <w:r>
        <w:rPr>
          <w:rFonts w:eastAsia="Consolas" w:ascii="Consolas" w:cs="Consolas" w:hAnsi="Consolas"/>
          <w:sz w:val="22"/>
          <w:shd w:fill="EFF0F1"/>
        </w:rPr>
        <w:t>P_liquidation = min(V_current * 折扣率， 债务本息总额 * 覆盖倍数)</w:t>
      </w:r>
      <w:r>
        <w:rPr>
          <w:rFonts w:eastAsia="等线" w:ascii="Arial" w:cs="Arial" w:hAnsi="Arial"/>
          <w:sz w:val="22"/>
        </w:rPr>
        <w:t>。折扣率（如85-95%）和覆盖倍数（如1.1）由治理参数设定。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市场拍卖/撮合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首选：进入“荷兰式拍卖”或“链上暗池撮合”，在限定时间内寻求买方。</w:t>
      </w:r>
    </w:p>
    <w:p>
      <w:pPr>
        <w:numPr>
          <w:numId w:val="5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次选：由系统设定的“清算准备金池”或“做市商节点”按 </w:t>
      </w:r>
      <w:r>
        <w:rPr>
          <w:rFonts w:eastAsia="Consolas" w:ascii="Consolas" w:cs="Consolas" w:hAnsi="Consolas"/>
          <w:sz w:val="22"/>
          <w:shd w:fill="EFF0F1"/>
        </w:rPr>
        <w:t>P_liquidation</w:t>
      </w:r>
      <w:r>
        <w:rPr>
          <w:rFonts w:eastAsia="等线" w:ascii="Arial" w:cs="Arial" w:hAnsi="Arial"/>
          <w:sz w:val="22"/>
        </w:rPr>
        <w:t xml:space="preserve"> 价格兜底购买。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资金结算与分配</w:t>
      </w:r>
      <w:r>
        <w:rPr>
          <w:rFonts w:eastAsia="等线" w:ascii="Arial" w:cs="Arial" w:hAnsi="Arial"/>
          <w:sz w:val="22"/>
        </w:rPr>
        <w:t>：出售所得XTZH按以下绝对优先顺序在链上自动分配：</w:t>
        <w:br/>
        <w:t xml:space="preserve">        </w:t>
      </w:r>
    </w:p>
    <w:p>
      <w:pPr>
        <w:numPr>
          <w:numId w:val="5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a. 清算费用（支付给清算执行者）</w:t>
      </w:r>
    </w:p>
    <w:p>
      <w:pPr>
        <w:numPr>
          <w:numId w:val="5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b. 所欠税款（如有）</w:t>
      </w:r>
    </w:p>
    <w:p>
      <w:pPr>
        <w:numPr>
          <w:numId w:val="6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c. 债务本息（支付给出借人）</w:t>
      </w:r>
    </w:p>
    <w:p>
      <w:pPr>
        <w:numPr>
          <w:numId w:val="6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d. 如有剩余，返还给原资产所有者。</w:t>
      </w:r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资产过户与记录</w:t>
      </w:r>
      <w:r>
        <w:rPr>
          <w:rFonts w:eastAsia="等线" w:ascii="Arial" w:cs="Arial" w:hAnsi="Arial"/>
          <w:sz w:val="22"/>
        </w:rPr>
        <w:t>：购买方获得资产所有权，DNA关联的OwnerDID更新，质押记录清除。原债务合约关闭。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第十二条 清算过程中的衍生权益处理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若质押资产已发行衍生权益代币：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暂停交易</w:t>
      </w:r>
      <w:r>
        <w:rPr>
          <w:rFonts w:eastAsia="等线" w:ascii="Arial" w:cs="Arial" w:hAnsi="Arial"/>
          <w:sz w:val="22"/>
        </w:rPr>
        <w:t>：清算触发时，所有相关衍生权益代币交易暂停。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权益保障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- 衍生权益持有人享有在清算所得清偿完优先债务后的 </w:t>
      </w:r>
      <w:r>
        <w:rPr>
          <w:rFonts w:eastAsia="等线" w:ascii="Arial" w:cs="Arial" w:hAnsi="Arial"/>
          <w:b w:val="true"/>
          <w:sz w:val="22"/>
        </w:rPr>
        <w:t>次级求偿权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6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- 或，在部分合约设计中，衍生权益代币可能自动转换为对清算后新资产的按份共有权。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具体方案需在资产首次发行衍生权益时，于其智能合约章程中明确规定。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第四章：特殊情形与争议处理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第十三条 部分赎回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是否允许对同一质押资产项下的部分债务进行赎回，以释放对应比例的资产主权，由债务合约预先约定。若允许，需定义精确的价值分割与DNA映射逻辑，技术实现复杂，通常不建议。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第十四条 质押资产价值重估争议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若债务人对触发清算的AI估值提出合理异议：</w:t>
      </w:r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可在清算公告发布后2小时内，支付一笔争议保证金，发起“估值仲裁”。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系统随机挑选一组验证节点，调用更复杂的估值模型或引入第三方评估数据源进行重新计算。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若仲裁后估值高于清算线，清算中止，资产恢复“已质押”状态，债务人支付仲裁费用。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若维持原判，清算继续，争议保证金用于支付额外成本。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第十五条 司法介入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若在质押或清算期间，收到司法机关对质押资产的冻结或执行令：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智能合约立即暂停一切自动化操作，状态变更为“司法冻结”。</w:t>
      </w:r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等待链下司法程序结果，或将司法判决作为输入参数，由治理委员会多签执行判决结果。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第五章：费用、风险与防漏洞设计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第十六条 费用体系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质押设立费</w:t>
      </w:r>
      <w:r>
        <w:rPr>
          <w:rFonts w:eastAsia="等线" w:ascii="Arial" w:cs="Arial" w:hAnsi="Arial"/>
          <w:sz w:val="22"/>
        </w:rPr>
        <w:t>：支付给协议，用于覆盖AI估值、合约部署成本，以XIC计价。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赎回手续费</w:t>
      </w:r>
      <w:r>
        <w:rPr>
          <w:rFonts w:eastAsia="等线" w:ascii="Arial" w:cs="Arial" w:hAnsi="Arial"/>
          <w:sz w:val="22"/>
        </w:rPr>
        <w:t>：正常赎回时支付，通常为还款额的0.1%-0.5%。</w:t>
      </w:r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逾期罚息</w:t>
      </w:r>
      <w:r>
        <w:rPr>
          <w:rFonts w:eastAsia="等线" w:ascii="Arial" w:cs="Arial" w:hAnsi="Arial"/>
          <w:sz w:val="22"/>
        </w:rPr>
        <w:t>：按日计算，归出借人所有。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清算费</w:t>
      </w:r>
      <w:r>
        <w:rPr>
          <w:rFonts w:eastAsia="等线" w:ascii="Arial" w:cs="Arial" w:hAnsi="Arial"/>
          <w:sz w:val="22"/>
        </w:rPr>
        <w:t>：从清算所得中优先扣除，激励清算人。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争议仲裁费</w:t>
      </w:r>
      <w:r>
        <w:rPr>
          <w:rFonts w:eastAsia="等线" w:ascii="Arial" w:cs="Arial" w:hAnsi="Arial"/>
          <w:sz w:val="22"/>
        </w:rPr>
        <w:t>：由发起方预付。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第十七条 风险控制机制</w:t>
      </w:r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全局质押率限制</w:t>
      </w:r>
      <w:r>
        <w:rPr>
          <w:rFonts w:eastAsia="等线" w:ascii="Arial" w:cs="Arial" w:hAnsi="Arial"/>
          <w:sz w:val="22"/>
        </w:rPr>
        <w:t>：对单一资产类型、单一所有者设置全网质押总额上限。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债务期限匹配</w:t>
      </w:r>
      <w:r>
        <w:rPr>
          <w:rFonts w:eastAsia="等线" w:ascii="Arial" w:cs="Arial" w:hAnsi="Arial"/>
          <w:sz w:val="22"/>
        </w:rPr>
        <w:t>：鼓励出借人进行期限匹配，避免挤兑。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清算准备金池</w:t>
      </w:r>
      <w:r>
        <w:rPr>
          <w:rFonts w:eastAsia="等线" w:ascii="Arial" w:cs="Arial" w:hAnsi="Arial"/>
          <w:sz w:val="22"/>
        </w:rPr>
        <w:t>：由协议国库部分资金和清算罚款构成，用于应对极端流动性缺失。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第十八条 防漏洞设计</w:t>
      </w:r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预言机攻击防护</w:t>
      </w:r>
      <w:r>
        <w:rPr>
          <w:rFonts w:eastAsia="等线" w:ascii="Arial" w:cs="Arial" w:hAnsi="Arial"/>
          <w:sz w:val="22"/>
        </w:rPr>
        <w:t>：采用多源去中心化预言机，并对异常价格变动进行延迟响应与人工复核。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闪电贷攻击防护</w:t>
      </w:r>
      <w:r>
        <w:rPr>
          <w:rFonts w:eastAsia="等线" w:ascii="Arial" w:cs="Arial" w:hAnsi="Arial"/>
          <w:sz w:val="22"/>
        </w:rPr>
        <w:t>：关键状态变更（如质押生效、清算触发）引入时间锁或随机延迟。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估值操纵防护</w:t>
      </w:r>
      <w:r>
        <w:rPr>
          <w:rFonts w:eastAsia="等线" w:ascii="Arial" w:cs="Arial" w:hAnsi="Arial"/>
          <w:sz w:val="22"/>
        </w:rPr>
        <w:t>：AI估值模型参数公开，且采用时间加权平均价格，防止瞬间操纵。</w:t>
      </w:r>
    </w:p>
    <w:p>
      <w:pPr>
        <w:numPr>
          <w:numId w:val="8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合约安全</w:t>
      </w:r>
      <w:r>
        <w:rPr>
          <w:rFonts w:eastAsia="等线" w:ascii="Arial" w:cs="Arial" w:hAnsi="Arial"/>
          <w:sz w:val="22"/>
        </w:rPr>
        <w:t>：所有债务合约模板需经过形式化验证和安全审计。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第六章：附则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第十九条 与其他法典的衔接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本法典与《资产上链综合法典》第四章“上链托管TOKEN所有权”、《资产退出综合法典》中关于债务清算的部分紧密衔接，共同构成完整的资产金融化生命周期管理。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第二十条 法典修订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本法典修订需经治理委员会提案，并获得全网XIC持有者投票≥70%赞成票通过。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第二十一条 生效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本法典自公布之日起生效。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立法说明</w:t>
      </w:r>
      <w:r>
        <w:rPr>
          <w:rFonts w:eastAsia="等线" w:ascii="Arial" w:cs="Arial" w:hAnsi="Arial"/>
          <w:sz w:val="22"/>
        </w:rPr>
        <w:t>：本法典系统性地构建了NAC公链上资产“质押-赎回-清算”的完整规则闭环，明确了各方的权利、义务与风险，并深度集成于NAC的技术栈（DNA、AI估值、多组件同步、智能合约），确保了流程的自动化、透明化和抗操纵性。它填补了资产上链后“如何使用”这一关键环节的宪法空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1336999">
    <w:lvl>
      <w:numFmt w:val="bullet"/>
      <w:suff w:val="tab"/>
      <w:lvlText w:val="•"/>
      <w:rPr>
        <w:color w:val="3370ff"/>
      </w:rPr>
    </w:lvl>
  </w:abstractNum>
  <w:abstractNum w:abstractNumId="1337000">
    <w:lvl>
      <w:numFmt w:val="bullet"/>
      <w:suff w:val="tab"/>
      <w:lvlText w:val="•"/>
      <w:rPr>
        <w:color w:val="3370ff"/>
      </w:rPr>
    </w:lvl>
  </w:abstractNum>
  <w:abstractNum w:abstractNumId="1337001">
    <w:lvl>
      <w:numFmt w:val="bullet"/>
      <w:suff w:val="tab"/>
      <w:lvlText w:val="•"/>
      <w:rPr>
        <w:color w:val="3370ff"/>
      </w:rPr>
    </w:lvl>
  </w:abstractNum>
  <w:abstractNum w:abstractNumId="1337002">
    <w:lvl>
      <w:numFmt w:val="bullet"/>
      <w:suff w:val="tab"/>
      <w:lvlText w:val="•"/>
      <w:rPr>
        <w:color w:val="3370ff"/>
      </w:rPr>
    </w:lvl>
  </w:abstractNum>
  <w:abstractNum w:abstractNumId="1337003">
    <w:lvl>
      <w:numFmt w:val="bullet"/>
      <w:suff w:val="tab"/>
      <w:lvlText w:val="•"/>
      <w:rPr>
        <w:color w:val="3370ff"/>
      </w:rPr>
    </w:lvl>
  </w:abstractNum>
  <w:abstractNum w:abstractNumId="1337004">
    <w:lvl>
      <w:numFmt w:val="bullet"/>
      <w:suff w:val="tab"/>
      <w:lvlText w:val="•"/>
      <w:rPr>
        <w:color w:val="3370ff"/>
      </w:rPr>
    </w:lvl>
  </w:abstractNum>
  <w:abstractNum w:abstractNumId="1337005">
    <w:lvl>
      <w:numFmt w:val="bullet"/>
      <w:suff w:val="tab"/>
      <w:lvlText w:val="•"/>
      <w:rPr>
        <w:color w:val="3370ff"/>
      </w:rPr>
    </w:lvl>
  </w:abstractNum>
  <w:abstractNum w:abstractNumId="1337006">
    <w:lvl>
      <w:numFmt w:val="bullet"/>
      <w:suff w:val="tab"/>
      <w:lvlText w:val="•"/>
      <w:rPr>
        <w:color w:val="3370ff"/>
      </w:rPr>
    </w:lvl>
  </w:abstractNum>
  <w:abstractNum w:abstractNumId="1337007">
    <w:lvl>
      <w:numFmt w:val="bullet"/>
      <w:suff w:val="tab"/>
      <w:lvlText w:val="•"/>
      <w:rPr>
        <w:color w:val="3370ff"/>
      </w:rPr>
    </w:lvl>
  </w:abstractNum>
  <w:abstractNum w:abstractNumId="1337008">
    <w:lvl>
      <w:start w:val="1"/>
      <w:numFmt w:val="decimal"/>
      <w:suff w:val="tab"/>
      <w:lvlText w:val="%1."/>
      <w:rPr>
        <w:color w:val="3370ff"/>
      </w:rPr>
    </w:lvl>
  </w:abstractNum>
  <w:abstractNum w:abstractNumId="1337009">
    <w:lvl>
      <w:start w:val="2"/>
      <w:numFmt w:val="decimal"/>
      <w:suff w:val="tab"/>
      <w:lvlText w:val="%1."/>
      <w:rPr>
        <w:color w:val="3370ff"/>
      </w:rPr>
    </w:lvl>
  </w:abstractNum>
  <w:abstractNum w:abstractNumId="1337010">
    <w:lvl>
      <w:start w:val="3"/>
      <w:numFmt w:val="decimal"/>
      <w:suff w:val="tab"/>
      <w:lvlText w:val="%1."/>
      <w:rPr>
        <w:color w:val="3370ff"/>
      </w:rPr>
    </w:lvl>
  </w:abstractNum>
  <w:abstractNum w:abstractNumId="1337011">
    <w:lvl>
      <w:start w:val="4"/>
      <w:numFmt w:val="decimal"/>
      <w:suff w:val="tab"/>
      <w:lvlText w:val="%1."/>
      <w:rPr>
        <w:color w:val="3370ff"/>
      </w:rPr>
    </w:lvl>
  </w:abstractNum>
  <w:abstractNum w:abstractNumId="1337012">
    <w:lvl>
      <w:start w:val="5"/>
      <w:numFmt w:val="decimal"/>
      <w:suff w:val="tab"/>
      <w:lvlText w:val="%1."/>
      <w:rPr>
        <w:color w:val="3370ff"/>
      </w:rPr>
    </w:lvl>
  </w:abstractNum>
  <w:abstractNum w:abstractNumId="1337013">
    <w:lvl>
      <w:start w:val="1"/>
      <w:numFmt w:val="decimal"/>
      <w:suff w:val="tab"/>
      <w:lvlText w:val="%1."/>
      <w:rPr>
        <w:color w:val="3370ff"/>
      </w:rPr>
    </w:lvl>
  </w:abstractNum>
  <w:abstractNum w:abstractNumId="1337014">
    <w:lvl>
      <w:start w:val="2"/>
      <w:numFmt w:val="decimal"/>
      <w:suff w:val="tab"/>
      <w:lvlText w:val="%1."/>
      <w:rPr>
        <w:color w:val="3370ff"/>
      </w:rPr>
    </w:lvl>
  </w:abstractNum>
  <w:abstractNum w:abstractNumId="1337015">
    <w:lvl>
      <w:numFmt w:val="bullet"/>
      <w:suff w:val="tab"/>
      <w:lvlText w:val="￮"/>
      <w:rPr>
        <w:color w:val="3370ff"/>
      </w:rPr>
    </w:lvl>
  </w:abstractNum>
  <w:abstractNum w:abstractNumId="1337016">
    <w:lvl>
      <w:numFmt w:val="bullet"/>
      <w:suff w:val="tab"/>
      <w:lvlText w:val="￮"/>
      <w:rPr>
        <w:color w:val="3370ff"/>
      </w:rPr>
    </w:lvl>
  </w:abstractNum>
  <w:abstractNum w:abstractNumId="1337017">
    <w:lvl>
      <w:numFmt w:val="bullet"/>
      <w:suff w:val="tab"/>
      <w:lvlText w:val="￮"/>
      <w:rPr>
        <w:color w:val="3370ff"/>
      </w:rPr>
    </w:lvl>
  </w:abstractNum>
  <w:abstractNum w:abstractNumId="1337018">
    <w:lvl>
      <w:start w:val="3"/>
      <w:numFmt w:val="decimal"/>
      <w:suff w:val="tab"/>
      <w:lvlText w:val="%1."/>
      <w:rPr>
        <w:color w:val="3370ff"/>
      </w:rPr>
    </w:lvl>
  </w:abstractNum>
  <w:abstractNum w:abstractNumId="1337019">
    <w:lvl>
      <w:start w:val="4"/>
      <w:numFmt w:val="decimal"/>
      <w:suff w:val="tab"/>
      <w:lvlText w:val="%1."/>
      <w:rPr>
        <w:color w:val="3370ff"/>
      </w:rPr>
    </w:lvl>
  </w:abstractNum>
  <w:abstractNum w:abstractNumId="1337020">
    <w:lvl>
      <w:numFmt w:val="bullet"/>
      <w:suff w:val="tab"/>
      <w:lvlText w:val="•"/>
      <w:rPr>
        <w:color w:val="3370ff"/>
      </w:rPr>
    </w:lvl>
  </w:abstractNum>
  <w:abstractNum w:abstractNumId="1337021">
    <w:lvl>
      <w:numFmt w:val="bullet"/>
      <w:suff w:val="tab"/>
      <w:lvlText w:val="•"/>
      <w:rPr>
        <w:color w:val="3370ff"/>
      </w:rPr>
    </w:lvl>
  </w:abstractNum>
  <w:abstractNum w:abstractNumId="1337022">
    <w:lvl>
      <w:numFmt w:val="bullet"/>
      <w:suff w:val="tab"/>
      <w:lvlText w:val="•"/>
      <w:rPr>
        <w:color w:val="3370ff"/>
      </w:rPr>
    </w:lvl>
  </w:abstractNum>
  <w:abstractNum w:abstractNumId="1337023">
    <w:lvl>
      <w:start w:val="1"/>
      <w:numFmt w:val="decimal"/>
      <w:suff w:val="tab"/>
      <w:lvlText w:val="%1."/>
      <w:rPr>
        <w:color w:val="3370ff"/>
      </w:rPr>
    </w:lvl>
  </w:abstractNum>
  <w:abstractNum w:abstractNumId="1337024">
    <w:lvl>
      <w:start w:val="2"/>
      <w:numFmt w:val="decimal"/>
      <w:suff w:val="tab"/>
      <w:lvlText w:val="%1."/>
      <w:rPr>
        <w:color w:val="3370ff"/>
      </w:rPr>
    </w:lvl>
  </w:abstractNum>
  <w:abstractNum w:abstractNumId="1337025">
    <w:lvl>
      <w:numFmt w:val="bullet"/>
      <w:suff w:val="tab"/>
      <w:lvlText w:val="￮"/>
      <w:rPr>
        <w:color w:val="3370ff"/>
      </w:rPr>
    </w:lvl>
  </w:abstractNum>
  <w:abstractNum w:abstractNumId="1337026">
    <w:lvl>
      <w:numFmt w:val="bullet"/>
      <w:suff w:val="tab"/>
      <w:lvlText w:val="￮"/>
      <w:rPr>
        <w:color w:val="3370ff"/>
      </w:rPr>
    </w:lvl>
  </w:abstractNum>
  <w:abstractNum w:abstractNumId="1337027">
    <w:lvl>
      <w:numFmt w:val="bullet"/>
      <w:suff w:val="tab"/>
      <w:lvlText w:val="￮"/>
      <w:rPr>
        <w:color w:val="3370ff"/>
      </w:rPr>
    </w:lvl>
  </w:abstractNum>
  <w:abstractNum w:abstractNumId="1337028">
    <w:lvl>
      <w:start w:val="3"/>
      <w:numFmt w:val="decimal"/>
      <w:suff w:val="tab"/>
      <w:lvlText w:val="%1."/>
      <w:rPr>
        <w:color w:val="3370ff"/>
      </w:rPr>
    </w:lvl>
  </w:abstractNum>
  <w:abstractNum w:abstractNumId="1337029">
    <w:lvl>
      <w:start w:val="4"/>
      <w:numFmt w:val="decimal"/>
      <w:suff w:val="tab"/>
      <w:lvlText w:val="%1."/>
      <w:rPr>
        <w:color w:val="3370ff"/>
      </w:rPr>
    </w:lvl>
  </w:abstractNum>
  <w:abstractNum w:abstractNumId="1337030">
    <w:lvl>
      <w:numFmt w:val="bullet"/>
      <w:suff w:val="tab"/>
      <w:lvlText w:val="￮"/>
      <w:rPr>
        <w:color w:val="3370ff"/>
      </w:rPr>
    </w:lvl>
  </w:abstractNum>
  <w:abstractNum w:abstractNumId="1337031">
    <w:lvl>
      <w:numFmt w:val="bullet"/>
      <w:suff w:val="tab"/>
      <w:lvlText w:val="￮"/>
      <w:rPr>
        <w:color w:val="3370ff"/>
      </w:rPr>
    </w:lvl>
  </w:abstractNum>
  <w:abstractNum w:abstractNumId="1337032">
    <w:lvl>
      <w:numFmt w:val="bullet"/>
      <w:suff w:val="tab"/>
      <w:lvlText w:val="￮"/>
      <w:rPr>
        <w:color w:val="3370ff"/>
      </w:rPr>
    </w:lvl>
  </w:abstractNum>
  <w:abstractNum w:abstractNumId="1337033">
    <w:lvl>
      <w:numFmt w:val="bullet"/>
      <w:suff w:val="tab"/>
      <w:lvlText w:val="▪"/>
      <w:rPr>
        <w:color w:val="3370ff"/>
        <w:sz w:val="11"/>
      </w:rPr>
    </w:lvl>
  </w:abstractNum>
  <w:abstractNum w:abstractNumId="1337034">
    <w:lvl>
      <w:numFmt w:val="bullet"/>
      <w:suff w:val="tab"/>
      <w:lvlText w:val="▪"/>
      <w:rPr>
        <w:color w:val="3370ff"/>
        <w:sz w:val="11"/>
      </w:rPr>
    </w:lvl>
  </w:abstractNum>
  <w:abstractNum w:abstractNumId="1337035">
    <w:lvl>
      <w:numFmt w:val="bullet"/>
      <w:suff w:val="tab"/>
      <w:lvlText w:val="▪"/>
      <w:rPr>
        <w:color w:val="3370ff"/>
        <w:sz w:val="11"/>
      </w:rPr>
    </w:lvl>
  </w:abstractNum>
  <w:abstractNum w:abstractNumId="1337036">
    <w:lvl>
      <w:numFmt w:val="bullet"/>
      <w:suff w:val="tab"/>
      <w:lvlText w:val="▪"/>
      <w:rPr>
        <w:color w:val="3370ff"/>
        <w:sz w:val="11"/>
      </w:rPr>
    </w:lvl>
  </w:abstractNum>
  <w:abstractNum w:abstractNumId="1337037">
    <w:lvl>
      <w:start w:val="5"/>
      <w:numFmt w:val="decimal"/>
      <w:suff w:val="tab"/>
      <w:lvlText w:val="%1."/>
      <w:rPr>
        <w:color w:val="3370ff"/>
      </w:rPr>
    </w:lvl>
  </w:abstractNum>
  <w:abstractNum w:abstractNumId="1337038">
    <w:lvl>
      <w:start w:val="1"/>
      <w:numFmt w:val="decimal"/>
      <w:suff w:val="tab"/>
      <w:lvlText w:val="%1."/>
      <w:rPr>
        <w:color w:val="3370ff"/>
      </w:rPr>
    </w:lvl>
  </w:abstractNum>
  <w:abstractNum w:abstractNumId="1337039">
    <w:lvl>
      <w:start w:val="2"/>
      <w:numFmt w:val="decimal"/>
      <w:suff w:val="tab"/>
      <w:lvlText w:val="%1."/>
      <w:rPr>
        <w:color w:val="3370ff"/>
      </w:rPr>
    </w:lvl>
  </w:abstractNum>
  <w:abstractNum w:abstractNumId="1337040">
    <w:lvl>
      <w:start w:val="3"/>
      <w:numFmt w:val="decimal"/>
      <w:suff w:val="tab"/>
      <w:lvlText w:val="%1."/>
      <w:rPr>
        <w:color w:val="3370ff"/>
      </w:rPr>
    </w:lvl>
  </w:abstractNum>
  <w:abstractNum w:abstractNumId="1337041">
    <w:lvl>
      <w:numFmt w:val="bullet"/>
      <w:suff w:val="tab"/>
      <w:lvlText w:val="•"/>
      <w:rPr>
        <w:color w:val="3370ff"/>
      </w:rPr>
    </w:lvl>
  </w:abstractNum>
  <w:abstractNum w:abstractNumId="1337042">
    <w:lvl>
      <w:numFmt w:val="bullet"/>
      <w:suff w:val="tab"/>
      <w:lvlText w:val="•"/>
      <w:rPr>
        <w:color w:val="3370ff"/>
      </w:rPr>
    </w:lvl>
  </w:abstractNum>
  <w:abstractNum w:abstractNumId="1337043">
    <w:lvl>
      <w:numFmt w:val="bullet"/>
      <w:suff w:val="tab"/>
      <w:lvlText w:val="•"/>
      <w:rPr>
        <w:color w:val="3370ff"/>
      </w:rPr>
    </w:lvl>
  </w:abstractNum>
  <w:abstractNum w:abstractNumId="1337044">
    <w:lvl>
      <w:start w:val="1"/>
      <w:numFmt w:val="decimal"/>
      <w:suff w:val="tab"/>
      <w:lvlText w:val="%1."/>
      <w:rPr>
        <w:color w:val="3370ff"/>
      </w:rPr>
    </w:lvl>
  </w:abstractNum>
  <w:abstractNum w:abstractNumId="1337045">
    <w:lvl>
      <w:start w:val="2"/>
      <w:numFmt w:val="decimal"/>
      <w:suff w:val="tab"/>
      <w:lvlText w:val="%1."/>
      <w:rPr>
        <w:color w:val="3370ff"/>
      </w:rPr>
    </w:lvl>
  </w:abstractNum>
  <w:abstractNum w:abstractNumId="1337046">
    <w:lvl>
      <w:start w:val="3"/>
      <w:numFmt w:val="decimal"/>
      <w:suff w:val="tab"/>
      <w:lvlText w:val="%1."/>
      <w:rPr>
        <w:color w:val="3370ff"/>
      </w:rPr>
    </w:lvl>
  </w:abstractNum>
  <w:abstractNum w:abstractNumId="1337047">
    <w:lvl>
      <w:start w:val="4"/>
      <w:numFmt w:val="decimal"/>
      <w:suff w:val="tab"/>
      <w:lvlText w:val="%1."/>
      <w:rPr>
        <w:color w:val="3370ff"/>
      </w:rPr>
    </w:lvl>
  </w:abstractNum>
  <w:abstractNum w:abstractNumId="1337048">
    <w:lvl>
      <w:start w:val="1"/>
      <w:numFmt w:val="decimal"/>
      <w:suff w:val="tab"/>
      <w:lvlText w:val="%1."/>
      <w:rPr>
        <w:color w:val="3370ff"/>
      </w:rPr>
    </w:lvl>
  </w:abstractNum>
  <w:abstractNum w:abstractNumId="1337049">
    <w:lvl>
      <w:start w:val="2"/>
      <w:numFmt w:val="decimal"/>
      <w:suff w:val="tab"/>
      <w:lvlText w:val="%1."/>
      <w:rPr>
        <w:color w:val="3370ff"/>
      </w:rPr>
    </w:lvl>
  </w:abstractNum>
  <w:abstractNum w:abstractNumId="1337050">
    <w:lvl>
      <w:numFmt w:val="bullet"/>
      <w:suff w:val="tab"/>
      <w:lvlText w:val="￮"/>
      <w:rPr>
        <w:color w:val="3370ff"/>
      </w:rPr>
    </w:lvl>
  </w:abstractNum>
  <w:abstractNum w:abstractNumId="1337051">
    <w:lvl>
      <w:numFmt w:val="bullet"/>
      <w:suff w:val="tab"/>
      <w:lvlText w:val="￮"/>
      <w:rPr>
        <w:color w:val="3370ff"/>
      </w:rPr>
    </w:lvl>
  </w:abstractNum>
  <w:abstractNum w:abstractNumId="1337052">
    <w:lvl>
      <w:start w:val="3"/>
      <w:numFmt w:val="decimal"/>
      <w:suff w:val="tab"/>
      <w:lvlText w:val="%1."/>
      <w:rPr>
        <w:color w:val="3370ff"/>
      </w:rPr>
    </w:lvl>
  </w:abstractNum>
  <w:abstractNum w:abstractNumId="1337053">
    <w:lvl>
      <w:numFmt w:val="bullet"/>
      <w:suff w:val="tab"/>
      <w:lvlText w:val="￮"/>
      <w:rPr>
        <w:color w:val="3370ff"/>
      </w:rPr>
    </w:lvl>
  </w:abstractNum>
  <w:abstractNum w:abstractNumId="1337054">
    <w:lvl>
      <w:numFmt w:val="bullet"/>
      <w:suff w:val="tab"/>
      <w:lvlText w:val="￮"/>
      <w:rPr>
        <w:color w:val="3370ff"/>
      </w:rPr>
    </w:lvl>
  </w:abstractNum>
  <w:abstractNum w:abstractNumId="1337055">
    <w:lvl>
      <w:start w:val="4"/>
      <w:numFmt w:val="decimal"/>
      <w:suff w:val="tab"/>
      <w:lvlText w:val="%1."/>
      <w:rPr>
        <w:color w:val="3370ff"/>
      </w:rPr>
    </w:lvl>
  </w:abstractNum>
  <w:abstractNum w:abstractNumId="1337056">
    <w:lvl>
      <w:numFmt w:val="bullet"/>
      <w:suff w:val="tab"/>
      <w:lvlText w:val="￮"/>
      <w:rPr>
        <w:color w:val="3370ff"/>
      </w:rPr>
    </w:lvl>
  </w:abstractNum>
  <w:abstractNum w:abstractNumId="1337057">
    <w:lvl>
      <w:numFmt w:val="bullet"/>
      <w:suff w:val="tab"/>
      <w:lvlText w:val="￮"/>
      <w:rPr>
        <w:color w:val="3370ff"/>
      </w:rPr>
    </w:lvl>
  </w:abstractNum>
  <w:abstractNum w:abstractNumId="1337058">
    <w:lvl>
      <w:numFmt w:val="bullet"/>
      <w:suff w:val="tab"/>
      <w:lvlText w:val="￮"/>
      <w:rPr>
        <w:color w:val="3370ff"/>
      </w:rPr>
    </w:lvl>
  </w:abstractNum>
  <w:abstractNum w:abstractNumId="1337059">
    <w:lvl>
      <w:numFmt w:val="bullet"/>
      <w:suff w:val="tab"/>
      <w:lvlText w:val="￮"/>
      <w:rPr>
        <w:color w:val="3370ff"/>
      </w:rPr>
    </w:lvl>
  </w:abstractNum>
  <w:abstractNum w:abstractNumId="1337060">
    <w:lvl>
      <w:start w:val="5"/>
      <w:numFmt w:val="decimal"/>
      <w:suff w:val="tab"/>
      <w:lvlText w:val="%1."/>
      <w:rPr>
        <w:color w:val="3370ff"/>
      </w:rPr>
    </w:lvl>
  </w:abstractNum>
  <w:abstractNum w:abstractNumId="1337061">
    <w:lvl>
      <w:start w:val="1"/>
      <w:numFmt w:val="decimal"/>
      <w:suff w:val="tab"/>
      <w:lvlText w:val="%1."/>
      <w:rPr>
        <w:color w:val="3370ff"/>
      </w:rPr>
    </w:lvl>
  </w:abstractNum>
  <w:abstractNum w:abstractNumId="1337062">
    <w:lvl>
      <w:start w:val="2"/>
      <w:numFmt w:val="decimal"/>
      <w:suff w:val="tab"/>
      <w:lvlText w:val="%1."/>
      <w:rPr>
        <w:color w:val="3370ff"/>
      </w:rPr>
    </w:lvl>
  </w:abstractNum>
  <w:abstractNum w:abstractNumId="1337063">
    <w:lvl>
      <w:numFmt w:val="bullet"/>
      <w:suff w:val="tab"/>
      <w:lvlText w:val="￮"/>
      <w:rPr>
        <w:color w:val="3370ff"/>
      </w:rPr>
    </w:lvl>
  </w:abstractNum>
  <w:abstractNum w:abstractNumId="1337064">
    <w:lvl>
      <w:numFmt w:val="bullet"/>
      <w:suff w:val="tab"/>
      <w:lvlText w:val="￮"/>
      <w:rPr>
        <w:color w:val="3370ff"/>
      </w:rPr>
    </w:lvl>
  </w:abstractNum>
  <w:abstractNum w:abstractNumId="1337065">
    <w:lvl>
      <w:start w:val="3"/>
      <w:numFmt w:val="decimal"/>
      <w:suff w:val="tab"/>
      <w:lvlText w:val="%1."/>
      <w:rPr>
        <w:color w:val="3370ff"/>
      </w:rPr>
    </w:lvl>
  </w:abstractNum>
  <w:abstractNum w:abstractNumId="1337066">
    <w:lvl>
      <w:start w:val="1"/>
      <w:numFmt w:val="decimal"/>
      <w:suff w:val="tab"/>
      <w:lvlText w:val="%1."/>
      <w:rPr>
        <w:color w:val="3370ff"/>
      </w:rPr>
    </w:lvl>
  </w:abstractNum>
  <w:abstractNum w:abstractNumId="1337067">
    <w:lvl>
      <w:start w:val="2"/>
      <w:numFmt w:val="decimal"/>
      <w:suff w:val="tab"/>
      <w:lvlText w:val="%1."/>
      <w:rPr>
        <w:color w:val="3370ff"/>
      </w:rPr>
    </w:lvl>
  </w:abstractNum>
  <w:abstractNum w:abstractNumId="1337068">
    <w:lvl>
      <w:start w:val="3"/>
      <w:numFmt w:val="decimal"/>
      <w:suff w:val="tab"/>
      <w:lvlText w:val="%1."/>
      <w:rPr>
        <w:color w:val="3370ff"/>
      </w:rPr>
    </w:lvl>
  </w:abstractNum>
  <w:abstractNum w:abstractNumId="1337069">
    <w:lvl>
      <w:start w:val="4"/>
      <w:numFmt w:val="decimal"/>
      <w:suff w:val="tab"/>
      <w:lvlText w:val="%1."/>
      <w:rPr>
        <w:color w:val="3370ff"/>
      </w:rPr>
    </w:lvl>
  </w:abstractNum>
  <w:abstractNum w:abstractNumId="1337070">
    <w:lvl>
      <w:start w:val="1"/>
      <w:numFmt w:val="decimal"/>
      <w:suff w:val="tab"/>
      <w:lvlText w:val="%1."/>
      <w:rPr>
        <w:color w:val="3370ff"/>
      </w:rPr>
    </w:lvl>
  </w:abstractNum>
  <w:abstractNum w:abstractNumId="1337071">
    <w:lvl>
      <w:start w:val="2"/>
      <w:numFmt w:val="decimal"/>
      <w:suff w:val="tab"/>
      <w:lvlText w:val="%1."/>
      <w:rPr>
        <w:color w:val="3370ff"/>
      </w:rPr>
    </w:lvl>
  </w:abstractNum>
  <w:abstractNum w:abstractNumId="1337072">
    <w:lvl>
      <w:numFmt w:val="bullet"/>
      <w:suff w:val="tab"/>
      <w:lvlText w:val="•"/>
      <w:rPr>
        <w:color w:val="3370ff"/>
      </w:rPr>
    </w:lvl>
  </w:abstractNum>
  <w:abstractNum w:abstractNumId="1337073">
    <w:lvl>
      <w:numFmt w:val="bullet"/>
      <w:suff w:val="tab"/>
      <w:lvlText w:val="•"/>
      <w:rPr>
        <w:color w:val="3370ff"/>
      </w:rPr>
    </w:lvl>
  </w:abstractNum>
  <w:abstractNum w:abstractNumId="1337074">
    <w:lvl>
      <w:numFmt w:val="bullet"/>
      <w:suff w:val="tab"/>
      <w:lvlText w:val="•"/>
      <w:rPr>
        <w:color w:val="3370ff"/>
      </w:rPr>
    </w:lvl>
  </w:abstractNum>
  <w:abstractNum w:abstractNumId="1337075">
    <w:lvl>
      <w:numFmt w:val="bullet"/>
      <w:suff w:val="tab"/>
      <w:lvlText w:val="•"/>
      <w:rPr>
        <w:color w:val="3370ff"/>
      </w:rPr>
    </w:lvl>
  </w:abstractNum>
  <w:abstractNum w:abstractNumId="1337076">
    <w:lvl>
      <w:numFmt w:val="bullet"/>
      <w:suff w:val="tab"/>
      <w:lvlText w:val="•"/>
      <w:rPr>
        <w:color w:val="3370ff"/>
      </w:rPr>
    </w:lvl>
  </w:abstractNum>
  <w:abstractNum w:abstractNumId="1337077">
    <w:lvl>
      <w:numFmt w:val="bullet"/>
      <w:suff w:val="tab"/>
      <w:lvlText w:val="•"/>
      <w:rPr>
        <w:color w:val="3370ff"/>
      </w:rPr>
    </w:lvl>
  </w:abstractNum>
  <w:abstractNum w:abstractNumId="1337078">
    <w:lvl>
      <w:numFmt w:val="bullet"/>
      <w:suff w:val="tab"/>
      <w:lvlText w:val="•"/>
      <w:rPr>
        <w:color w:val="3370ff"/>
      </w:rPr>
    </w:lvl>
  </w:abstractNum>
  <w:abstractNum w:abstractNumId="1337079">
    <w:lvl>
      <w:numFmt w:val="bullet"/>
      <w:suff w:val="tab"/>
      <w:lvlText w:val="•"/>
      <w:rPr>
        <w:color w:val="3370ff"/>
      </w:rPr>
    </w:lvl>
  </w:abstractNum>
  <w:abstractNum w:abstractNumId="1337080">
    <w:lvl>
      <w:numFmt w:val="bullet"/>
      <w:suff w:val="tab"/>
      <w:lvlText w:val="•"/>
      <w:rPr>
        <w:color w:val="3370ff"/>
      </w:rPr>
    </w:lvl>
  </w:abstractNum>
  <w:abstractNum w:abstractNumId="1337081">
    <w:lvl>
      <w:numFmt w:val="bullet"/>
      <w:suff w:val="tab"/>
      <w:lvlText w:val="•"/>
      <w:rPr>
        <w:color w:val="3370ff"/>
      </w:rPr>
    </w:lvl>
  </w:abstractNum>
  <w:abstractNum w:abstractNumId="1337082">
    <w:lvl>
      <w:numFmt w:val="bullet"/>
      <w:suff w:val="tab"/>
      <w:lvlText w:val="•"/>
      <w:rPr>
        <w:color w:val="3370ff"/>
      </w:rPr>
    </w:lvl>
  </w:abstractNum>
  <w:abstractNum w:abstractNumId="1337083">
    <w:lvl>
      <w:numFmt w:val="bullet"/>
      <w:suff w:val="tab"/>
      <w:lvlText w:val="•"/>
      <w:rPr>
        <w:color w:val="3370ff"/>
      </w:rPr>
    </w:lvl>
  </w:abstractNum>
  <w:num w:numId="1">
    <w:abstractNumId w:val="1336999"/>
  </w:num>
  <w:num w:numId="2">
    <w:abstractNumId w:val="1337000"/>
  </w:num>
  <w:num w:numId="3">
    <w:abstractNumId w:val="1337001"/>
  </w:num>
  <w:num w:numId="4">
    <w:abstractNumId w:val="1337002"/>
  </w:num>
  <w:num w:numId="5">
    <w:abstractNumId w:val="1337003"/>
  </w:num>
  <w:num w:numId="6">
    <w:abstractNumId w:val="1337004"/>
  </w:num>
  <w:num w:numId="7">
    <w:abstractNumId w:val="1337005"/>
  </w:num>
  <w:num w:numId="8">
    <w:abstractNumId w:val="1337006"/>
  </w:num>
  <w:num w:numId="9">
    <w:abstractNumId w:val="1337007"/>
  </w:num>
  <w:num w:numId="10">
    <w:abstractNumId w:val="1337008"/>
  </w:num>
  <w:num w:numId="11">
    <w:abstractNumId w:val="1337009"/>
  </w:num>
  <w:num w:numId="12">
    <w:abstractNumId w:val="1337010"/>
  </w:num>
  <w:num w:numId="13">
    <w:abstractNumId w:val="1337011"/>
  </w:num>
  <w:num w:numId="14">
    <w:abstractNumId w:val="1337012"/>
  </w:num>
  <w:num w:numId="15">
    <w:abstractNumId w:val="1337013"/>
  </w:num>
  <w:num w:numId="16">
    <w:abstractNumId w:val="1337014"/>
  </w:num>
  <w:num w:numId="17">
    <w:abstractNumId w:val="1337015"/>
  </w:num>
  <w:num w:numId="18">
    <w:abstractNumId w:val="1337016"/>
  </w:num>
  <w:num w:numId="19">
    <w:abstractNumId w:val="1337017"/>
  </w:num>
  <w:num w:numId="20">
    <w:abstractNumId w:val="1337018"/>
  </w:num>
  <w:num w:numId="21">
    <w:abstractNumId w:val="1337019"/>
  </w:num>
  <w:num w:numId="22">
    <w:abstractNumId w:val="1337020"/>
  </w:num>
  <w:num w:numId="23">
    <w:abstractNumId w:val="1337021"/>
  </w:num>
  <w:num w:numId="24">
    <w:abstractNumId w:val="1337022"/>
  </w:num>
  <w:num w:numId="25">
    <w:abstractNumId w:val="1337023"/>
  </w:num>
  <w:num w:numId="26">
    <w:abstractNumId w:val="1337024"/>
  </w:num>
  <w:num w:numId="27">
    <w:abstractNumId w:val="1337025"/>
  </w:num>
  <w:num w:numId="28">
    <w:abstractNumId w:val="1337026"/>
  </w:num>
  <w:num w:numId="29">
    <w:abstractNumId w:val="1337027"/>
  </w:num>
  <w:num w:numId="30">
    <w:abstractNumId w:val="1337028"/>
  </w:num>
  <w:num w:numId="31">
    <w:abstractNumId w:val="1337029"/>
  </w:num>
  <w:num w:numId="32">
    <w:abstractNumId w:val="1337030"/>
  </w:num>
  <w:num w:numId="33">
    <w:abstractNumId w:val="1337031"/>
  </w:num>
  <w:num w:numId="34">
    <w:abstractNumId w:val="1337032"/>
  </w:num>
  <w:num w:numId="35">
    <w:abstractNumId w:val="1337033"/>
  </w:num>
  <w:num w:numId="36">
    <w:abstractNumId w:val="1337034"/>
  </w:num>
  <w:num w:numId="37">
    <w:abstractNumId w:val="1337035"/>
  </w:num>
  <w:num w:numId="38">
    <w:abstractNumId w:val="1337036"/>
  </w:num>
  <w:num w:numId="39">
    <w:abstractNumId w:val="1337037"/>
  </w:num>
  <w:num w:numId="40">
    <w:abstractNumId w:val="1337038"/>
  </w:num>
  <w:num w:numId="41">
    <w:abstractNumId w:val="1337039"/>
  </w:num>
  <w:num w:numId="42">
    <w:abstractNumId w:val="1337040"/>
  </w:num>
  <w:num w:numId="43">
    <w:abstractNumId w:val="1337041"/>
  </w:num>
  <w:num w:numId="44">
    <w:abstractNumId w:val="1337042"/>
  </w:num>
  <w:num w:numId="45">
    <w:abstractNumId w:val="1337043"/>
  </w:num>
  <w:num w:numId="46">
    <w:abstractNumId w:val="1337044"/>
  </w:num>
  <w:num w:numId="47">
    <w:abstractNumId w:val="1337045"/>
  </w:num>
  <w:num w:numId="48">
    <w:abstractNumId w:val="1337046"/>
  </w:num>
  <w:num w:numId="49">
    <w:abstractNumId w:val="1337047"/>
  </w:num>
  <w:num w:numId="50">
    <w:abstractNumId w:val="1337048"/>
  </w:num>
  <w:num w:numId="51">
    <w:abstractNumId w:val="1337049"/>
  </w:num>
  <w:num w:numId="52">
    <w:abstractNumId w:val="1337050"/>
  </w:num>
  <w:num w:numId="53">
    <w:abstractNumId w:val="1337051"/>
  </w:num>
  <w:num w:numId="54">
    <w:abstractNumId w:val="1337052"/>
  </w:num>
  <w:num w:numId="55">
    <w:abstractNumId w:val="1337053"/>
  </w:num>
  <w:num w:numId="56">
    <w:abstractNumId w:val="1337054"/>
  </w:num>
  <w:num w:numId="57">
    <w:abstractNumId w:val="1337055"/>
  </w:num>
  <w:num w:numId="58">
    <w:abstractNumId w:val="1337056"/>
  </w:num>
  <w:num w:numId="59">
    <w:abstractNumId w:val="1337057"/>
  </w:num>
  <w:num w:numId="60">
    <w:abstractNumId w:val="1337058"/>
  </w:num>
  <w:num w:numId="61">
    <w:abstractNumId w:val="1337059"/>
  </w:num>
  <w:num w:numId="62">
    <w:abstractNumId w:val="1337060"/>
  </w:num>
  <w:num w:numId="63">
    <w:abstractNumId w:val="1337061"/>
  </w:num>
  <w:num w:numId="64">
    <w:abstractNumId w:val="1337062"/>
  </w:num>
  <w:num w:numId="65">
    <w:abstractNumId w:val="1337063"/>
  </w:num>
  <w:num w:numId="66">
    <w:abstractNumId w:val="1337064"/>
  </w:num>
  <w:num w:numId="67">
    <w:abstractNumId w:val="1337065"/>
  </w:num>
  <w:num w:numId="68">
    <w:abstractNumId w:val="1337066"/>
  </w:num>
  <w:num w:numId="69">
    <w:abstractNumId w:val="1337067"/>
  </w:num>
  <w:num w:numId="70">
    <w:abstractNumId w:val="1337068"/>
  </w:num>
  <w:num w:numId="71">
    <w:abstractNumId w:val="1337069"/>
  </w:num>
  <w:num w:numId="72">
    <w:abstractNumId w:val="1337070"/>
  </w:num>
  <w:num w:numId="73">
    <w:abstractNumId w:val="1337071"/>
  </w:num>
  <w:num w:numId="74">
    <w:abstractNumId w:val="1337072"/>
  </w:num>
  <w:num w:numId="75">
    <w:abstractNumId w:val="1337073"/>
  </w:num>
  <w:num w:numId="76">
    <w:abstractNumId w:val="1337074"/>
  </w:num>
  <w:num w:numId="77">
    <w:abstractNumId w:val="1337075"/>
  </w:num>
  <w:num w:numId="78">
    <w:abstractNumId w:val="1337076"/>
  </w:num>
  <w:num w:numId="79">
    <w:abstractNumId w:val="1337077"/>
  </w:num>
  <w:num w:numId="80">
    <w:abstractNumId w:val="1337078"/>
  </w:num>
  <w:num w:numId="81">
    <w:abstractNumId w:val="1337079"/>
  </w:num>
  <w:num w:numId="82">
    <w:abstractNumId w:val="1337080"/>
  </w:num>
  <w:num w:numId="83">
    <w:abstractNumId w:val="1337081"/>
  </w:num>
  <w:num w:numId="84">
    <w:abstractNumId w:val="1337082"/>
  </w:num>
  <w:num w:numId="85">
    <w:abstractNumId w:val="1337083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2026-01-24T23:30:41Z</dcterms:created>
  <dc:creator>Apache POI</dc:creator>
</cp:coreProperties>
</file>