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《NAC原生公链资产退出综合法典》（宪法完整版）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版本号：</w:t>
      </w:r>
      <w:r>
        <w:rPr>
          <w:rFonts w:eastAsia="等线" w:ascii="Arial" w:cs="Arial" w:hAnsi="Arial"/>
          <w:sz w:val="22"/>
        </w:rPr>
        <w:t>3.0.0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生效日期：</w:t>
      </w:r>
      <w:r>
        <w:rPr>
          <w:rFonts w:eastAsia="等线" w:ascii="Arial" w:cs="Arial" w:hAnsi="Arial"/>
          <w:sz w:val="22"/>
        </w:rPr>
        <w:t>待XIC持有者超级多数治理投票通过后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制定机构：</w:t>
      </w:r>
      <w:r>
        <w:rPr>
          <w:rFonts w:eastAsia="等线" w:ascii="Arial" w:cs="Arial" w:hAnsi="Arial"/>
          <w:sz w:val="22"/>
        </w:rPr>
        <w:t>NAC公链治理委员会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法典地位：</w:t>
      </w:r>
      <w:r>
        <w:rPr>
          <w:rFonts w:eastAsia="等线" w:ascii="Arial" w:cs="Arial" w:hAnsi="Arial"/>
          <w:sz w:val="22"/>
        </w:rPr>
        <w:t>本法典为NAC原生公链资产退出活动的最高操作准则，与《资产上链综合法典》及各专项法典共同构成链上宪法体系。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0" w:id="0"/>
      <w:r>
        <w:rPr>
          <w:rFonts w:eastAsia="等线" w:ascii="Arial" w:cs="Arial" w:hAnsi="Arial"/>
          <w:b w:val="true"/>
          <w:sz w:val="32"/>
        </w:rPr>
        <w:t>序章：总则与退出原则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第一条 立法宗旨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为规范真实资产（RWA）在NAC原生公链上的有序退出，保障资产主权完整、衍生权益清晰、价值结算公允，防范系统性风险与套利漏洞，特制定本法典。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第二条 退出定义与种类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资产退出是指已在NAC原生公链上完成原生映射的资产（包括其衍生权益），经合规流程后解除或暂停其链上活跃映射关系的过程。退出分为两种根本类型：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永久性退出</w:t>
      </w:r>
      <w:r>
        <w:rPr>
          <w:rFonts w:eastAsia="等线" w:ascii="Arial" w:cs="Arial" w:hAnsi="Arial"/>
          <w:sz w:val="22"/>
        </w:rPr>
        <w:t>：资产在物理上灭失、法律上消亡、或价值上归零，导致其链上数字映射被永久解除、DNA归档。该资产永不恢复链上状态。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临时性退出</w:t>
      </w:r>
      <w:r>
        <w:rPr>
          <w:rFonts w:eastAsia="等线" w:ascii="Arial" w:cs="Arial" w:hAnsi="Arial"/>
          <w:sz w:val="22"/>
        </w:rPr>
        <w:t>：资产因权属变更（如离婚分割）、司法冻结、重大维修、战略重组等可预期、可逆的原因，暂时解除其链上活跃状态，进入“链上休眠期”。休眠期结束后，资产可按简化流程重新激活上链。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第三条 核心退出原则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主权完整性原则</w:t>
      </w:r>
      <w:r>
        <w:rPr>
          <w:rFonts w:eastAsia="等线" w:ascii="Arial" w:cs="Arial" w:hAnsi="Arial"/>
          <w:sz w:val="22"/>
        </w:rPr>
        <w:t>：资产退出前，必须确保其所有衍生权益代币已全部收回或妥善处置，防止权益悬空。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合规闭环原则</w:t>
      </w:r>
      <w:r>
        <w:rPr>
          <w:rFonts w:eastAsia="等线" w:ascii="Arial" w:cs="Arial" w:hAnsi="Arial"/>
          <w:sz w:val="22"/>
        </w:rPr>
        <w:t>：退出流程需经AI合规引擎全维度校验，确保无未结合规风险。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价值结算原则</w:t>
      </w:r>
      <w:r>
        <w:rPr>
          <w:rFonts w:eastAsia="等线" w:ascii="Arial" w:cs="Arial" w:hAnsi="Arial"/>
          <w:sz w:val="22"/>
        </w:rPr>
        <w:t>：退出涉及XTZH赎回、储备释放、XIC结算等，必须公允透明。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分类处置原则</w:t>
      </w:r>
      <w:r>
        <w:rPr>
          <w:rFonts w:eastAsia="等线" w:ascii="Arial" w:cs="Arial" w:hAnsi="Arial"/>
          <w:sz w:val="22"/>
        </w:rPr>
        <w:t>：严格区分永久性与临时性退出，适用不同流程与数据处置策略。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优先保护权益人原则</w:t>
      </w:r>
      <w:r>
        <w:rPr>
          <w:rFonts w:eastAsia="等线" w:ascii="Arial" w:cs="Arial" w:hAnsi="Arial"/>
          <w:sz w:val="22"/>
        </w:rPr>
        <w:t>：在退出过程中，优先保障衍生权益持有人的知情权与赎回权。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防套利原则</w:t>
      </w:r>
      <w:r>
        <w:rPr>
          <w:rFonts w:eastAsia="等线" w:ascii="Arial" w:cs="Arial" w:hAnsi="Arial"/>
          <w:sz w:val="22"/>
        </w:rPr>
        <w:t>：全流程设置反套利机制，防止价格操纵、虚假退出、恶意拖延等行为。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第一章：退出触发机制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第四条 自行申请退出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资产所有者（OwnerDID）可在满足相应条件下主动发起退出申请，并必须明确申请类型（永久性或临时性）。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永久性退出申请条件：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资产处于“已备案”或“已确权”状态，未处于司法冻结、仲裁状态。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所有基于该资产发行的衍生权益代币已全部收回或销毁。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资产无未结清的链上债务。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最近一次合规评分≥80分。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申请经该资产对应的治理结构同意（如适用）。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保证金冻结</w:t>
      </w:r>
      <w:r>
        <w:rPr>
          <w:rFonts w:eastAsia="等线" w:ascii="Arial" w:cs="Arial" w:hAnsi="Arial"/>
          <w:sz w:val="22"/>
        </w:rPr>
        <w:t>：申请时需冻结预估退出费用150%的XIC作为保证金。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临时性退出申请条件（新增）：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资产处于“已备案”或“已确权”状态。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申请事由属于法定的临时性事由（详见本条附录）。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提供初步证明材料（如离婚协议草案、法院受理案件通知书）。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承诺在休眠期结束后，资产将恢复或重新分配上链。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缴纳休眠期管理费及恢复保证金。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附录：法定临时性退出事由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a. </w:t>
      </w:r>
      <w:r>
        <w:rPr>
          <w:rFonts w:eastAsia="等线" w:ascii="Arial" w:cs="Arial" w:hAnsi="Arial"/>
          <w:b w:val="true"/>
          <w:sz w:val="22"/>
        </w:rPr>
        <w:t>婚姻关系解除（离婚）</w:t>
      </w:r>
      <w:r>
        <w:rPr>
          <w:rFonts w:eastAsia="等线" w:ascii="Arial" w:cs="Arial" w:hAnsi="Arial"/>
          <w:sz w:val="22"/>
        </w:rPr>
        <w:t>：因离婚导致的共同财产分割，需暂时解除链上共有状态。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b. </w:t>
      </w:r>
      <w:r>
        <w:rPr>
          <w:rFonts w:eastAsia="等线" w:ascii="Arial" w:cs="Arial" w:hAnsi="Arial"/>
          <w:b w:val="true"/>
          <w:sz w:val="22"/>
        </w:rPr>
        <w:t>企业合并、分立或重组</w:t>
      </w:r>
      <w:r>
        <w:rPr>
          <w:rFonts w:eastAsia="等线" w:ascii="Arial" w:cs="Arial" w:hAnsi="Arial"/>
          <w:sz w:val="22"/>
        </w:rPr>
        <w:t>：法律主体变更，资产需暂时下链以完成权属转移登记。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c. </w:t>
      </w:r>
      <w:r>
        <w:rPr>
          <w:rFonts w:eastAsia="等线" w:ascii="Arial" w:cs="Arial" w:hAnsi="Arial"/>
          <w:b w:val="true"/>
          <w:sz w:val="22"/>
        </w:rPr>
        <w:t>资产重大升级或维修</w:t>
      </w:r>
      <w:r>
        <w:rPr>
          <w:rFonts w:eastAsia="等线" w:ascii="Arial" w:cs="Arial" w:hAnsi="Arial"/>
          <w:sz w:val="22"/>
        </w:rPr>
        <w:t>：导致资产物理形态或核心功能发生临时性重大变化。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d. </w:t>
      </w:r>
      <w:r>
        <w:rPr>
          <w:rFonts w:eastAsia="等线" w:ascii="Arial" w:cs="Arial" w:hAnsi="Arial"/>
          <w:b w:val="true"/>
          <w:sz w:val="22"/>
        </w:rPr>
        <w:t>司法财产保全</w:t>
      </w:r>
      <w:r>
        <w:rPr>
          <w:rFonts w:eastAsia="等线" w:ascii="Arial" w:cs="Arial" w:hAnsi="Arial"/>
          <w:sz w:val="22"/>
        </w:rPr>
        <w:t>：根据民事诉讼法，为防止资产被转移而申请的保全措施。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e. </w:t>
      </w:r>
      <w:r>
        <w:rPr>
          <w:rFonts w:eastAsia="等线" w:ascii="Arial" w:cs="Arial" w:hAnsi="Arial"/>
          <w:b w:val="true"/>
          <w:sz w:val="22"/>
        </w:rPr>
        <w:t>其他经治理委员会预先批准的可逆情形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第五条 公链强制退出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出现以下情形之一时，公链系统可强制启动资产退出程序，并根据情形性质判定为永久性或临时性退出：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永久性强制退出情形：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物理/法律灭失</w:t>
      </w:r>
      <w:r>
        <w:rPr>
          <w:rFonts w:eastAsia="等线" w:ascii="Arial" w:cs="Arial" w:hAnsi="Arial"/>
          <w:sz w:val="22"/>
        </w:rPr>
        <w:t>：资产因自然灾害、事故完全损毁且无保险覆盖或残值低于估值5%；或因法律程序被国家没收、销毁。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合规永久丧失</w:t>
      </w:r>
      <w:r>
        <w:rPr>
          <w:rFonts w:eastAsia="等线" w:ascii="Arial" w:cs="Arial" w:hAnsi="Arial"/>
          <w:sz w:val="22"/>
        </w:rPr>
        <w:t>：资产被最终司法判决认定为非法，且无法通过整改恢复合规。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价值归零</w:t>
      </w:r>
      <w:r>
        <w:rPr>
          <w:rFonts w:eastAsia="等线" w:ascii="Arial" w:cs="Arial" w:hAnsi="Arial"/>
          <w:sz w:val="22"/>
        </w:rPr>
        <w:t>：AI重估显示资产公允价值持续为零超过365天。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主权人失联且无继受</w:t>
      </w:r>
      <w:r>
        <w:rPr>
          <w:rFonts w:eastAsia="等线" w:ascii="Arial" w:cs="Arial" w:hAnsi="Arial"/>
          <w:sz w:val="22"/>
        </w:rPr>
        <w:t>：资产所有人死亡、被宣告死亡且无法定继承人，或所有人失联超过5年且资产被公告处置。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临时性强制退出情形：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司法诉讼与争议</w:t>
      </w:r>
      <w:r>
        <w:rPr>
          <w:rFonts w:eastAsia="等线" w:ascii="Arial" w:cs="Arial" w:hAnsi="Arial"/>
          <w:sz w:val="22"/>
        </w:rPr>
        <w:t>：资产涉及未决诉讼、仲裁或行政调查，被法院裁定冻结。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重大合规风险</w:t>
      </w:r>
      <w:r>
        <w:rPr>
          <w:rFonts w:eastAsia="等线" w:ascii="Arial" w:cs="Arial" w:hAnsi="Arial"/>
          <w:sz w:val="22"/>
        </w:rPr>
        <w:t>：在定期合规重检中评分连续两次＜60分，进入强制整改期，整改期内资产需下链。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系统性风险隔离</w:t>
      </w:r>
      <w:r>
        <w:rPr>
          <w:rFonts w:eastAsia="等线" w:ascii="Arial" w:cs="Arial" w:hAnsi="Arial"/>
          <w:sz w:val="22"/>
        </w:rPr>
        <w:t>：资产被认定为可能引发系统性风险，经治理委员会投票决定暂时隔离。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技术安全漏洞</w:t>
      </w:r>
      <w:r>
        <w:rPr>
          <w:rFonts w:eastAsia="等线" w:ascii="Arial" w:cs="Arial" w:hAnsi="Arial"/>
          <w:sz w:val="22"/>
        </w:rPr>
        <w:t>：资产依赖的底层技术（如物联网设备）发现重大安全漏洞，需离线修复。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第二章：通用退出流程框架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第六条 流程选择与预检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所有退出流程始于统一的“退出预检”模块。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系统接收退出申请（自行或强制），自动冻结资产链上操作权限。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AI合规引擎进行初步分类判定，确定适用</w:t>
      </w:r>
      <w:r>
        <w:rPr>
          <w:rFonts w:eastAsia="等线" w:ascii="Arial" w:cs="Arial" w:hAnsi="Arial"/>
          <w:b w:val="true"/>
          <w:sz w:val="22"/>
        </w:rPr>
        <w:t>永久性退出流程</w:t>
      </w:r>
      <w:r>
        <w:rPr>
          <w:rFonts w:eastAsia="等线" w:ascii="Arial" w:cs="Arial" w:hAnsi="Arial"/>
          <w:sz w:val="22"/>
        </w:rPr>
        <w:t>或</w:t>
      </w:r>
      <w:r>
        <w:rPr>
          <w:rFonts w:eastAsia="等线" w:ascii="Arial" w:cs="Arial" w:hAnsi="Arial"/>
          <w:b w:val="true"/>
          <w:sz w:val="22"/>
        </w:rPr>
        <w:t>临时性退出流程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向OwnerDID及所有权益持有人发送退出启动通知，公示期为24小时。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第七条 永久性退出通用流程（十二步闭环）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适用于第四条（永久性）、第五条（永久性）触发的退出。核心是</w:t>
      </w:r>
      <w:r>
        <w:rPr>
          <w:rFonts w:eastAsia="等线" w:ascii="Arial" w:cs="Arial" w:hAnsi="Arial"/>
          <w:b w:val="true"/>
          <w:sz w:val="22"/>
        </w:rPr>
        <w:t>资产价值清算、DNA归档、关系永断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AI合规引擎全维度校验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衍生权益代币收回与赎回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XTZH赎回与黄金储备释放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链上债务清算</w:t>
      </w:r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第三方托管解除与资产灭失/处置确认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DNA归档与多组件数据历史化</w:t>
      </w:r>
      <w:r>
        <w:rPr>
          <w:rFonts w:eastAsia="等线" w:ascii="Arial" w:cs="Arial" w:hAnsi="Arial"/>
          <w:sz w:val="22"/>
        </w:rPr>
        <w:t>（非失效，状态变更为“已永久退出-归档”）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链上活跃凭证销毁</w:t>
      </w:r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生成永久退出历史记录NFT</w:t>
      </w:r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费用结算与XIC扣除</w:t>
      </w:r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最终确认与多方签名</w:t>
      </w:r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公示与审计接口更新</w:t>
      </w:r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数据冷存储与长期监控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第八条 临时性退出通用流程（八步闭环）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适用于第四条（临时性）、第五条（临时性）触发的退出。核心是</w:t>
      </w:r>
      <w:r>
        <w:rPr>
          <w:rFonts w:eastAsia="等线" w:ascii="Arial" w:cs="Arial" w:hAnsi="Arial"/>
          <w:b w:val="true"/>
          <w:sz w:val="22"/>
        </w:rPr>
        <w:t>资产休眠、权属待定、可恢复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事由专项合规校验</w:t>
      </w:r>
      <w:r>
        <w:rPr>
          <w:rFonts w:eastAsia="等线" w:ascii="Arial" w:cs="Arial" w:hAnsi="Arial"/>
          <w:sz w:val="22"/>
        </w:rPr>
        <w:t>：AI引擎重点审查申请事由的真实性、法律依据及可逆性。</w:t>
      </w:r>
    </w:p>
    <w:p>
      <w:pPr>
        <w:numPr>
          <w:numId w:val="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衍生权益代币冻结与处置选择</w:t>
      </w:r>
      <w:r>
        <w:rPr>
          <w:rFonts w:eastAsia="等线" w:ascii="Arial" w:cs="Arial" w:hAnsi="Arial"/>
          <w:sz w:val="22"/>
        </w:rPr>
        <w:t>：权益持有人可选择：A) 按估值暂时赎回XTZH；B) 权益代币同步进入“休眠状态”，恢复后自动激活。</w:t>
      </w:r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XTZH与储备的临时处理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4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资产关联的XTZH转入“休眠托管合约”锁定。</w:t>
      </w:r>
    </w:p>
    <w:p>
      <w:pPr>
        <w:numPr>
          <w:numId w:val="4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对应黄金储备转为低风险配置（如短期国债），收益计入托管合约。</w:t>
      </w:r>
    </w:p>
    <w:p>
      <w:pPr>
        <w:numPr>
          <w:numId w:val="4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链上债务协商冻结</w:t>
      </w:r>
      <w:r>
        <w:rPr>
          <w:rFonts w:eastAsia="等线" w:ascii="Arial" w:cs="Arial" w:hAnsi="Arial"/>
          <w:sz w:val="22"/>
        </w:rPr>
        <w:t>：与债权人达成休眠期债务利息暂停或调整协议。</w:t>
      </w:r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DNA状态更新与多组件休眠标记</w:t>
      </w:r>
      <w:r>
        <w:rPr>
          <w:rFonts w:eastAsia="等线" w:ascii="Arial" w:cs="Arial" w:hAnsi="Arial"/>
          <w:sz w:val="22"/>
        </w:rPr>
        <w:t>：DNA状态变更为“临时退出-休眠”，各存储组件建立休眠快照，停止活跃数据更新。</w:t>
      </w:r>
    </w:p>
    <w:p>
      <w:pPr>
        <w:numPr>
          <w:numId w:val="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休眠期管理合约部署</w:t>
      </w:r>
      <w:r>
        <w:rPr>
          <w:rFonts w:eastAsia="等线" w:ascii="Arial" w:cs="Arial" w:hAnsi="Arial"/>
          <w:sz w:val="22"/>
        </w:rPr>
        <w:t>：部署管理合约，明确休眠期限、恢复条件、管理费扣除规则。</w:t>
      </w:r>
    </w:p>
    <w:p>
      <w:pPr>
        <w:numPr>
          <w:numId w:val="5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进入休眠状态与公示</w:t>
      </w:r>
    </w:p>
    <w:p>
      <w:pPr>
        <w:numPr>
          <w:numId w:val="5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休眠期监控与预警</w:t>
      </w:r>
      <w:r>
        <w:rPr>
          <w:rFonts w:eastAsia="等线" w:ascii="Arial" w:cs="Arial" w:hAnsi="Arial"/>
          <w:sz w:val="22"/>
        </w:rPr>
        <w:t>：系统监控休眠期限及恢复条件触发点。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第九条 恢复流程（针对临时性退出）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当休眠期结束或恢复条件达成时，触发恢复流程。</w:t>
      </w:r>
    </w:p>
    <w:p>
      <w:pPr>
        <w:numPr>
          <w:numId w:val="5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恢复申请与校验</w:t>
      </w:r>
      <w:r>
        <w:rPr>
          <w:rFonts w:eastAsia="等线" w:ascii="Arial" w:cs="Arial" w:hAnsi="Arial"/>
          <w:sz w:val="22"/>
        </w:rPr>
        <w:t>：由新的或原权利人申请，验证恢复条件。</w:t>
      </w:r>
    </w:p>
    <w:p>
      <w:pPr>
        <w:numPr>
          <w:numId w:val="5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资产重新估值与确权</w:t>
      </w:r>
      <w:r>
        <w:rPr>
          <w:rFonts w:eastAsia="等线" w:ascii="Arial" w:cs="Arial" w:hAnsi="Arial"/>
          <w:sz w:val="22"/>
        </w:rPr>
        <w:t>：根据休眠期后的情况，进行AI重新估值与权属确认。</w:t>
      </w:r>
    </w:p>
    <w:p>
      <w:pPr>
        <w:numPr>
          <w:numId w:val="5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激活休眠资源</w:t>
      </w:r>
      <w:r>
        <w:rPr>
          <w:rFonts w:eastAsia="等线" w:ascii="Arial" w:cs="Arial" w:hAnsi="Arial"/>
          <w:sz w:val="22"/>
        </w:rPr>
        <w:t>：解锁托管的XTZH，调整黄金储备，激活权益代币。</w:t>
      </w:r>
    </w:p>
    <w:p>
      <w:pPr>
        <w:numPr>
          <w:numId w:val="5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DNA状态更新</w:t>
      </w:r>
      <w:r>
        <w:rPr>
          <w:rFonts w:eastAsia="等线" w:ascii="Arial" w:cs="Arial" w:hAnsi="Arial"/>
          <w:sz w:val="22"/>
        </w:rPr>
        <w:t>：状态从“休眠”变更为“活跃”，同步更新各组件。</w:t>
      </w:r>
    </w:p>
    <w:p>
      <w:pPr>
        <w:numPr>
          <w:numId w:val="5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恢复完成与公示</w:t>
      </w:r>
      <w:r>
        <w:rPr>
          <w:rFonts w:eastAsia="等线" w:ascii="Arial" w:cs="Arial" w:hAnsi="Arial"/>
          <w:sz w:val="22"/>
        </w:rPr>
        <w:t>：资产重新进入链上流通。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第三章：各类情形细则与整合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第十条 自然灾害、事故与灭失（永久性退出）</w:t>
      </w:r>
    </w:p>
    <w:p>
      <w:pPr>
        <w:numPr>
          <w:numId w:val="5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流程归属</w:t>
      </w:r>
      <w:r>
        <w:rPr>
          <w:rFonts w:eastAsia="等线" w:ascii="Arial" w:cs="Arial" w:hAnsi="Arial"/>
          <w:sz w:val="22"/>
        </w:rPr>
        <w:t>：第七条第5步后，直接进入资产灭失确认子流程。</w:t>
      </w:r>
    </w:p>
    <w:p>
      <w:pPr>
        <w:numPr>
          <w:numId w:val="5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整合要点</w:t>
      </w:r>
      <w:r>
        <w:rPr>
          <w:rFonts w:eastAsia="等线" w:ascii="Arial" w:cs="Arial" w:hAnsi="Arial"/>
          <w:sz w:val="22"/>
        </w:rPr>
        <w:t>：需整合保险理赔、残值评估、政府灾害认定等外部数据源，作为退出价值清算的依据。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第十一条 司法诉讼、冻结与争议（临时性退出）</w:t>
      </w:r>
    </w:p>
    <w:p>
      <w:pPr>
        <w:numPr>
          <w:numId w:val="6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流程归属</w:t>
      </w:r>
      <w:r>
        <w:rPr>
          <w:rFonts w:eastAsia="等线" w:ascii="Arial" w:cs="Arial" w:hAnsi="Arial"/>
          <w:sz w:val="22"/>
        </w:rPr>
        <w:t>：适用第八条流程，但休眠期以司法程序为准。</w:t>
      </w:r>
    </w:p>
    <w:p>
      <w:pPr>
        <w:numPr>
          <w:numId w:val="6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整合要点</w:t>
      </w:r>
      <w:r>
        <w:rPr>
          <w:rFonts w:eastAsia="等线" w:ascii="Arial" w:cs="Arial" w:hAnsi="Arial"/>
          <w:sz w:val="22"/>
        </w:rPr>
        <w:t>：在第八条第1步，必须接入法院电子诉讼平台，验证文书真伪；休眠期管理合约与司法判决执行条件绑定。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第十二条 资产所有人死亡、继承与婚姻变动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分类处理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6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继承导致的所有权完全转移</w:t>
      </w:r>
      <w:r>
        <w:rPr>
          <w:rFonts w:eastAsia="等线" w:ascii="Arial" w:cs="Arial" w:hAnsi="Arial"/>
          <w:sz w:val="22"/>
        </w:rPr>
        <w:t>：视为一次“临时性退出”（原所有权休眠）+“新所有权激活”，走简化恢复流程。</w:t>
      </w:r>
    </w:p>
    <w:p>
      <w:pPr>
        <w:numPr>
          <w:numId w:val="6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婚姻离婚财产分割</w:t>
      </w:r>
      <w:r>
        <w:rPr>
          <w:rFonts w:eastAsia="等线" w:ascii="Arial" w:cs="Arial" w:hAnsi="Arial"/>
          <w:sz w:val="22"/>
        </w:rPr>
        <w:t>：</w:t>
      </w:r>
      <w:r>
        <w:rPr>
          <w:rFonts w:eastAsia="等线" w:ascii="Arial" w:cs="Arial" w:hAnsi="Arial"/>
          <w:b w:val="true"/>
          <w:sz w:val="22"/>
        </w:rPr>
        <w:t>强制适用临时性退出流程</w:t>
      </w:r>
      <w:r>
        <w:rPr>
          <w:rFonts w:eastAsia="等线" w:ascii="Arial" w:cs="Arial" w:hAnsi="Arial"/>
          <w:sz w:val="22"/>
        </w:rPr>
        <w:t>。共同财产DNA进入休眠，根据离婚协议或判决，在休眠期内完成分割确权后，为各方新分得的资产份额生成新的子DNA并分别激活。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整合要点</w:t>
      </w:r>
      <w:r>
        <w:rPr>
          <w:rFonts w:eastAsia="等线" w:ascii="Arial" w:cs="Arial" w:hAnsi="Arial"/>
          <w:sz w:val="22"/>
        </w:rPr>
        <w:t>：在流程中集成电子公证书、法院判决书的验真与解析模块。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第十三条 资产属性或价值重大变化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分类处理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6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根本性、不可逆变化</w:t>
      </w:r>
      <w:r>
        <w:rPr>
          <w:rFonts w:eastAsia="等线" w:ascii="Arial" w:cs="Arial" w:hAnsi="Arial"/>
          <w:sz w:val="22"/>
        </w:rPr>
        <w:t>（如土地性质从商业变生态保护，导致价值永久丧失）：适用永久性退出流程。</w:t>
      </w:r>
    </w:p>
    <w:p>
      <w:pPr>
        <w:numPr>
          <w:numId w:val="6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重大但可逆或可适应变化</w:t>
      </w:r>
      <w:r>
        <w:rPr>
          <w:rFonts w:eastAsia="等线" w:ascii="Arial" w:cs="Arial" w:hAnsi="Arial"/>
          <w:sz w:val="22"/>
        </w:rPr>
        <w:t>（如政策暂时限制）：适用临时性退出流程，给予调整期。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整合要点</w:t>
      </w:r>
      <w:r>
        <w:rPr>
          <w:rFonts w:eastAsia="等线" w:ascii="Arial" w:cs="Arial" w:hAnsi="Arial"/>
          <w:sz w:val="22"/>
        </w:rPr>
        <w:t>：AI估值引擎需能识别变化的性质，并触发相应的退出路径建议。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第十四条 技术性、合规性临时隔离</w:t>
      </w:r>
    </w:p>
    <w:p>
      <w:pPr>
        <w:numPr>
          <w:numId w:val="6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流程归属</w:t>
      </w:r>
      <w:r>
        <w:rPr>
          <w:rFonts w:eastAsia="等线" w:ascii="Arial" w:cs="Arial" w:hAnsi="Arial"/>
          <w:sz w:val="22"/>
        </w:rPr>
        <w:t>：直接适用第八条（临时性退出）快速通道。</w:t>
      </w:r>
    </w:p>
    <w:p>
      <w:pPr>
        <w:numPr>
          <w:numId w:val="6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整合要点</w:t>
      </w:r>
      <w:r>
        <w:rPr>
          <w:rFonts w:eastAsia="等线" w:ascii="Arial" w:cs="Arial" w:hAnsi="Arial"/>
          <w:sz w:val="22"/>
        </w:rPr>
        <w:t>：建立与国家安全、技术标准监管机构的直连警报系统，实现自动触发。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第四章：防漏洞与安全保障体系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第十五条 针对永久性退出的防漏洞设计</w:t>
      </w:r>
    </w:p>
    <w:p>
      <w:pPr>
        <w:numPr>
          <w:numId w:val="6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价值操纵防护</w:t>
      </w:r>
      <w:r>
        <w:rPr>
          <w:rFonts w:eastAsia="等线" w:ascii="Arial" w:cs="Arial" w:hAnsi="Arial"/>
          <w:sz w:val="22"/>
        </w:rPr>
        <w:t>：退出前估值采用“时间衰减加权平均”，防止最后一刻操纵。</w:t>
      </w:r>
    </w:p>
    <w:p>
      <w:pPr>
        <w:numPr>
          <w:numId w:val="6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保险欺诈防护</w:t>
      </w:r>
      <w:r>
        <w:rPr>
          <w:rFonts w:eastAsia="等线" w:ascii="Arial" w:cs="Arial" w:hAnsi="Arial"/>
          <w:sz w:val="22"/>
        </w:rPr>
        <w:t>：理赔数据需多源交叉验证，并与历史索赔记录比对。</w:t>
      </w:r>
    </w:p>
    <w:p>
      <w:pPr>
        <w:numPr>
          <w:numId w:val="7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继承欺诈防护</w:t>
      </w:r>
      <w:r>
        <w:rPr>
          <w:rFonts w:eastAsia="等线" w:ascii="Arial" w:cs="Arial" w:hAnsi="Arial"/>
          <w:sz w:val="22"/>
        </w:rPr>
        <w:t>：生物特征（如指纹、人脸）与DID的二次绑定验证。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第十六条 针对临时性退出的防漏洞设计</w:t>
      </w:r>
    </w:p>
    <w:p>
      <w:pPr>
        <w:numPr>
          <w:numId w:val="7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休眠期套利防护</w:t>
      </w:r>
      <w:r>
        <w:rPr>
          <w:rFonts w:eastAsia="等线" w:ascii="Arial" w:cs="Arial" w:hAnsi="Arial"/>
          <w:sz w:val="22"/>
        </w:rPr>
        <w:t>：休眠资产不得作为抵押物，其关联的XTZH在托管合约中不计息或仅计低息。</w:t>
      </w:r>
    </w:p>
    <w:p>
      <w:pPr>
        <w:numPr>
          <w:numId w:val="7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恶意延长休眠防护</w:t>
      </w:r>
      <w:r>
        <w:rPr>
          <w:rFonts w:eastAsia="等线" w:ascii="Arial" w:cs="Arial" w:hAnsi="Arial"/>
          <w:sz w:val="22"/>
        </w:rPr>
        <w:t>：设置最长休眠期限（如5年），超期未恢复则自动转入永久性退出清算程序。</w:t>
      </w:r>
    </w:p>
    <w:p>
      <w:pPr>
        <w:numPr>
          <w:numId w:val="7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恢复欺诈防护</w:t>
      </w:r>
      <w:r>
        <w:rPr>
          <w:rFonts w:eastAsia="等线" w:ascii="Arial" w:cs="Arial" w:hAnsi="Arial"/>
          <w:sz w:val="22"/>
        </w:rPr>
        <w:t>：恢复申请时，必须验证申请人对原链下资产的实际控制权（如通过物联网信号）。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第十七条 共同安全机制</w:t>
      </w:r>
    </w:p>
    <w:p>
      <w:pPr>
        <w:numPr>
          <w:numId w:val="7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全流程多方签名</w:t>
      </w:r>
      <w:r>
        <w:rPr>
          <w:rFonts w:eastAsia="等线" w:ascii="Arial" w:cs="Arial" w:hAnsi="Arial"/>
          <w:sz w:val="22"/>
        </w:rPr>
        <w:t>：关键步骤需资产方、公链治理节点、第三方托管/审计方中的至少两方签名。</w:t>
      </w:r>
    </w:p>
    <w:p>
      <w:pPr>
        <w:numPr>
          <w:numId w:val="7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数据一致性原子操作</w:t>
      </w:r>
      <w:r>
        <w:rPr>
          <w:rFonts w:eastAsia="等线" w:ascii="Arial" w:cs="Arial" w:hAnsi="Arial"/>
          <w:sz w:val="22"/>
        </w:rPr>
        <w:t>：采用改进型两阶段提交，确保链上链下、多组件状态同步成功或全部回滚。</w:t>
      </w:r>
    </w:p>
    <w:p>
      <w:pPr>
        <w:numPr>
          <w:numId w:val="7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不可篡改审计追踪</w:t>
      </w:r>
      <w:r>
        <w:rPr>
          <w:rFonts w:eastAsia="等线" w:ascii="Arial" w:cs="Arial" w:hAnsi="Arial"/>
          <w:sz w:val="22"/>
        </w:rPr>
        <w:t>：所有退出操作日志形成默克尔树，根哈希定期上链存证。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第五章：罚则、争议与附则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第十八条 违规处罚</w:t>
      </w:r>
    </w:p>
    <w:p>
      <w:pPr>
        <w:numPr>
          <w:numId w:val="7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对利用退出流程进行欺诈、洗钱、操纵市场的行为，一经查实，没收全部涉案资产，永久封禁相关DID，并处以涉案金额三倍以上的XIC罚款。</w:t>
      </w:r>
    </w:p>
    <w:p>
      <w:pPr>
        <w:numPr>
          <w:numId w:val="7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对因过失提供不实信息导致退出纠纷的，承担相应的赔偿责任，并记录信用污点。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第十九条 争议解决</w:t>
      </w:r>
    </w:p>
    <w:p>
      <w:pPr>
        <w:numPr>
          <w:numId w:val="7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退出过程中发生争议，默认提交至“NAC链上争议仲裁院”。</w:t>
      </w:r>
    </w:p>
    <w:p>
      <w:pPr>
        <w:numPr>
          <w:numId w:val="8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仲裁院由随机抽取的XIC持有者、领域专家库成员共同组成。</w:t>
      </w:r>
    </w:p>
    <w:p>
      <w:pPr>
        <w:numPr>
          <w:numId w:val="8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仲裁结果由智能合约自动执行。对于临时性退出中的争议，仲裁期间资产维持冻结或休眠状态。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第二十条 法典修订与解释</w:t>
      </w:r>
    </w:p>
    <w:p>
      <w:pPr>
        <w:numPr>
          <w:numId w:val="8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本法典为宪法级文件，修订需经治理委员会提案，并获得全网XIC持有者投票≥75%赞成票通过。</w:t>
      </w:r>
    </w:p>
    <w:p>
      <w:pPr>
        <w:numPr>
          <w:numId w:val="8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本法典由NAC公链治理委员会负责最终解释。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结语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法典作为《NAC原生公链资产上链综合法典》的姊妹篇，共同构成了真实资产在数字世界“生命循环”的完整宪法框架。通过引入“永久性退出”与“临时性退出”的双轨制，本法典不仅严谨处置了资产的终结，更灵活包容了现实世界中资产的复杂变化与过渡状态，体现了链上治理对现实法律与社会关系的深刻理解和精密映射。至此，NAC公链实现了对真实资产数字化全周期的、无漏洞的、合规原生覆盖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整合说明</w:t>
      </w:r>
      <w:r>
        <w:rPr>
          <w:rFonts w:eastAsia="等线" w:ascii="Arial" w:cs="Arial" w:hAnsi="Arial"/>
          <w:sz w:val="22"/>
        </w:rPr>
        <w:t>：本完整版3.0法典，系统性地整合了原法典（2.1版）与补充条例的核心内容，并依据用户指示，关键性地增加了“退出种类”（永久/临时）的顶层设计，明确了“离婚财产分割”等作为临时性退出的法定情形，并将所有退出场景分别纳入两套闭环流程中。结构上更加清晰，逻辑上更为严密，操作性显著增强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1371528">
    <w:lvl>
      <w:numFmt w:val="bullet"/>
      <w:suff w:val="tab"/>
      <w:lvlText w:val="•"/>
      <w:rPr>
        <w:color w:val="3370ff"/>
      </w:rPr>
    </w:lvl>
  </w:abstractNum>
  <w:abstractNum w:abstractNumId="1371529">
    <w:lvl>
      <w:numFmt w:val="bullet"/>
      <w:suff w:val="tab"/>
      <w:lvlText w:val="•"/>
      <w:rPr>
        <w:color w:val="3370ff"/>
      </w:rPr>
    </w:lvl>
  </w:abstractNum>
  <w:abstractNum w:abstractNumId="1371530">
    <w:lvl>
      <w:numFmt w:val="bullet"/>
      <w:suff w:val="tab"/>
      <w:lvlText w:val="•"/>
      <w:rPr>
        <w:color w:val="3370ff"/>
      </w:rPr>
    </w:lvl>
  </w:abstractNum>
  <w:abstractNum w:abstractNumId="1371531">
    <w:lvl>
      <w:numFmt w:val="bullet"/>
      <w:suff w:val="tab"/>
      <w:lvlText w:val="•"/>
      <w:rPr>
        <w:color w:val="3370ff"/>
      </w:rPr>
    </w:lvl>
  </w:abstractNum>
  <w:abstractNum w:abstractNumId="1371532">
    <w:lvl>
      <w:numFmt w:val="bullet"/>
      <w:suff w:val="tab"/>
      <w:lvlText w:val="•"/>
      <w:rPr>
        <w:color w:val="3370ff"/>
      </w:rPr>
    </w:lvl>
  </w:abstractNum>
  <w:abstractNum w:abstractNumId="1371533">
    <w:lvl>
      <w:numFmt w:val="bullet"/>
      <w:suff w:val="tab"/>
      <w:lvlText w:val="•"/>
      <w:rPr>
        <w:color w:val="3370ff"/>
      </w:rPr>
    </w:lvl>
  </w:abstractNum>
  <w:abstractNum w:abstractNumId="1371534">
    <w:lvl>
      <w:numFmt w:val="bullet"/>
      <w:suff w:val="tab"/>
      <w:lvlText w:val="•"/>
      <w:rPr>
        <w:color w:val="3370ff"/>
      </w:rPr>
    </w:lvl>
  </w:abstractNum>
  <w:abstractNum w:abstractNumId="1371535">
    <w:lvl>
      <w:numFmt w:val="bullet"/>
      <w:suff w:val="tab"/>
      <w:lvlText w:val="•"/>
      <w:rPr>
        <w:color w:val="3370ff"/>
      </w:rPr>
    </w:lvl>
  </w:abstractNum>
  <w:abstractNum w:abstractNumId="1371536">
    <w:lvl>
      <w:start w:val="1"/>
      <w:numFmt w:val="decimal"/>
      <w:suff w:val="tab"/>
      <w:lvlText w:val="%1."/>
      <w:rPr>
        <w:color w:val="3370ff"/>
      </w:rPr>
    </w:lvl>
  </w:abstractNum>
  <w:abstractNum w:abstractNumId="1371537">
    <w:lvl>
      <w:start w:val="2"/>
      <w:numFmt w:val="decimal"/>
      <w:suff w:val="tab"/>
      <w:lvlText w:val="%1."/>
      <w:rPr>
        <w:color w:val="3370ff"/>
      </w:rPr>
    </w:lvl>
  </w:abstractNum>
  <w:abstractNum w:abstractNumId="1371538">
    <w:lvl>
      <w:start w:val="3"/>
      <w:numFmt w:val="decimal"/>
      <w:suff w:val="tab"/>
      <w:lvlText w:val="%1."/>
      <w:rPr>
        <w:color w:val="3370ff"/>
      </w:rPr>
    </w:lvl>
  </w:abstractNum>
  <w:abstractNum w:abstractNumId="1371539">
    <w:lvl>
      <w:start w:val="4"/>
      <w:numFmt w:val="decimal"/>
      <w:suff w:val="tab"/>
      <w:lvlText w:val="%1."/>
      <w:rPr>
        <w:color w:val="3370ff"/>
      </w:rPr>
    </w:lvl>
  </w:abstractNum>
  <w:abstractNum w:abstractNumId="1371540">
    <w:lvl>
      <w:start w:val="5"/>
      <w:numFmt w:val="decimal"/>
      <w:suff w:val="tab"/>
      <w:lvlText w:val="%1."/>
      <w:rPr>
        <w:color w:val="3370ff"/>
      </w:rPr>
    </w:lvl>
  </w:abstractNum>
  <w:abstractNum w:abstractNumId="1371541">
    <w:lvl>
      <w:start w:val="6"/>
      <w:numFmt w:val="decimal"/>
      <w:suff w:val="tab"/>
      <w:lvlText w:val="%1."/>
      <w:rPr>
        <w:color w:val="3370ff"/>
      </w:rPr>
    </w:lvl>
  </w:abstractNum>
  <w:abstractNum w:abstractNumId="1371542">
    <w:lvl>
      <w:start w:val="1"/>
      <w:numFmt w:val="decimal"/>
      <w:suff w:val="tab"/>
      <w:lvlText w:val="%1."/>
      <w:rPr>
        <w:color w:val="3370ff"/>
      </w:rPr>
    </w:lvl>
  </w:abstractNum>
  <w:abstractNum w:abstractNumId="1371543">
    <w:lvl>
      <w:start w:val="2"/>
      <w:numFmt w:val="decimal"/>
      <w:suff w:val="tab"/>
      <w:lvlText w:val="%1."/>
      <w:rPr>
        <w:color w:val="3370ff"/>
      </w:rPr>
    </w:lvl>
  </w:abstractNum>
  <w:abstractNum w:abstractNumId="1371544">
    <w:lvl>
      <w:start w:val="3"/>
      <w:numFmt w:val="decimal"/>
      <w:suff w:val="tab"/>
      <w:lvlText w:val="%1."/>
      <w:rPr>
        <w:color w:val="3370ff"/>
      </w:rPr>
    </w:lvl>
  </w:abstractNum>
  <w:abstractNum w:abstractNumId="1371545">
    <w:lvl>
      <w:start w:val="4"/>
      <w:numFmt w:val="decimal"/>
      <w:suff w:val="tab"/>
      <w:lvlText w:val="%1."/>
      <w:rPr>
        <w:color w:val="3370ff"/>
      </w:rPr>
    </w:lvl>
  </w:abstractNum>
  <w:abstractNum w:abstractNumId="1371546">
    <w:lvl>
      <w:start w:val="5"/>
      <w:numFmt w:val="decimal"/>
      <w:suff w:val="tab"/>
      <w:lvlText w:val="%1."/>
      <w:rPr>
        <w:color w:val="3370ff"/>
      </w:rPr>
    </w:lvl>
  </w:abstractNum>
  <w:abstractNum w:abstractNumId="1371547">
    <w:lvl>
      <w:start w:val="1"/>
      <w:numFmt w:val="decimal"/>
      <w:suff w:val="tab"/>
      <w:lvlText w:val="%1."/>
      <w:rPr>
        <w:color w:val="3370ff"/>
      </w:rPr>
    </w:lvl>
  </w:abstractNum>
  <w:abstractNum w:abstractNumId="1371548">
    <w:lvl>
      <w:start w:val="2"/>
      <w:numFmt w:val="decimal"/>
      <w:suff w:val="tab"/>
      <w:lvlText w:val="%1."/>
      <w:rPr>
        <w:color w:val="3370ff"/>
      </w:rPr>
    </w:lvl>
  </w:abstractNum>
  <w:abstractNum w:abstractNumId="1371549">
    <w:lvl>
      <w:start w:val="3"/>
      <w:numFmt w:val="decimal"/>
      <w:suff w:val="tab"/>
      <w:lvlText w:val="%1."/>
      <w:rPr>
        <w:color w:val="3370ff"/>
      </w:rPr>
    </w:lvl>
  </w:abstractNum>
  <w:abstractNum w:abstractNumId="1371550">
    <w:lvl>
      <w:start w:val="4"/>
      <w:numFmt w:val="decimal"/>
      <w:suff w:val="tab"/>
      <w:lvlText w:val="%1."/>
      <w:rPr>
        <w:color w:val="3370ff"/>
      </w:rPr>
    </w:lvl>
  </w:abstractNum>
  <w:abstractNum w:abstractNumId="1371551">
    <w:lvl>
      <w:start w:val="1"/>
      <w:numFmt w:val="decimal"/>
      <w:suff w:val="tab"/>
      <w:lvlText w:val="%1."/>
      <w:rPr>
        <w:color w:val="3370ff"/>
      </w:rPr>
    </w:lvl>
  </w:abstractNum>
  <w:abstractNum w:abstractNumId="1371552">
    <w:lvl>
      <w:start w:val="2"/>
      <w:numFmt w:val="decimal"/>
      <w:suff w:val="tab"/>
      <w:lvlText w:val="%1."/>
      <w:rPr>
        <w:color w:val="3370ff"/>
      </w:rPr>
    </w:lvl>
  </w:abstractNum>
  <w:abstractNum w:abstractNumId="1371553">
    <w:lvl>
      <w:start w:val="3"/>
      <w:numFmt w:val="decimal"/>
      <w:suff w:val="tab"/>
      <w:lvlText w:val="%1."/>
      <w:rPr>
        <w:color w:val="3370ff"/>
      </w:rPr>
    </w:lvl>
  </w:abstractNum>
  <w:abstractNum w:abstractNumId="1371554">
    <w:lvl>
      <w:start w:val="4"/>
      <w:numFmt w:val="decimal"/>
      <w:suff w:val="tab"/>
      <w:lvlText w:val="%1."/>
      <w:rPr>
        <w:color w:val="3370ff"/>
      </w:rPr>
    </w:lvl>
  </w:abstractNum>
  <w:abstractNum w:abstractNumId="1371555">
    <w:lvl>
      <w:start w:val="1"/>
      <w:numFmt w:val="decimal"/>
      <w:suff w:val="tab"/>
      <w:lvlText w:val="%1."/>
      <w:rPr>
        <w:color w:val="3370ff"/>
      </w:rPr>
    </w:lvl>
  </w:abstractNum>
  <w:abstractNum w:abstractNumId="1371556">
    <w:lvl>
      <w:start w:val="2"/>
      <w:numFmt w:val="decimal"/>
      <w:suff w:val="tab"/>
      <w:lvlText w:val="%1."/>
      <w:rPr>
        <w:color w:val="3370ff"/>
      </w:rPr>
    </w:lvl>
  </w:abstractNum>
  <w:abstractNum w:abstractNumId="1371557">
    <w:lvl>
      <w:start w:val="3"/>
      <w:numFmt w:val="decimal"/>
      <w:suff w:val="tab"/>
      <w:lvlText w:val="%1."/>
      <w:rPr>
        <w:color w:val="3370ff"/>
      </w:rPr>
    </w:lvl>
  </w:abstractNum>
  <w:abstractNum w:abstractNumId="1371558">
    <w:lvl>
      <w:start w:val="1"/>
      <w:numFmt w:val="decimal"/>
      <w:suff w:val="tab"/>
      <w:lvlText w:val="%1."/>
      <w:rPr>
        <w:color w:val="3370ff"/>
      </w:rPr>
    </w:lvl>
  </w:abstractNum>
  <w:abstractNum w:abstractNumId="1371559">
    <w:lvl>
      <w:start w:val="2"/>
      <w:numFmt w:val="decimal"/>
      <w:suff w:val="tab"/>
      <w:lvlText w:val="%1."/>
      <w:rPr>
        <w:color w:val="3370ff"/>
      </w:rPr>
    </w:lvl>
  </w:abstractNum>
  <w:abstractNum w:abstractNumId="1371560">
    <w:lvl>
      <w:start w:val="3"/>
      <w:numFmt w:val="decimal"/>
      <w:suff w:val="tab"/>
      <w:lvlText w:val="%1."/>
      <w:rPr>
        <w:color w:val="3370ff"/>
      </w:rPr>
    </w:lvl>
  </w:abstractNum>
  <w:abstractNum w:abstractNumId="1371561">
    <w:lvl>
      <w:start w:val="4"/>
      <w:numFmt w:val="decimal"/>
      <w:suff w:val="tab"/>
      <w:lvlText w:val="%1."/>
      <w:rPr>
        <w:color w:val="3370ff"/>
      </w:rPr>
    </w:lvl>
  </w:abstractNum>
  <w:abstractNum w:abstractNumId="1371562">
    <w:lvl>
      <w:start w:val="5"/>
      <w:numFmt w:val="decimal"/>
      <w:suff w:val="tab"/>
      <w:lvlText w:val="%1."/>
      <w:rPr>
        <w:color w:val="3370ff"/>
      </w:rPr>
    </w:lvl>
  </w:abstractNum>
  <w:abstractNum w:abstractNumId="1371563">
    <w:lvl>
      <w:start w:val="6"/>
      <w:numFmt w:val="decimal"/>
      <w:suff w:val="tab"/>
      <w:lvlText w:val="%1."/>
      <w:rPr>
        <w:color w:val="3370ff"/>
      </w:rPr>
    </w:lvl>
  </w:abstractNum>
  <w:abstractNum w:abstractNumId="1371564">
    <w:lvl>
      <w:start w:val="7"/>
      <w:numFmt w:val="decimal"/>
      <w:suff w:val="tab"/>
      <w:lvlText w:val="%1."/>
      <w:rPr>
        <w:color w:val="3370ff"/>
      </w:rPr>
    </w:lvl>
  </w:abstractNum>
  <w:abstractNum w:abstractNumId="1371565">
    <w:lvl>
      <w:start w:val="8"/>
      <w:numFmt w:val="decimal"/>
      <w:suff w:val="tab"/>
      <w:lvlText w:val="%1."/>
      <w:rPr>
        <w:color w:val="3370ff"/>
      </w:rPr>
    </w:lvl>
  </w:abstractNum>
  <w:abstractNum w:abstractNumId="1371566">
    <w:lvl>
      <w:start w:val="9"/>
      <w:numFmt w:val="decimal"/>
      <w:suff w:val="tab"/>
      <w:lvlText w:val="%1."/>
      <w:rPr>
        <w:color w:val="3370ff"/>
      </w:rPr>
    </w:lvl>
  </w:abstractNum>
  <w:abstractNum w:abstractNumId="1371567">
    <w:lvl>
      <w:start w:val="10"/>
      <w:numFmt w:val="decimal"/>
      <w:suff w:val="tab"/>
      <w:lvlText w:val="%1."/>
      <w:rPr>
        <w:color w:val="3370ff"/>
      </w:rPr>
    </w:lvl>
  </w:abstractNum>
  <w:abstractNum w:abstractNumId="1371568">
    <w:lvl>
      <w:start w:val="11"/>
      <w:numFmt w:val="decimal"/>
      <w:suff w:val="tab"/>
      <w:lvlText w:val="%1."/>
      <w:rPr>
        <w:color w:val="3370ff"/>
      </w:rPr>
    </w:lvl>
  </w:abstractNum>
  <w:abstractNum w:abstractNumId="1371569">
    <w:lvl>
      <w:start w:val="12"/>
      <w:numFmt w:val="decimal"/>
      <w:suff w:val="tab"/>
      <w:lvlText w:val="%1."/>
      <w:rPr>
        <w:color w:val="3370ff"/>
      </w:rPr>
    </w:lvl>
  </w:abstractNum>
  <w:abstractNum w:abstractNumId="1371570">
    <w:lvl>
      <w:start w:val="1"/>
      <w:numFmt w:val="decimal"/>
      <w:suff w:val="tab"/>
      <w:lvlText w:val="%1."/>
      <w:rPr>
        <w:color w:val="3370ff"/>
      </w:rPr>
    </w:lvl>
  </w:abstractNum>
  <w:abstractNum w:abstractNumId="1371571">
    <w:lvl>
      <w:start w:val="2"/>
      <w:numFmt w:val="decimal"/>
      <w:suff w:val="tab"/>
      <w:lvlText w:val="%1."/>
      <w:rPr>
        <w:color w:val="3370ff"/>
      </w:rPr>
    </w:lvl>
  </w:abstractNum>
  <w:abstractNum w:abstractNumId="1371572">
    <w:lvl>
      <w:start w:val="3"/>
      <w:numFmt w:val="decimal"/>
      <w:suff w:val="tab"/>
      <w:lvlText w:val="%1."/>
      <w:rPr>
        <w:color w:val="3370ff"/>
      </w:rPr>
    </w:lvl>
  </w:abstractNum>
  <w:abstractNum w:abstractNumId="1371573">
    <w:lvl>
      <w:numFmt w:val="bullet"/>
      <w:suff w:val="tab"/>
      <w:lvlText w:val="￮"/>
      <w:rPr>
        <w:color w:val="3370ff"/>
      </w:rPr>
    </w:lvl>
  </w:abstractNum>
  <w:abstractNum w:abstractNumId="1371574">
    <w:lvl>
      <w:numFmt w:val="bullet"/>
      <w:suff w:val="tab"/>
      <w:lvlText w:val="￮"/>
      <w:rPr>
        <w:color w:val="3370ff"/>
      </w:rPr>
    </w:lvl>
  </w:abstractNum>
  <w:abstractNum w:abstractNumId="1371575">
    <w:lvl>
      <w:start w:val="4"/>
      <w:numFmt w:val="decimal"/>
      <w:suff w:val="tab"/>
      <w:lvlText w:val="%1."/>
      <w:rPr>
        <w:color w:val="3370ff"/>
      </w:rPr>
    </w:lvl>
  </w:abstractNum>
  <w:abstractNum w:abstractNumId="1371576">
    <w:lvl>
      <w:start w:val="5"/>
      <w:numFmt w:val="decimal"/>
      <w:suff w:val="tab"/>
      <w:lvlText w:val="%1."/>
      <w:rPr>
        <w:color w:val="3370ff"/>
      </w:rPr>
    </w:lvl>
  </w:abstractNum>
  <w:abstractNum w:abstractNumId="1371577">
    <w:lvl>
      <w:start w:val="6"/>
      <w:numFmt w:val="decimal"/>
      <w:suff w:val="tab"/>
      <w:lvlText w:val="%1."/>
      <w:rPr>
        <w:color w:val="3370ff"/>
      </w:rPr>
    </w:lvl>
  </w:abstractNum>
  <w:abstractNum w:abstractNumId="1371578">
    <w:lvl>
      <w:start w:val="7"/>
      <w:numFmt w:val="decimal"/>
      <w:suff w:val="tab"/>
      <w:lvlText w:val="%1."/>
      <w:rPr>
        <w:color w:val="3370ff"/>
      </w:rPr>
    </w:lvl>
  </w:abstractNum>
  <w:abstractNum w:abstractNumId="1371579">
    <w:lvl>
      <w:start w:val="8"/>
      <w:numFmt w:val="decimal"/>
      <w:suff w:val="tab"/>
      <w:lvlText w:val="%1."/>
      <w:rPr>
        <w:color w:val="3370ff"/>
      </w:rPr>
    </w:lvl>
  </w:abstractNum>
  <w:abstractNum w:abstractNumId="1371580">
    <w:lvl>
      <w:start w:val="1"/>
      <w:numFmt w:val="decimal"/>
      <w:suff w:val="tab"/>
      <w:lvlText w:val="%1."/>
      <w:rPr>
        <w:color w:val="3370ff"/>
      </w:rPr>
    </w:lvl>
  </w:abstractNum>
  <w:abstractNum w:abstractNumId="1371581">
    <w:lvl>
      <w:start w:val="2"/>
      <w:numFmt w:val="decimal"/>
      <w:suff w:val="tab"/>
      <w:lvlText w:val="%1."/>
      <w:rPr>
        <w:color w:val="3370ff"/>
      </w:rPr>
    </w:lvl>
  </w:abstractNum>
  <w:abstractNum w:abstractNumId="1371582">
    <w:lvl>
      <w:start w:val="3"/>
      <w:numFmt w:val="decimal"/>
      <w:suff w:val="tab"/>
      <w:lvlText w:val="%1."/>
      <w:rPr>
        <w:color w:val="3370ff"/>
      </w:rPr>
    </w:lvl>
  </w:abstractNum>
  <w:abstractNum w:abstractNumId="1371583">
    <w:lvl>
      <w:start w:val="4"/>
      <w:numFmt w:val="decimal"/>
      <w:suff w:val="tab"/>
      <w:lvlText w:val="%1."/>
      <w:rPr>
        <w:color w:val="3370ff"/>
      </w:rPr>
    </w:lvl>
  </w:abstractNum>
  <w:abstractNum w:abstractNumId="1371584">
    <w:lvl>
      <w:start w:val="5"/>
      <w:numFmt w:val="decimal"/>
      <w:suff w:val="tab"/>
      <w:lvlText w:val="%1."/>
      <w:rPr>
        <w:color w:val="3370ff"/>
      </w:rPr>
    </w:lvl>
  </w:abstractNum>
  <w:abstractNum w:abstractNumId="1371585">
    <w:lvl>
      <w:numFmt w:val="bullet"/>
      <w:suff w:val="tab"/>
      <w:lvlText w:val="•"/>
      <w:rPr>
        <w:color w:val="3370ff"/>
      </w:rPr>
    </w:lvl>
  </w:abstractNum>
  <w:abstractNum w:abstractNumId="1371586">
    <w:lvl>
      <w:numFmt w:val="bullet"/>
      <w:suff w:val="tab"/>
      <w:lvlText w:val="•"/>
      <w:rPr>
        <w:color w:val="3370ff"/>
      </w:rPr>
    </w:lvl>
  </w:abstractNum>
  <w:abstractNum w:abstractNumId="1371587">
    <w:lvl>
      <w:numFmt w:val="bullet"/>
      <w:suff w:val="tab"/>
      <w:lvlText w:val="•"/>
      <w:rPr>
        <w:color w:val="3370ff"/>
      </w:rPr>
    </w:lvl>
  </w:abstractNum>
  <w:abstractNum w:abstractNumId="1371588">
    <w:lvl>
      <w:numFmt w:val="bullet"/>
      <w:suff w:val="tab"/>
      <w:lvlText w:val="•"/>
      <w:rPr>
        <w:color w:val="3370ff"/>
      </w:rPr>
    </w:lvl>
  </w:abstractNum>
  <w:abstractNum w:abstractNumId="1371589">
    <w:lvl>
      <w:numFmt w:val="bullet"/>
      <w:suff w:val="tab"/>
      <w:lvlText w:val="•"/>
      <w:rPr>
        <w:color w:val="3370ff"/>
      </w:rPr>
    </w:lvl>
  </w:abstractNum>
  <w:abstractNum w:abstractNumId="1371590">
    <w:lvl>
      <w:numFmt w:val="bullet"/>
      <w:suff w:val="tab"/>
      <w:lvlText w:val="•"/>
      <w:rPr>
        <w:color w:val="3370ff"/>
      </w:rPr>
    </w:lvl>
  </w:abstractNum>
  <w:abstractNum w:abstractNumId="1371591">
    <w:lvl>
      <w:numFmt w:val="bullet"/>
      <w:suff w:val="tab"/>
      <w:lvlText w:val="•"/>
      <w:rPr>
        <w:color w:val="3370ff"/>
      </w:rPr>
    </w:lvl>
  </w:abstractNum>
  <w:abstractNum w:abstractNumId="1371592">
    <w:lvl>
      <w:numFmt w:val="bullet"/>
      <w:suff w:val="tab"/>
      <w:lvlText w:val="•"/>
      <w:rPr>
        <w:color w:val="3370ff"/>
      </w:rPr>
    </w:lvl>
  </w:abstractNum>
  <w:abstractNum w:abstractNumId="1371593">
    <w:lvl>
      <w:numFmt w:val="bullet"/>
      <w:suff w:val="tab"/>
      <w:lvlText w:val="•"/>
      <w:rPr>
        <w:color w:val="3370ff"/>
      </w:rPr>
    </w:lvl>
  </w:abstractNum>
  <w:abstractNum w:abstractNumId="1371594">
    <w:lvl>
      <w:numFmt w:val="bullet"/>
      <w:suff w:val="tab"/>
      <w:lvlText w:val="•"/>
      <w:rPr>
        <w:color w:val="3370ff"/>
      </w:rPr>
    </w:lvl>
  </w:abstractNum>
  <w:abstractNum w:abstractNumId="1371595">
    <w:lvl>
      <w:numFmt w:val="bullet"/>
      <w:suff w:val="tab"/>
      <w:lvlText w:val="•"/>
      <w:rPr>
        <w:color w:val="3370ff"/>
      </w:rPr>
    </w:lvl>
  </w:abstractNum>
  <w:abstractNum w:abstractNumId="1371596">
    <w:lvl>
      <w:numFmt w:val="bullet"/>
      <w:suff w:val="tab"/>
      <w:lvlText w:val="•"/>
      <w:rPr>
        <w:color w:val="3370ff"/>
      </w:rPr>
    </w:lvl>
  </w:abstractNum>
  <w:abstractNum w:abstractNumId="1371597">
    <w:lvl>
      <w:numFmt w:val="bullet"/>
      <w:suff w:val="tab"/>
      <w:lvlText w:val="•"/>
      <w:rPr>
        <w:color w:val="3370ff"/>
      </w:rPr>
    </w:lvl>
  </w:abstractNum>
  <w:abstractNum w:abstractNumId="1371598">
    <w:lvl>
      <w:numFmt w:val="bullet"/>
      <w:suff w:val="tab"/>
      <w:lvlText w:val="•"/>
      <w:rPr>
        <w:color w:val="3370ff"/>
      </w:rPr>
    </w:lvl>
  </w:abstractNum>
  <w:abstractNum w:abstractNumId="1371599">
    <w:lvl>
      <w:numFmt w:val="bullet"/>
      <w:suff w:val="tab"/>
      <w:lvlText w:val="•"/>
      <w:rPr>
        <w:color w:val="3370ff"/>
      </w:rPr>
    </w:lvl>
  </w:abstractNum>
  <w:abstractNum w:abstractNumId="1371600">
    <w:lvl>
      <w:numFmt w:val="bullet"/>
      <w:suff w:val="tab"/>
      <w:lvlText w:val="•"/>
      <w:rPr>
        <w:color w:val="3370ff"/>
      </w:rPr>
    </w:lvl>
  </w:abstractNum>
  <w:abstractNum w:abstractNumId="1371601">
    <w:lvl>
      <w:numFmt w:val="bullet"/>
      <w:suff w:val="tab"/>
      <w:lvlText w:val="•"/>
      <w:rPr>
        <w:color w:val="3370ff"/>
      </w:rPr>
    </w:lvl>
  </w:abstractNum>
  <w:abstractNum w:abstractNumId="1371602">
    <w:lvl>
      <w:numFmt w:val="bullet"/>
      <w:suff w:val="tab"/>
      <w:lvlText w:val="•"/>
      <w:rPr>
        <w:color w:val="3370ff"/>
      </w:rPr>
    </w:lvl>
  </w:abstractNum>
  <w:abstractNum w:abstractNumId="1371603">
    <w:lvl>
      <w:numFmt w:val="bullet"/>
      <w:suff w:val="tab"/>
      <w:lvlText w:val="•"/>
      <w:rPr>
        <w:color w:val="3370ff"/>
      </w:rPr>
    </w:lvl>
  </w:abstractNum>
  <w:abstractNum w:abstractNumId="1371604">
    <w:lvl>
      <w:numFmt w:val="bullet"/>
      <w:suff w:val="tab"/>
      <w:lvlText w:val="•"/>
      <w:rPr>
        <w:color w:val="3370ff"/>
      </w:rPr>
    </w:lvl>
  </w:abstractNum>
  <w:abstractNum w:abstractNumId="1371605">
    <w:lvl>
      <w:numFmt w:val="bullet"/>
      <w:suff w:val="tab"/>
      <w:lvlText w:val="•"/>
      <w:rPr>
        <w:color w:val="3370ff"/>
      </w:rPr>
    </w:lvl>
  </w:abstractNum>
  <w:abstractNum w:abstractNumId="1371606">
    <w:lvl>
      <w:numFmt w:val="bullet"/>
      <w:suff w:val="tab"/>
      <w:lvlText w:val="•"/>
      <w:rPr>
        <w:color w:val="3370ff"/>
      </w:rPr>
    </w:lvl>
  </w:abstractNum>
  <w:abstractNum w:abstractNumId="1371607">
    <w:lvl>
      <w:numFmt w:val="bullet"/>
      <w:suff w:val="tab"/>
      <w:lvlText w:val="•"/>
      <w:rPr>
        <w:color w:val="3370ff"/>
      </w:rPr>
    </w:lvl>
  </w:abstractNum>
  <w:abstractNum w:abstractNumId="1371608">
    <w:lvl>
      <w:numFmt w:val="bullet"/>
      <w:suff w:val="tab"/>
      <w:lvlText w:val="•"/>
      <w:rPr>
        <w:color w:val="3370ff"/>
      </w:rPr>
    </w:lvl>
  </w:abstractNum>
  <w:abstractNum w:abstractNumId="1371609">
    <w:lvl>
      <w:numFmt w:val="bullet"/>
      <w:suff w:val="tab"/>
      <w:lvlText w:val="•"/>
      <w:rPr>
        <w:color w:val="3370ff"/>
      </w:rPr>
    </w:lvl>
  </w:abstractNum>
  <w:abstractNum w:abstractNumId="1371610">
    <w:lvl>
      <w:numFmt w:val="bullet"/>
      <w:suff w:val="tab"/>
      <w:lvlText w:val="•"/>
      <w:rPr>
        <w:color w:val="3370ff"/>
      </w:rPr>
    </w:lvl>
  </w:abstractNum>
  <w:num w:numId="1">
    <w:abstractNumId w:val="1371528"/>
  </w:num>
  <w:num w:numId="2">
    <w:abstractNumId w:val="1371529"/>
  </w:num>
  <w:num w:numId="3">
    <w:abstractNumId w:val="1371530"/>
  </w:num>
  <w:num w:numId="4">
    <w:abstractNumId w:val="1371531"/>
  </w:num>
  <w:num w:numId="5">
    <w:abstractNumId w:val="1371532"/>
  </w:num>
  <w:num w:numId="6">
    <w:abstractNumId w:val="1371533"/>
  </w:num>
  <w:num w:numId="7">
    <w:abstractNumId w:val="1371534"/>
  </w:num>
  <w:num w:numId="8">
    <w:abstractNumId w:val="1371535"/>
  </w:num>
  <w:num w:numId="9">
    <w:abstractNumId w:val="1371536"/>
  </w:num>
  <w:num w:numId="10">
    <w:abstractNumId w:val="1371537"/>
  </w:num>
  <w:num w:numId="11">
    <w:abstractNumId w:val="1371538"/>
  </w:num>
  <w:num w:numId="12">
    <w:abstractNumId w:val="1371539"/>
  </w:num>
  <w:num w:numId="13">
    <w:abstractNumId w:val="1371540"/>
  </w:num>
  <w:num w:numId="14">
    <w:abstractNumId w:val="1371541"/>
  </w:num>
  <w:num w:numId="15">
    <w:abstractNumId w:val="1371542"/>
  </w:num>
  <w:num w:numId="16">
    <w:abstractNumId w:val="1371543"/>
  </w:num>
  <w:num w:numId="17">
    <w:abstractNumId w:val="1371544"/>
  </w:num>
  <w:num w:numId="18">
    <w:abstractNumId w:val="1371545"/>
  </w:num>
  <w:num w:numId="19">
    <w:abstractNumId w:val="1371546"/>
  </w:num>
  <w:num w:numId="20">
    <w:abstractNumId w:val="1371547"/>
  </w:num>
  <w:num w:numId="21">
    <w:abstractNumId w:val="1371548"/>
  </w:num>
  <w:num w:numId="22">
    <w:abstractNumId w:val="1371549"/>
  </w:num>
  <w:num w:numId="23">
    <w:abstractNumId w:val="1371550"/>
  </w:num>
  <w:num w:numId="24">
    <w:abstractNumId w:val="1371551"/>
  </w:num>
  <w:num w:numId="25">
    <w:abstractNumId w:val="1371552"/>
  </w:num>
  <w:num w:numId="26">
    <w:abstractNumId w:val="1371553"/>
  </w:num>
  <w:num w:numId="27">
    <w:abstractNumId w:val="1371554"/>
  </w:num>
  <w:num w:numId="28">
    <w:abstractNumId w:val="1371555"/>
  </w:num>
  <w:num w:numId="29">
    <w:abstractNumId w:val="1371556"/>
  </w:num>
  <w:num w:numId="30">
    <w:abstractNumId w:val="1371557"/>
  </w:num>
  <w:num w:numId="31">
    <w:abstractNumId w:val="1371558"/>
  </w:num>
  <w:num w:numId="32">
    <w:abstractNumId w:val="1371559"/>
  </w:num>
  <w:num w:numId="33">
    <w:abstractNumId w:val="1371560"/>
  </w:num>
  <w:num w:numId="34">
    <w:abstractNumId w:val="1371561"/>
  </w:num>
  <w:num w:numId="35">
    <w:abstractNumId w:val="1371562"/>
  </w:num>
  <w:num w:numId="36">
    <w:abstractNumId w:val="1371563"/>
  </w:num>
  <w:num w:numId="37">
    <w:abstractNumId w:val="1371564"/>
  </w:num>
  <w:num w:numId="38">
    <w:abstractNumId w:val="1371565"/>
  </w:num>
  <w:num w:numId="39">
    <w:abstractNumId w:val="1371566"/>
  </w:num>
  <w:num w:numId="40">
    <w:abstractNumId w:val="1371567"/>
  </w:num>
  <w:num w:numId="41">
    <w:abstractNumId w:val="1371568"/>
  </w:num>
  <w:num w:numId="42">
    <w:abstractNumId w:val="1371569"/>
  </w:num>
  <w:num w:numId="43">
    <w:abstractNumId w:val="1371570"/>
  </w:num>
  <w:num w:numId="44">
    <w:abstractNumId w:val="1371571"/>
  </w:num>
  <w:num w:numId="45">
    <w:abstractNumId w:val="1371572"/>
  </w:num>
  <w:num w:numId="46">
    <w:abstractNumId w:val="1371573"/>
  </w:num>
  <w:num w:numId="47">
    <w:abstractNumId w:val="1371574"/>
  </w:num>
  <w:num w:numId="48">
    <w:abstractNumId w:val="1371575"/>
  </w:num>
  <w:num w:numId="49">
    <w:abstractNumId w:val="1371576"/>
  </w:num>
  <w:num w:numId="50">
    <w:abstractNumId w:val="1371577"/>
  </w:num>
  <w:num w:numId="51">
    <w:abstractNumId w:val="1371578"/>
  </w:num>
  <w:num w:numId="52">
    <w:abstractNumId w:val="1371579"/>
  </w:num>
  <w:num w:numId="53">
    <w:abstractNumId w:val="1371580"/>
  </w:num>
  <w:num w:numId="54">
    <w:abstractNumId w:val="1371581"/>
  </w:num>
  <w:num w:numId="55">
    <w:abstractNumId w:val="1371582"/>
  </w:num>
  <w:num w:numId="56">
    <w:abstractNumId w:val="1371583"/>
  </w:num>
  <w:num w:numId="57">
    <w:abstractNumId w:val="1371584"/>
  </w:num>
  <w:num w:numId="58">
    <w:abstractNumId w:val="1371585"/>
  </w:num>
  <w:num w:numId="59">
    <w:abstractNumId w:val="1371586"/>
  </w:num>
  <w:num w:numId="60">
    <w:abstractNumId w:val="1371587"/>
  </w:num>
  <w:num w:numId="61">
    <w:abstractNumId w:val="1371588"/>
  </w:num>
  <w:num w:numId="62">
    <w:abstractNumId w:val="1371589"/>
  </w:num>
  <w:num w:numId="63">
    <w:abstractNumId w:val="1371590"/>
  </w:num>
  <w:num w:numId="64">
    <w:abstractNumId w:val="1371591"/>
  </w:num>
  <w:num w:numId="65">
    <w:abstractNumId w:val="1371592"/>
  </w:num>
  <w:num w:numId="66">
    <w:abstractNumId w:val="1371593"/>
  </w:num>
  <w:num w:numId="67">
    <w:abstractNumId w:val="1371594"/>
  </w:num>
  <w:num w:numId="68">
    <w:abstractNumId w:val="1371595"/>
  </w:num>
  <w:num w:numId="69">
    <w:abstractNumId w:val="1371596"/>
  </w:num>
  <w:num w:numId="70">
    <w:abstractNumId w:val="1371597"/>
  </w:num>
  <w:num w:numId="71">
    <w:abstractNumId w:val="1371598"/>
  </w:num>
  <w:num w:numId="72">
    <w:abstractNumId w:val="1371599"/>
  </w:num>
  <w:num w:numId="73">
    <w:abstractNumId w:val="1371600"/>
  </w:num>
  <w:num w:numId="74">
    <w:abstractNumId w:val="1371601"/>
  </w:num>
  <w:num w:numId="75">
    <w:abstractNumId w:val="1371602"/>
  </w:num>
  <w:num w:numId="76">
    <w:abstractNumId w:val="1371603"/>
  </w:num>
  <w:num w:numId="77">
    <w:abstractNumId w:val="1371604"/>
  </w:num>
  <w:num w:numId="78">
    <w:abstractNumId w:val="1371605"/>
  </w:num>
  <w:num w:numId="79">
    <w:abstractNumId w:val="1371606"/>
  </w:num>
  <w:num w:numId="80">
    <w:abstractNumId w:val="1371607"/>
  </w:num>
  <w:num w:numId="81">
    <w:abstractNumId w:val="1371608"/>
  </w:num>
  <w:num w:numId="82">
    <w:abstractNumId w:val="1371609"/>
  </w:num>
  <w:num w:numId="83">
    <w:abstractNumId w:val="1371610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2026-01-24T23:28:23Z</dcterms:created>
  <dc:creator>Apache POI</dc:creator>
</cp:coreProperties>
</file>