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《NAC原生公链链上确权细则法典》（宪法完整版）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序章：确权的宪法地位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链上确权是NAC公链数字主权体系的</w:t>
      </w:r>
      <w:r>
        <w:rPr>
          <w:rFonts w:eastAsia="等线" w:ascii="Arial" w:cs="Arial" w:hAnsi="Arial"/>
          <w:b w:val="true"/>
          <w:sz w:val="22"/>
        </w:rPr>
        <w:t>创世原点</w:t>
      </w:r>
      <w:r>
        <w:rPr>
          <w:rFonts w:eastAsia="等线" w:ascii="Arial" w:cs="Arial" w:hAnsi="Arial"/>
          <w:sz w:val="22"/>
        </w:rPr>
        <w:t>，标志着真实资产在数字世界的</w:t>
      </w:r>
      <w:r>
        <w:rPr>
          <w:rFonts w:eastAsia="等线" w:ascii="Arial" w:cs="Arial" w:hAnsi="Arial"/>
          <w:b w:val="true"/>
          <w:sz w:val="22"/>
        </w:rPr>
        <w:t>原生诞生</w:t>
      </w:r>
      <w:r>
        <w:rPr>
          <w:rFonts w:eastAsia="等线" w:ascii="Arial" w:cs="Arial" w:hAnsi="Arial"/>
          <w:sz w:val="22"/>
        </w:rPr>
        <w:t>。这一过程不是对既有权利的简单映射，而是依据链下可验证的物理/法律事实，在数字维度首次创生具备完备主权属性的原生数字存在。确权所生成的"主权三元组"，构成NAC公链价值互联网的</w:t>
      </w:r>
      <w:r>
        <w:rPr>
          <w:rFonts w:eastAsia="等线" w:ascii="Arial" w:cs="Arial" w:hAnsi="Arial"/>
          <w:b w:val="true"/>
          <w:sz w:val="22"/>
        </w:rPr>
        <w:t>元起点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第一章：总纲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第一条【根本原则】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本细则依据《NAC原生资产主权规则法典》制定，是资产权利在链上诞生环节的</w:t>
      </w:r>
      <w:r>
        <w:rPr>
          <w:rFonts w:eastAsia="等线" w:ascii="Arial" w:cs="Arial" w:hAnsi="Arial"/>
          <w:b w:val="true"/>
          <w:sz w:val="22"/>
        </w:rPr>
        <w:t>宪法执行规范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链上确权特指：在NAC原生公链上，通过法定程序为一个已通过合规与估值校验的资产，创设其</w:t>
      </w:r>
      <w:r>
        <w:rPr>
          <w:rFonts w:eastAsia="等线" w:ascii="Arial" w:cs="Arial" w:hAnsi="Arial"/>
          <w:b w:val="true"/>
          <w:sz w:val="22"/>
        </w:rPr>
        <w:t>独一无二、不可分割、可编程执行</w:t>
      </w:r>
      <w:r>
        <w:rPr>
          <w:rFonts w:eastAsia="等线" w:ascii="Arial" w:cs="Arial" w:hAnsi="Arial"/>
          <w:sz w:val="22"/>
        </w:rPr>
        <w:t>原生数字主权的</w:t>
      </w:r>
      <w:r>
        <w:rPr>
          <w:rFonts w:eastAsia="等线" w:ascii="Arial" w:cs="Arial" w:hAnsi="Arial"/>
          <w:b w:val="true"/>
          <w:sz w:val="22"/>
        </w:rPr>
        <w:t>宪法行为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确权效力来源于对资产"物理-法律-数字"三重锚定事实的</w:t>
      </w:r>
      <w:r>
        <w:rPr>
          <w:rFonts w:eastAsia="等线" w:ascii="Arial" w:cs="Arial" w:hAnsi="Arial"/>
          <w:b w:val="true"/>
          <w:sz w:val="22"/>
        </w:rPr>
        <w:t>链上宪法共识</w:t>
      </w:r>
      <w:r>
        <w:rPr>
          <w:rFonts w:eastAsia="等线" w:ascii="Arial" w:cs="Arial" w:hAnsi="Arial"/>
          <w:sz w:val="22"/>
        </w:rPr>
        <w:t>，其确权凭证具有</w:t>
      </w:r>
      <w:r>
        <w:rPr>
          <w:rFonts w:eastAsia="等线" w:ascii="Arial" w:cs="Arial" w:hAnsi="Arial"/>
          <w:b w:val="true"/>
          <w:sz w:val="22"/>
        </w:rPr>
        <w:t>最高法律技术效力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第二条【确权在十三步闭环中的地位】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链上确权是资产上链十三步闭环中的</w:t>
      </w:r>
      <w:r>
        <w:rPr>
          <w:rFonts w:eastAsia="等线" w:ascii="Arial" w:cs="Arial" w:hAnsi="Arial"/>
          <w:b w:val="true"/>
          <w:sz w:val="22"/>
        </w:rPr>
        <w:t>第五步宪法程序</w:t>
      </w:r>
      <w:r>
        <w:rPr>
          <w:rFonts w:eastAsia="等线" w:ascii="Arial" w:cs="Arial" w:hAnsi="Arial"/>
          <w:sz w:val="22"/>
        </w:rPr>
        <w:t>，是"AI估值"与"XTZH铸造"之间的</w:t>
      </w:r>
      <w:r>
        <w:rPr>
          <w:rFonts w:eastAsia="等线" w:ascii="Arial" w:cs="Arial" w:hAnsi="Arial"/>
          <w:b w:val="true"/>
          <w:sz w:val="22"/>
        </w:rPr>
        <w:t>法定必经环节</w:t>
      </w:r>
      <w:r>
        <w:rPr>
          <w:rFonts w:eastAsia="等线" w:ascii="Arial" w:cs="Arial" w:hAnsi="Arial"/>
          <w:sz w:val="22"/>
        </w:rPr>
        <w:t>，标志着资产从评估对象向链上主权实体的</w:t>
      </w:r>
      <w:r>
        <w:rPr>
          <w:rFonts w:eastAsia="等线" w:ascii="Arial" w:cs="Arial" w:hAnsi="Arial"/>
          <w:b w:val="true"/>
          <w:sz w:val="22"/>
        </w:rPr>
        <w:t>宪法转变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第二章：确权前提条件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第三条【宪法性前提】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资产进入链上确权程序，必须同时满足以下</w:t>
      </w:r>
      <w:r>
        <w:rPr>
          <w:rFonts w:eastAsia="等线" w:ascii="Arial" w:cs="Arial" w:hAnsi="Arial"/>
          <w:b w:val="true"/>
          <w:sz w:val="22"/>
        </w:rPr>
        <w:t>宪法前提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合规终局通过</w:t>
      </w:r>
      <w:r>
        <w:rPr>
          <w:rFonts w:eastAsia="等线" w:ascii="Arial" w:cs="Arial" w:hAnsi="Arial"/>
          <w:sz w:val="22"/>
        </w:rPr>
        <w:t>：已通过AI七层合规检查，取得</w:t>
      </w:r>
      <w:r>
        <w:rPr>
          <w:rFonts w:eastAsia="等线" w:ascii="Arial" w:cs="Arial" w:hAnsi="Arial"/>
          <w:b w:val="true"/>
          <w:sz w:val="22"/>
        </w:rPr>
        <w:t>终局性合规结论</w:t>
      </w:r>
      <w:r>
        <w:rPr>
          <w:rFonts w:eastAsia="等线" w:ascii="Arial" w:cs="Arial" w:hAnsi="Arial"/>
          <w:sz w:val="22"/>
        </w:rPr>
        <w:t>，合规评分≥85分，合规掩码全绿。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估值锁定确认</w:t>
      </w:r>
      <w:r>
        <w:rPr>
          <w:rFonts w:eastAsia="等线" w:ascii="Arial" w:cs="Arial" w:hAnsi="Arial"/>
          <w:sz w:val="22"/>
        </w:rPr>
        <w:t>：已由豆包AI估值引擎完成公允价值计算，生成</w:t>
      </w:r>
      <w:r>
        <w:rPr>
          <w:rFonts w:eastAsia="等线" w:ascii="Arial" w:cs="Arial" w:hAnsi="Arial"/>
          <w:b w:val="true"/>
          <w:sz w:val="22"/>
        </w:rPr>
        <w:t>法定估值报告</w:t>
      </w:r>
      <w:r>
        <w:rPr>
          <w:rFonts w:eastAsia="等线" w:ascii="Arial" w:cs="Arial" w:hAnsi="Arial"/>
          <w:sz w:val="22"/>
        </w:rPr>
        <w:t>，且估值结果已通过双重校准锁定。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主权声明完备</w:t>
      </w:r>
      <w:r>
        <w:rPr>
          <w:rFonts w:eastAsia="等线" w:ascii="Arial" w:cs="Arial" w:hAnsi="Arial"/>
          <w:sz w:val="22"/>
        </w:rPr>
        <w:t>：已按照《主权规则法典》完成主权类型、范围、期限、限制条件的</w:t>
      </w:r>
      <w:r>
        <w:rPr>
          <w:rFonts w:eastAsia="等线" w:ascii="Arial" w:cs="Arial" w:hAnsi="Arial"/>
          <w:b w:val="true"/>
          <w:sz w:val="22"/>
        </w:rPr>
        <w:t>正式声明</w:t>
      </w:r>
      <w:r>
        <w:rPr>
          <w:rFonts w:eastAsia="等线" w:ascii="Arial" w:cs="Arial" w:hAnsi="Arial"/>
          <w:sz w:val="22"/>
        </w:rPr>
        <w:t>，并由OwnerDID签章。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KYC主体适格</w:t>
      </w:r>
      <w:r>
        <w:rPr>
          <w:rFonts w:eastAsia="等线" w:ascii="Arial" w:cs="Arial" w:hAnsi="Arial"/>
          <w:sz w:val="22"/>
        </w:rPr>
        <w:t>：OwnerDID已完成</w:t>
      </w:r>
      <w:r>
        <w:rPr>
          <w:rFonts w:eastAsia="等线" w:ascii="Arial" w:cs="Arial" w:hAnsi="Arial"/>
          <w:b w:val="true"/>
          <w:sz w:val="22"/>
        </w:rPr>
        <w:t>KYC 2级（个人）</w:t>
      </w:r>
      <w:r>
        <w:rPr>
          <w:rFonts w:eastAsia="等线" w:ascii="Arial" w:cs="Arial" w:hAnsi="Arial"/>
          <w:sz w:val="22"/>
        </w:rPr>
        <w:t xml:space="preserve">或 </w:t>
      </w:r>
      <w:r>
        <w:rPr>
          <w:rFonts w:eastAsia="等线" w:ascii="Arial" w:cs="Arial" w:hAnsi="Arial"/>
          <w:b w:val="true"/>
          <w:sz w:val="22"/>
        </w:rPr>
        <w:t>KYC 3级（机构）</w:t>
      </w:r>
      <w:r>
        <w:rPr>
          <w:rFonts w:eastAsia="等线" w:ascii="Arial" w:cs="Arial" w:hAnsi="Arial"/>
          <w:sz w:val="22"/>
        </w:rPr>
        <w:t>验证，且状态有效。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能耗预存到位</w:t>
      </w:r>
      <w:r>
        <w:rPr>
          <w:rFonts w:eastAsia="等线" w:ascii="Arial" w:cs="Arial" w:hAnsi="Arial"/>
          <w:sz w:val="22"/>
        </w:rPr>
        <w:t>：确权所需XIC能耗已</w:t>
      </w:r>
      <w:r>
        <w:rPr>
          <w:rFonts w:eastAsia="等线" w:ascii="Arial" w:cs="Arial" w:hAnsi="Arial"/>
          <w:b w:val="true"/>
          <w:sz w:val="22"/>
        </w:rPr>
        <w:t>足额预存</w:t>
      </w:r>
      <w:r>
        <w:rPr>
          <w:rFonts w:eastAsia="等线" w:ascii="Arial" w:cs="Arial" w:hAnsi="Arial"/>
          <w:sz w:val="22"/>
        </w:rPr>
        <w:t>于指定账户。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锚定证据就绪</w:t>
      </w:r>
      <w:r>
        <w:rPr>
          <w:rFonts w:eastAsia="等线" w:ascii="Arial" w:cs="Arial" w:hAnsi="Arial"/>
          <w:sz w:val="22"/>
        </w:rPr>
        <w:t>：物理/法律锚定证据已按规定存储，可随时调用验证。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第四条【禁止确权情形】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存在以下任一情形的，</w:t>
      </w:r>
      <w:r>
        <w:rPr>
          <w:rFonts w:eastAsia="等线" w:ascii="Arial" w:cs="Arial" w:hAnsi="Arial"/>
          <w:b w:val="true"/>
          <w:sz w:val="22"/>
        </w:rPr>
        <w:t>禁止进入确权程序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合规结论为"不通过"或处于"待定"状态。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估值结果存在未解决的重大争议。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主权声明内容违反宪法或公序良俗。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OwnerDID处于冻结、注销或限制状态。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资产已被其他司法管辖区查封或冻结。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系统处于宪法熔断状态。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第三章：确权程序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第五条【确权启动】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确权程序由</w:t>
      </w:r>
      <w:r>
        <w:rPr>
          <w:rFonts w:eastAsia="等线" w:ascii="Arial" w:cs="Arial" w:hAnsi="Arial"/>
          <w:b w:val="true"/>
          <w:sz w:val="22"/>
        </w:rPr>
        <w:t>Apollo调度中枢</w:t>
      </w:r>
      <w:r>
        <w:rPr>
          <w:rFonts w:eastAsia="等线" w:ascii="Arial" w:cs="Arial" w:hAnsi="Arial"/>
          <w:sz w:val="22"/>
        </w:rPr>
        <w:t>在验证所有前提条件后</w:t>
      </w:r>
      <w:r>
        <w:rPr>
          <w:rFonts w:eastAsia="等线" w:ascii="Arial" w:cs="Arial" w:hAnsi="Arial"/>
          <w:b w:val="true"/>
          <w:sz w:val="22"/>
        </w:rPr>
        <w:t>自动启动</w:t>
      </w:r>
      <w:r>
        <w:rPr>
          <w:rFonts w:eastAsia="等线" w:ascii="Arial" w:cs="Arial" w:hAnsi="Arial"/>
          <w:sz w:val="22"/>
        </w:rPr>
        <w:t>，无需人工申请。启动时需生成包含所有前置条件的</w:t>
      </w:r>
      <w:r>
        <w:rPr>
          <w:rFonts w:eastAsia="等线" w:ascii="Arial" w:cs="Arial" w:hAnsi="Arial"/>
          <w:b w:val="true"/>
          <w:sz w:val="22"/>
        </w:rPr>
        <w:t>确权启动令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第六条【确权执行主体】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确权程序由以下三方协同执行：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确权智能合约</w:t>
      </w:r>
      <w:r>
        <w:rPr>
          <w:rFonts w:eastAsia="等线" w:ascii="Arial" w:cs="Arial" w:hAnsi="Arial"/>
          <w:sz w:val="22"/>
        </w:rPr>
        <w:t>：宪法执行主体，负责程序性验证与主权生成。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ACC-20协议</w:t>
      </w:r>
      <w:r>
        <w:rPr>
          <w:rFonts w:eastAsia="等线" w:ascii="Arial" w:cs="Arial" w:hAnsi="Arial"/>
          <w:sz w:val="22"/>
        </w:rPr>
        <w:t>：主权载体生成主体，负责TokenID分配。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DNA生成协议</w:t>
      </w:r>
      <w:r>
        <w:rPr>
          <w:rFonts w:eastAsia="等线" w:ascii="Arial" w:cs="Arial" w:hAnsi="Arial"/>
          <w:sz w:val="22"/>
        </w:rPr>
        <w:t>：数字身份生成主体，负责DNA创建。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第七条【确权三步程序】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确权程序必须严格按照以下三步顺序执行：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1" w:id="11"/>
      <w:r>
        <w:rPr>
          <w:rFonts w:eastAsia="等线" w:ascii="Arial" w:cs="Arial" w:hAnsi="Arial"/>
          <w:b w:val="true"/>
          <w:sz w:val="28"/>
        </w:rPr>
        <w:t>第一步：宪法验证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确权合约对以下事项进行</w:t>
      </w:r>
      <w:r>
        <w:rPr>
          <w:rFonts w:eastAsia="等线" w:ascii="Arial" w:cs="Arial" w:hAnsi="Arial"/>
          <w:b w:val="true"/>
          <w:sz w:val="22"/>
        </w:rPr>
        <w:t>最终宪法验证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合规结论的有效性与终局性。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估值报告的锁定状态。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主权声明的合法性与一致性。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KYC状态的实时有效性。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能耗预存的充足性。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2" w:id="12"/>
      <w:r>
        <w:rPr>
          <w:rFonts w:eastAsia="等线" w:ascii="Arial" w:cs="Arial" w:hAnsi="Arial"/>
          <w:b w:val="true"/>
          <w:sz w:val="28"/>
        </w:rPr>
        <w:t>第二步：主权生成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验证通过后，在同一交易区块内</w:t>
      </w:r>
      <w:r>
        <w:rPr>
          <w:rFonts w:eastAsia="等线" w:ascii="Arial" w:cs="Arial" w:hAnsi="Arial"/>
          <w:b w:val="true"/>
          <w:sz w:val="22"/>
        </w:rPr>
        <w:t>原子性执行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分配TokenID</w:t>
      </w:r>
      <w:r>
        <w:rPr>
          <w:rFonts w:eastAsia="等线" w:ascii="Arial" w:cs="Arial" w:hAnsi="Arial"/>
          <w:sz w:val="22"/>
        </w:rPr>
        <w:t>：ACC-20协议分配全球唯一TokenID。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生成DNA</w:t>
      </w:r>
      <w:r>
        <w:rPr>
          <w:rFonts w:eastAsia="等线" w:ascii="Arial" w:cs="Arial" w:hAnsi="Arial"/>
          <w:sz w:val="22"/>
        </w:rPr>
        <w:t>：DNA协议生成AssetDNA与DNACode。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绑定主权</w:t>
      </w:r>
      <w:r>
        <w:rPr>
          <w:rFonts w:eastAsia="等线" w:ascii="Arial" w:cs="Arial" w:hAnsi="Arial"/>
          <w:sz w:val="22"/>
        </w:rPr>
        <w:t>：将OwnerDID、主权声明、TokenID、DNA进行</w:t>
      </w:r>
      <w:r>
        <w:rPr>
          <w:rFonts w:eastAsia="等线" w:ascii="Arial" w:cs="Arial" w:hAnsi="Arial"/>
          <w:b w:val="true"/>
          <w:sz w:val="22"/>
        </w:rPr>
        <w:t>永久性宪法绑定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记录诞生</w:t>
      </w:r>
      <w:r>
        <w:rPr>
          <w:rFonts w:eastAsia="等线" w:ascii="Arial" w:cs="Arial" w:hAnsi="Arial"/>
          <w:sz w:val="22"/>
        </w:rPr>
        <w:t>：在区块链上永久记录</w:t>
      </w:r>
      <w:r>
        <w:rPr>
          <w:rFonts w:eastAsia="等线" w:ascii="Arial" w:cs="Arial" w:hAnsi="Arial"/>
          <w:b w:val="true"/>
          <w:sz w:val="22"/>
        </w:rPr>
        <w:t>主权诞生区块</w:t>
      </w:r>
      <w:r>
        <w:rPr>
          <w:rFonts w:eastAsia="等线" w:ascii="Arial" w:cs="Arial" w:hAnsi="Arial"/>
          <w:sz w:val="22"/>
        </w:rPr>
        <w:t>与时间戳。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3" w:id="13"/>
      <w:r>
        <w:rPr>
          <w:rFonts w:eastAsia="等线" w:ascii="Arial" w:cs="Arial" w:hAnsi="Arial"/>
          <w:b w:val="true"/>
          <w:sz w:val="28"/>
        </w:rPr>
        <w:t>第三步：宪法登记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主权生成后，必须完成以下</w:t>
      </w:r>
      <w:r>
        <w:rPr>
          <w:rFonts w:eastAsia="等线" w:ascii="Arial" w:cs="Arial" w:hAnsi="Arial"/>
          <w:b w:val="true"/>
          <w:sz w:val="22"/>
        </w:rPr>
        <w:t>宪法登记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状态登记</w:t>
      </w:r>
      <w:r>
        <w:rPr>
          <w:rFonts w:eastAsia="等线" w:ascii="Arial" w:cs="Arial" w:hAnsi="Arial"/>
          <w:sz w:val="22"/>
        </w:rPr>
        <w:t>：资产状态登记为"主权已确立"。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组件登记</w:t>
      </w:r>
      <w:r>
        <w:rPr>
          <w:rFonts w:eastAsia="等线" w:ascii="Arial" w:cs="Arial" w:hAnsi="Arial"/>
          <w:sz w:val="22"/>
        </w:rPr>
        <w:t>：向四大存储组件进行主权备案。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凭证签发</w:t>
      </w:r>
      <w:r>
        <w:rPr>
          <w:rFonts w:eastAsia="等线" w:ascii="Arial" w:cs="Arial" w:hAnsi="Arial"/>
          <w:sz w:val="22"/>
        </w:rPr>
        <w:t>：生成链上确权凭证。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第八条【确权时间要求】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确权程序必须在以下时间内完成：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从启动到完成：最长不超过</w:t>
      </w:r>
      <w:r>
        <w:rPr>
          <w:rFonts w:eastAsia="等线" w:ascii="Arial" w:cs="Arial" w:hAnsi="Arial"/>
          <w:b w:val="true"/>
          <w:sz w:val="22"/>
        </w:rPr>
        <w:t>10个区块时间（3秒）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宪法验证阶段：必须在</w:t>
      </w:r>
      <w:r>
        <w:rPr>
          <w:rFonts w:eastAsia="等线" w:ascii="Arial" w:cs="Arial" w:hAnsi="Arial"/>
          <w:b w:val="true"/>
          <w:sz w:val="22"/>
        </w:rPr>
        <w:t>1个区块内</w:t>
      </w:r>
      <w:r>
        <w:rPr>
          <w:rFonts w:eastAsia="等线" w:ascii="Arial" w:cs="Arial" w:hAnsi="Arial"/>
          <w:sz w:val="22"/>
        </w:rPr>
        <w:t>完成。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主权生成阶段：必须在</w:t>
      </w:r>
      <w:r>
        <w:rPr>
          <w:rFonts w:eastAsia="等线" w:ascii="Arial" w:cs="Arial" w:hAnsi="Arial"/>
          <w:b w:val="true"/>
          <w:sz w:val="22"/>
        </w:rPr>
        <w:t>同一交易内</w:t>
      </w:r>
      <w:r>
        <w:rPr>
          <w:rFonts w:eastAsia="等线" w:ascii="Arial" w:cs="Arial" w:hAnsi="Arial"/>
          <w:sz w:val="22"/>
        </w:rPr>
        <w:t>完成。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宪法登记阶段：必须在</w:t>
      </w:r>
      <w:r>
        <w:rPr>
          <w:rFonts w:eastAsia="等线" w:ascii="Arial" w:cs="Arial" w:hAnsi="Arial"/>
          <w:b w:val="true"/>
          <w:sz w:val="22"/>
        </w:rPr>
        <w:t>5个区块内</w:t>
      </w:r>
      <w:r>
        <w:rPr>
          <w:rFonts w:eastAsia="等线" w:ascii="Arial" w:cs="Arial" w:hAnsi="Arial"/>
          <w:sz w:val="22"/>
        </w:rPr>
        <w:t>完成同步。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第四章：确权输出——主权三元组</w:t>
      </w:r>
      <w:bookmarkEnd w:id="1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第九条【主权三元组的宪法定义】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确权成功的唯一法定输出是</w:t>
      </w:r>
      <w:r>
        <w:rPr>
          <w:rFonts w:eastAsia="等线" w:ascii="Arial" w:cs="Arial" w:hAnsi="Arial"/>
          <w:b w:val="true"/>
          <w:sz w:val="22"/>
        </w:rPr>
        <w:t>主权三元组</w:t>
      </w:r>
      <w:r>
        <w:rPr>
          <w:rFonts w:eastAsia="等线" w:ascii="Arial" w:cs="Arial" w:hAnsi="Arial"/>
          <w:sz w:val="22"/>
        </w:rPr>
        <w:t>，由以下三要素构成不可分割的整体：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OwnerDID-主权绑定</w:t>
      </w:r>
      <w:r>
        <w:rPr>
          <w:rFonts w:eastAsia="等线" w:ascii="Arial" w:cs="Arial" w:hAnsi="Arial"/>
          <w:sz w:val="22"/>
        </w:rPr>
        <w:t>：OwnerDID与特定主权声明的</w:t>
      </w:r>
      <w:r>
        <w:rPr>
          <w:rFonts w:eastAsia="等线" w:ascii="Arial" w:cs="Arial" w:hAnsi="Arial"/>
          <w:b w:val="true"/>
          <w:sz w:val="22"/>
        </w:rPr>
        <w:t>永久性宪法绑定</w:t>
      </w:r>
      <w:r>
        <w:rPr>
          <w:rFonts w:eastAsia="等线" w:ascii="Arial" w:cs="Arial" w:hAnsi="Arial"/>
          <w:sz w:val="22"/>
        </w:rPr>
        <w:t>。此绑定意味着在该主权范围内，该DID被公链共识承认为</w:t>
      </w:r>
      <w:r>
        <w:rPr>
          <w:rFonts w:eastAsia="等线" w:ascii="Arial" w:cs="Arial" w:hAnsi="Arial"/>
          <w:b w:val="true"/>
          <w:sz w:val="22"/>
        </w:rPr>
        <w:t>唯一权利来源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TokenID</w:t>
      </w:r>
      <w:r>
        <w:rPr>
          <w:rFonts w:eastAsia="等线" w:ascii="Arial" w:cs="Arial" w:hAnsi="Arial"/>
          <w:sz w:val="22"/>
        </w:rPr>
        <w:t>：由ACC-20协议生成的</w:t>
      </w:r>
      <w:r>
        <w:rPr>
          <w:rFonts w:eastAsia="等线" w:ascii="Arial" w:cs="Arial" w:hAnsi="Arial"/>
          <w:b w:val="true"/>
          <w:sz w:val="22"/>
        </w:rPr>
        <w:t>64位宪法索引</w:t>
      </w:r>
      <w:r>
        <w:rPr>
          <w:rFonts w:eastAsia="等线" w:ascii="Arial" w:cs="Arial" w:hAnsi="Arial"/>
          <w:sz w:val="22"/>
        </w:rPr>
        <w:t>，是资产在链上全局状态中的</w:t>
      </w:r>
      <w:r>
        <w:rPr>
          <w:rFonts w:eastAsia="等线" w:ascii="Arial" w:cs="Arial" w:hAnsi="Arial"/>
          <w:b w:val="true"/>
          <w:sz w:val="22"/>
        </w:rPr>
        <w:t>唯一法定标识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AssetDNA</w:t>
      </w:r>
      <w:r>
        <w:rPr>
          <w:rFonts w:eastAsia="等线" w:ascii="Arial" w:cs="Arial" w:hAnsi="Arial"/>
          <w:sz w:val="22"/>
        </w:rPr>
        <w:t>：资产在数字世界的</w:t>
      </w:r>
      <w:r>
        <w:rPr>
          <w:rFonts w:eastAsia="等线" w:ascii="Arial" w:cs="Arial" w:hAnsi="Arial"/>
          <w:b w:val="true"/>
          <w:sz w:val="22"/>
        </w:rPr>
        <w:t>宪法身份</w:t>
      </w:r>
      <w:r>
        <w:rPr>
          <w:rFonts w:eastAsia="等线" w:ascii="Arial" w:cs="Arial" w:hAnsi="Arial"/>
          <w:sz w:val="22"/>
        </w:rPr>
        <w:t>，包括：</w:t>
        <w:br/>
        <w:t xml:space="preserve">        </w:t>
      </w:r>
    </w:p>
    <w:p>
      <w:pPr>
        <w:numPr>
          <w:numId w:val="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DNA_Hash：32字节宪法哈希，资产的</w:t>
      </w:r>
      <w:r>
        <w:rPr>
          <w:rFonts w:eastAsia="等线" w:ascii="Arial" w:cs="Arial" w:hAnsi="Arial"/>
          <w:b w:val="true"/>
          <w:sz w:val="22"/>
        </w:rPr>
        <w:t>数字存在证明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DNA_Code：人类可读宪法编码，遵循`[主权类型]-[主体]-[资产类]-[环境]-[序列]`格式。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第十条【三元组的宪法属性】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主权三元组具有以下</w:t>
      </w:r>
      <w:r>
        <w:rPr>
          <w:rFonts w:eastAsia="等线" w:ascii="Arial" w:cs="Arial" w:hAnsi="Arial"/>
          <w:b w:val="true"/>
          <w:sz w:val="22"/>
        </w:rPr>
        <w:t>不可侵犯的宪法属性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唯一性</w:t>
      </w:r>
      <w:r>
        <w:rPr>
          <w:rFonts w:eastAsia="等线" w:ascii="Arial" w:cs="Arial" w:hAnsi="Arial"/>
          <w:sz w:val="22"/>
        </w:rPr>
        <w:t>：一个资产在特定主权范围内，只能有一个有效的三元组。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不可分割性</w:t>
      </w:r>
      <w:r>
        <w:rPr>
          <w:rFonts w:eastAsia="等线" w:ascii="Arial" w:cs="Arial" w:hAnsi="Arial"/>
          <w:sz w:val="22"/>
        </w:rPr>
        <w:t>：三要素必须完整绑定，任何要素的分离将导致主权无效。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不可篡改性</w:t>
      </w:r>
      <w:r>
        <w:rPr>
          <w:rFonts w:eastAsia="等线" w:ascii="Arial" w:cs="Arial" w:hAnsi="Arial"/>
          <w:sz w:val="22"/>
        </w:rPr>
        <w:t>：一旦生成，任何主体（包括开发者）无法修改核心绑定关系。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可追溯性</w:t>
      </w:r>
      <w:r>
        <w:rPr>
          <w:rFonts w:eastAsia="等线" w:ascii="Arial" w:cs="Arial" w:hAnsi="Arial"/>
          <w:sz w:val="22"/>
        </w:rPr>
        <w:t>：所有历史三元组均永久保存，形成完整主权沿革。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可验证性</w:t>
      </w:r>
      <w:r>
        <w:rPr>
          <w:rFonts w:eastAsia="等线" w:ascii="Arial" w:cs="Arial" w:hAnsi="Arial"/>
          <w:sz w:val="22"/>
        </w:rPr>
        <w:t>：可通过数学证明在链上公开验证。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第十一条【三元组的宪法效力】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主权三元组在NAC公链内具有以下</w:t>
      </w:r>
      <w:r>
        <w:rPr>
          <w:rFonts w:eastAsia="等线" w:ascii="Arial" w:cs="Arial" w:hAnsi="Arial"/>
          <w:b w:val="true"/>
          <w:sz w:val="22"/>
        </w:rPr>
        <w:t>宪法效力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权利来源效力</w:t>
      </w:r>
      <w:r>
        <w:rPr>
          <w:rFonts w:eastAsia="等线" w:ascii="Arial" w:cs="Arial" w:hAnsi="Arial"/>
          <w:sz w:val="22"/>
        </w:rPr>
        <w:t>：是行使资产一切权利的</w:t>
      </w:r>
      <w:r>
        <w:rPr>
          <w:rFonts w:eastAsia="等线" w:ascii="Arial" w:cs="Arial" w:hAnsi="Arial"/>
          <w:b w:val="true"/>
          <w:sz w:val="22"/>
        </w:rPr>
        <w:t>唯一法定依据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对抗第三方效力</w:t>
      </w:r>
      <w:r>
        <w:rPr>
          <w:rFonts w:eastAsia="等线" w:ascii="Arial" w:cs="Arial" w:hAnsi="Arial"/>
          <w:sz w:val="22"/>
        </w:rPr>
        <w:t>：对链上所有主体（包括后续购买者）具有</w:t>
      </w:r>
      <w:r>
        <w:rPr>
          <w:rFonts w:eastAsia="等线" w:ascii="Arial" w:cs="Arial" w:hAnsi="Arial"/>
          <w:b w:val="true"/>
          <w:sz w:val="22"/>
        </w:rPr>
        <w:t>绝对对抗效力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执行优先效力</w:t>
      </w:r>
      <w:r>
        <w:rPr>
          <w:rFonts w:eastAsia="等线" w:ascii="Arial" w:cs="Arial" w:hAnsi="Arial"/>
          <w:sz w:val="22"/>
        </w:rPr>
        <w:t>：在清算、质押等场景中，三元组登记的权利人享有</w:t>
      </w:r>
      <w:r>
        <w:rPr>
          <w:rFonts w:eastAsia="等线" w:ascii="Arial" w:cs="Arial" w:hAnsi="Arial"/>
          <w:b w:val="true"/>
          <w:sz w:val="22"/>
        </w:rPr>
        <w:t>法定优先权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跨境承认效力</w:t>
      </w:r>
      <w:r>
        <w:rPr>
          <w:rFonts w:eastAsia="等线" w:ascii="Arial" w:cs="Arial" w:hAnsi="Arial"/>
          <w:sz w:val="22"/>
        </w:rPr>
        <w:t>：在NAC公链接入的其他链或系统中，经法定程序可获得</w:t>
      </w:r>
      <w:r>
        <w:rPr>
          <w:rFonts w:eastAsia="等线" w:ascii="Arial" w:cs="Arial" w:hAnsi="Arial"/>
          <w:b w:val="true"/>
          <w:sz w:val="22"/>
        </w:rPr>
        <w:t>承认与执行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第五章：确权凭证与登记</w:t>
      </w:r>
      <w:bookmarkEnd w:id="1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第十二条【确权凭证】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确权成功后，系统必须签发</w:t>
      </w:r>
      <w:r>
        <w:rPr>
          <w:rFonts w:eastAsia="等线" w:ascii="Arial" w:cs="Arial" w:hAnsi="Arial"/>
          <w:b w:val="true"/>
          <w:sz w:val="22"/>
        </w:rPr>
        <w:t>法定确权凭证</w:t>
      </w:r>
      <w:r>
        <w:rPr>
          <w:rFonts w:eastAsia="等线" w:ascii="Arial" w:cs="Arial" w:hAnsi="Arial"/>
          <w:sz w:val="22"/>
        </w:rPr>
        <w:t>，包含：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凭证基础信息</w:t>
      </w:r>
      <w:r>
        <w:rPr>
          <w:rFonts w:eastAsia="等线" w:ascii="Arial" w:cs="Arial" w:hAnsi="Arial"/>
          <w:sz w:val="22"/>
        </w:rPr>
        <w:t>：凭证ID、签发时间、有效期限。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主权三元组摘要</w:t>
      </w:r>
      <w:r>
        <w:rPr>
          <w:rFonts w:eastAsia="等线" w:ascii="Arial" w:cs="Arial" w:hAnsi="Arial"/>
          <w:sz w:val="22"/>
        </w:rPr>
        <w:t>：OwnerDID匿名化标识、TokenID、DNA_Code。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确权依据哈希</w:t>
      </w:r>
      <w:r>
        <w:rPr>
          <w:rFonts w:eastAsia="等线" w:ascii="Arial" w:cs="Arial" w:hAnsi="Arial"/>
          <w:sz w:val="22"/>
        </w:rPr>
        <w:t>：合规报告、估值报告、主权声明文件的聚合哈希。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宪法签名</w:t>
      </w:r>
      <w:r>
        <w:rPr>
          <w:rFonts w:eastAsia="等线" w:ascii="Arial" w:cs="Arial" w:hAnsi="Arial"/>
          <w:sz w:val="22"/>
        </w:rPr>
        <w:t>：确权合约的数字签名。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凭证状态</w:t>
      </w:r>
      <w:r>
        <w:rPr>
          <w:rFonts w:eastAsia="等线" w:ascii="Arial" w:cs="Arial" w:hAnsi="Arial"/>
          <w:sz w:val="22"/>
        </w:rPr>
        <w:t>：有效、冻结、注销。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第十三条【多组件宪法登记】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确权完成后，必须向四大存储组件进行</w:t>
      </w:r>
      <w:r>
        <w:rPr>
          <w:rFonts w:eastAsia="等线" w:ascii="Arial" w:cs="Arial" w:hAnsi="Arial"/>
          <w:b w:val="true"/>
          <w:sz w:val="22"/>
        </w:rPr>
        <w:t>宪法登记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PostgreSQL（真理源登记）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登记主权三元组完整映射关系。</w:t>
      </w:r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记录确权时间戳与区块高度。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建立主权沿革索引。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MySQL（配置备案登记）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备案资产结构化配置模板。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记录确权参数与阈值。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MongoDB（过程档案登记）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归档确权全过程日志。</w:t>
      </w:r>
    </w:p>
    <w:p>
      <w:pPr>
        <w:numPr>
          <w:numId w:val="6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存储非结构化证据链接。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OpenLDAP（权限身份登记）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注册DNA权限条目。</w:t>
      </w:r>
    </w:p>
    <w:p>
      <w:pPr>
        <w:numPr>
          <w:numId w:val="6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建立访问控制列表。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2" w:id="22"/>
      <w:r>
        <w:rPr>
          <w:rFonts w:eastAsia="等线" w:ascii="Arial" w:cs="Arial" w:hAnsi="Arial"/>
          <w:b w:val="true"/>
          <w:sz w:val="30"/>
        </w:rPr>
        <w:t>第十四条【登记一致性要求】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四大组件的登记必须保持</w:t>
      </w:r>
      <w:r>
        <w:rPr>
          <w:rFonts w:eastAsia="等线" w:ascii="Arial" w:cs="Arial" w:hAnsi="Arial"/>
          <w:b w:val="true"/>
          <w:sz w:val="22"/>
        </w:rPr>
        <w:t>宪法一致性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同时登记</w:t>
      </w:r>
      <w:r>
        <w:rPr>
          <w:rFonts w:eastAsia="等线" w:ascii="Arial" w:cs="Arial" w:hAnsi="Arial"/>
          <w:sz w:val="22"/>
        </w:rPr>
        <w:t>：必须在确权后5个区块内完成全部登记。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内容一致</w:t>
      </w:r>
      <w:r>
        <w:rPr>
          <w:rFonts w:eastAsia="等线" w:ascii="Arial" w:cs="Arial" w:hAnsi="Arial"/>
          <w:sz w:val="22"/>
        </w:rPr>
        <w:t>：核心字段必须完全一致。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状态同步</w:t>
      </w:r>
      <w:r>
        <w:rPr>
          <w:rFonts w:eastAsia="等线" w:ascii="Arial" w:cs="Arial" w:hAnsi="Arial"/>
          <w:sz w:val="22"/>
        </w:rPr>
        <w:t>：登记状态实时同步。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第六章：确权争议与宪法救济</w:t>
      </w:r>
      <w:bookmarkEnd w:id="2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第十五条【确权不可争议原则】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确权行为本身（即在特定区块完成三元组绑定的事实）</w:t>
      </w:r>
      <w:r>
        <w:rPr>
          <w:rFonts w:eastAsia="等线" w:ascii="Arial" w:cs="Arial" w:hAnsi="Arial"/>
          <w:b w:val="true"/>
          <w:sz w:val="22"/>
        </w:rPr>
        <w:t>不可争议</w:t>
      </w:r>
      <w:r>
        <w:rPr>
          <w:rFonts w:eastAsia="等线" w:ascii="Arial" w:cs="Arial" w:hAnsi="Arial"/>
          <w:sz w:val="22"/>
        </w:rPr>
        <w:t>。任何主体不得对已完成的宪法确权行为提出程序性质疑。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第十六条【确权依据争议】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如对确权所依据的</w:t>
      </w:r>
      <w:r>
        <w:rPr>
          <w:rFonts w:eastAsia="等线" w:ascii="Arial" w:cs="Arial" w:hAnsi="Arial"/>
          <w:b w:val="true"/>
          <w:sz w:val="22"/>
        </w:rPr>
        <w:t>前置条件</w:t>
      </w:r>
      <w:r>
        <w:rPr>
          <w:rFonts w:eastAsia="等线" w:ascii="Arial" w:cs="Arial" w:hAnsi="Arial"/>
          <w:sz w:val="22"/>
        </w:rPr>
        <w:t>有异议，可按以下程序救济：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异议提出</w:t>
      </w:r>
      <w:r>
        <w:rPr>
          <w:rFonts w:eastAsia="等线" w:ascii="Arial" w:cs="Arial" w:hAnsi="Arial"/>
          <w:sz w:val="22"/>
        </w:rPr>
        <w:t>：利害关系人可在确权后30日内，向宪法仲裁庭提出书面异议。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暂停效力</w:t>
      </w:r>
      <w:r>
        <w:rPr>
          <w:rFonts w:eastAsia="等线" w:ascii="Arial" w:cs="Arial" w:hAnsi="Arial"/>
          <w:sz w:val="22"/>
        </w:rPr>
        <w:t>：异议审查期间，确权凭证的</w:t>
      </w:r>
      <w:r>
        <w:rPr>
          <w:rFonts w:eastAsia="等线" w:ascii="Arial" w:cs="Arial" w:hAnsi="Arial"/>
          <w:b w:val="true"/>
          <w:sz w:val="22"/>
        </w:rPr>
        <w:t>流转与质押功能</w:t>
      </w:r>
      <w:r>
        <w:rPr>
          <w:rFonts w:eastAsia="等线" w:ascii="Arial" w:cs="Arial" w:hAnsi="Arial"/>
          <w:sz w:val="22"/>
        </w:rPr>
        <w:t>暂停，但</w:t>
      </w:r>
      <w:r>
        <w:rPr>
          <w:rFonts w:eastAsia="等线" w:ascii="Arial" w:cs="Arial" w:hAnsi="Arial"/>
          <w:b w:val="true"/>
          <w:sz w:val="22"/>
        </w:rPr>
        <w:t>所有权状态</w:t>
      </w:r>
      <w:r>
        <w:rPr>
          <w:rFonts w:eastAsia="等线" w:ascii="Arial" w:cs="Arial" w:hAnsi="Arial"/>
          <w:sz w:val="22"/>
        </w:rPr>
        <w:t>不变。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宪法审查</w:t>
      </w:r>
      <w:r>
        <w:rPr>
          <w:rFonts w:eastAsia="等线" w:ascii="Arial" w:cs="Arial" w:hAnsi="Arial"/>
          <w:sz w:val="22"/>
        </w:rPr>
        <w:t>：由5名宪法仲裁员组成合议庭审查：</w:t>
        <w:br/>
        <w:t xml:space="preserve">        </w:t>
      </w:r>
    </w:p>
    <w:p>
      <w:pPr>
        <w:numPr>
          <w:numId w:val="7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审查合规结论的合法性。</w:t>
      </w:r>
    </w:p>
    <w:p>
      <w:pPr>
        <w:numPr>
          <w:numId w:val="7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审查估值程序的正当性。</w:t>
      </w:r>
    </w:p>
    <w:p>
      <w:pPr>
        <w:numPr>
          <w:numId w:val="7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审查主权声明的真实性。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审查裁决</w:t>
      </w:r>
      <w:r>
        <w:rPr>
          <w:rFonts w:eastAsia="等线" w:ascii="Arial" w:cs="Arial" w:hAnsi="Arial"/>
          <w:sz w:val="22"/>
        </w:rPr>
        <w:t>：裁决必须在30日内作出：</w:t>
        <w:br/>
        <w:t xml:space="preserve">        </w:t>
      </w:r>
    </w:p>
    <w:p>
      <w:pPr>
        <w:numPr>
          <w:numId w:val="7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异议成立：撤销确权，资产退回上链前状态。</w:t>
      </w:r>
    </w:p>
    <w:p>
      <w:pPr>
        <w:numPr>
          <w:numId w:val="7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异议不成立：确认确权效力，异议方承担费用。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第十七条【恶意确权处罚】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经宪法程序认定存在以下行为的，予以</w:t>
      </w:r>
      <w:r>
        <w:rPr>
          <w:rFonts w:eastAsia="等线" w:ascii="Arial" w:cs="Arial" w:hAnsi="Arial"/>
          <w:b w:val="true"/>
          <w:sz w:val="22"/>
        </w:rPr>
        <w:t>宪法处罚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提供虚假材料</w:t>
      </w:r>
      <w:r>
        <w:rPr>
          <w:rFonts w:eastAsia="等线" w:ascii="Arial" w:cs="Arial" w:hAnsi="Arial"/>
          <w:sz w:val="22"/>
        </w:rPr>
        <w:t>：撤销确权，列入黑名单，处XIC罚金。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规避合规审查</w:t>
      </w:r>
      <w:r>
        <w:rPr>
          <w:rFonts w:eastAsia="等线" w:ascii="Arial" w:cs="Arial" w:hAnsi="Arial"/>
          <w:sz w:val="22"/>
        </w:rPr>
        <w:t>：永久禁止上链，追究刑事责任。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共谋欺诈</w:t>
      </w:r>
      <w:r>
        <w:rPr>
          <w:rFonts w:eastAsia="等线" w:ascii="Arial" w:cs="Arial" w:hAnsi="Arial"/>
          <w:sz w:val="22"/>
        </w:rPr>
        <w:t>：所有参与方承担连带责任。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第七章：与其他协议的宪法区隔</w:t>
      </w:r>
      <w:bookmarkEnd w:id="2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第十八条【与ERC协议的根本区别】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NAC确权与ERC协议存在</w:t>
      </w:r>
      <w:r>
        <w:rPr>
          <w:rFonts w:eastAsia="等线" w:ascii="Arial" w:cs="Arial" w:hAnsi="Arial"/>
          <w:b w:val="true"/>
          <w:sz w:val="22"/>
        </w:rPr>
        <w:t>宪法层面的根本区别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比较维度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NAC宪法确权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ERC协议发行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法律性质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原生主权创生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代币代表发行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权利基础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三重锚定事实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合约单方承诺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控制权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宪法共识保障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部署者可控制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不可篡改性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数学保证不可逆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依赖部署者自律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主权完整性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权利束完整绑定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仅转账余额记录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9" w:id="29"/>
      <w:r>
        <w:rPr>
          <w:rFonts w:eastAsia="等线" w:ascii="Arial" w:cs="Arial" w:hAnsi="Arial"/>
          <w:b w:val="true"/>
          <w:sz w:val="30"/>
        </w:rPr>
        <w:t>第十九条【宪法独立声明】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NAC公链的确权体系是</w:t>
      </w:r>
      <w:r>
        <w:rPr>
          <w:rFonts w:eastAsia="等线" w:ascii="Arial" w:cs="Arial" w:hAnsi="Arial"/>
          <w:b w:val="true"/>
          <w:sz w:val="22"/>
        </w:rPr>
        <w:t>完全独立</w:t>
      </w:r>
      <w:r>
        <w:rPr>
          <w:rFonts w:eastAsia="等线" w:ascii="Arial" w:cs="Arial" w:hAnsi="Arial"/>
          <w:sz w:val="22"/>
        </w:rPr>
        <w:t>的宪法系统：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不承认</w:t>
      </w:r>
      <w:r>
        <w:rPr>
          <w:rFonts w:eastAsia="等线" w:ascii="Arial" w:cs="Arial" w:hAnsi="Arial"/>
          <w:sz w:val="22"/>
        </w:rPr>
        <w:t>任何外部链的资产权利声明。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不兼容</w:t>
      </w:r>
      <w:r>
        <w:rPr>
          <w:rFonts w:eastAsia="等线" w:ascii="Arial" w:cs="Arial" w:hAnsi="Arial"/>
          <w:sz w:val="22"/>
        </w:rPr>
        <w:t>任何ERC标准的代币映射。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不继承</w:t>
      </w:r>
      <w:r>
        <w:rPr>
          <w:rFonts w:eastAsia="等线" w:ascii="Arial" w:cs="Arial" w:hAnsi="Arial"/>
          <w:sz w:val="22"/>
        </w:rPr>
        <w:t>任何链下司法程序的预确权结果。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不参与</w:t>
      </w:r>
      <w:r>
        <w:rPr>
          <w:rFonts w:eastAsia="等线" w:ascii="Arial" w:cs="Arial" w:hAnsi="Arial"/>
          <w:sz w:val="22"/>
        </w:rPr>
        <w:t>任何跨链桥的包装代币体系。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0" w:id="30"/>
      <w:r>
        <w:rPr>
          <w:rFonts w:eastAsia="等线" w:ascii="Arial" w:cs="Arial" w:hAnsi="Arial"/>
          <w:b w:val="true"/>
          <w:sz w:val="30"/>
        </w:rPr>
        <w:t>第二十条【跨链资产的特殊确权】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外部资产转入NAC公链，必须：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放弃原链权利主张</w:t>
      </w:r>
      <w:r>
        <w:rPr>
          <w:rFonts w:eastAsia="等线" w:ascii="Arial" w:cs="Arial" w:hAnsi="Arial"/>
          <w:sz w:val="22"/>
        </w:rPr>
        <w:t>，在锁定证明中明确声明。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接受NAC宪法重分类</w:t>
      </w:r>
      <w:r>
        <w:rPr>
          <w:rFonts w:eastAsia="等线" w:ascii="Arial" w:cs="Arial" w:hAnsi="Arial"/>
          <w:sz w:val="22"/>
        </w:rPr>
        <w:t>，按GNACS标准重新归类。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经历完整确权程序</w:t>
      </w:r>
      <w:r>
        <w:rPr>
          <w:rFonts w:eastAsia="等线" w:ascii="Arial" w:cs="Arial" w:hAnsi="Arial"/>
          <w:sz w:val="22"/>
        </w:rPr>
        <w:t>，获得NAC原生主权身份。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建立独立主权记录</w:t>
      </w:r>
      <w:r>
        <w:rPr>
          <w:rFonts w:eastAsia="等线" w:ascii="Arial" w:cs="Arial" w:hAnsi="Arial"/>
          <w:sz w:val="22"/>
        </w:rPr>
        <w:t>，与原链资产仅为价值支撑关系。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第八章：宪法实施与修订</w:t>
      </w:r>
      <w:bookmarkEnd w:id="3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2" w:id="32"/>
      <w:r>
        <w:rPr>
          <w:rFonts w:eastAsia="等线" w:ascii="Arial" w:cs="Arial" w:hAnsi="Arial"/>
          <w:b w:val="true"/>
          <w:sz w:val="30"/>
        </w:rPr>
        <w:t>第二十一条【生效时间】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本法典自</w:t>
      </w:r>
      <w:r>
        <w:rPr>
          <w:rFonts w:eastAsia="等线" w:ascii="Arial" w:cs="Arial" w:hAnsi="Arial"/>
          <w:b w:val="true"/>
          <w:sz w:val="22"/>
        </w:rPr>
        <w:t>NAC主网创世区块生成之日起</w:t>
      </w:r>
      <w:r>
        <w:rPr>
          <w:rFonts w:eastAsia="等线" w:ascii="Arial" w:cs="Arial" w:hAnsi="Arial"/>
          <w:sz w:val="22"/>
        </w:rPr>
        <w:t>自动生效。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3" w:id="33"/>
      <w:r>
        <w:rPr>
          <w:rFonts w:eastAsia="等线" w:ascii="Arial" w:cs="Arial" w:hAnsi="Arial"/>
          <w:b w:val="true"/>
          <w:sz w:val="30"/>
        </w:rPr>
        <w:t>第二十二条【解释机关】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本法典由</w:t>
      </w:r>
      <w:r>
        <w:rPr>
          <w:rFonts w:eastAsia="等线" w:ascii="Arial" w:cs="Arial" w:hAnsi="Arial"/>
          <w:b w:val="true"/>
          <w:sz w:val="22"/>
        </w:rPr>
        <w:t>NAC宪法解释委员会</w:t>
      </w:r>
      <w:r>
        <w:rPr>
          <w:rFonts w:eastAsia="等线" w:ascii="Arial" w:cs="Arial" w:hAnsi="Arial"/>
          <w:sz w:val="22"/>
        </w:rPr>
        <w:t>独家解释。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4" w:id="34"/>
      <w:r>
        <w:rPr>
          <w:rFonts w:eastAsia="等线" w:ascii="Arial" w:cs="Arial" w:hAnsi="Arial"/>
          <w:b w:val="true"/>
          <w:sz w:val="30"/>
        </w:rPr>
        <w:t>第二十三条【修订程序】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本法典的任何修订必须经过：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</w:t>
      </w:r>
      <w:r>
        <w:rPr>
          <w:rFonts w:eastAsia="等线" w:ascii="Arial" w:cs="Arial" w:hAnsi="Arial"/>
          <w:sz w:val="22"/>
        </w:rPr>
        <w:t>：由10%以上XIC持有人联署提出。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公示</w:t>
      </w:r>
      <w:r>
        <w:rPr>
          <w:rFonts w:eastAsia="等线" w:ascii="Arial" w:cs="Arial" w:hAnsi="Arial"/>
          <w:sz w:val="22"/>
        </w:rPr>
        <w:t>：全链公示不少于30日。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辩论</w:t>
      </w:r>
      <w:r>
        <w:rPr>
          <w:rFonts w:eastAsia="等线" w:ascii="Arial" w:cs="Arial" w:hAnsi="Arial"/>
          <w:sz w:val="22"/>
        </w:rPr>
        <w:t>：宪法议会公开辩论。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</w:t>
      </w:r>
      <w:r>
        <w:rPr>
          <w:rFonts w:eastAsia="等线" w:ascii="Arial" w:cs="Arial" w:hAnsi="Arial"/>
          <w:sz w:val="22"/>
        </w:rPr>
        <w:t>：XIC持有人超级多数投票（≥75%赞成）。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</w:t>
      </w:r>
      <w:r>
        <w:rPr>
          <w:rFonts w:eastAsia="等线" w:ascii="Arial" w:cs="Arial" w:hAnsi="Arial"/>
          <w:sz w:val="22"/>
        </w:rPr>
        <w:t>：修订案写入创世区块后的首个硬分叉。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第二十四条【违宪审查】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任何违反本法典的确权行为，宪法仲裁庭有权：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宣告违宪</w:t>
      </w:r>
      <w:r>
        <w:rPr>
          <w:rFonts w:eastAsia="等线" w:ascii="Arial" w:cs="Arial" w:hAnsi="Arial"/>
          <w:sz w:val="22"/>
        </w:rPr>
        <w:t>，撤销确权结果。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追究违宪责任</w:t>
      </w:r>
      <w:r>
        <w:rPr>
          <w:rFonts w:eastAsia="等线" w:ascii="Arial" w:cs="Arial" w:hAnsi="Arial"/>
          <w:sz w:val="22"/>
        </w:rPr>
        <w:t>，处以宪法处罚。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建立违宪判例</w:t>
      </w:r>
      <w:r>
        <w:rPr>
          <w:rFonts w:eastAsia="等线" w:ascii="Arial" w:cs="Arial" w:hAnsi="Arial"/>
          <w:sz w:val="22"/>
        </w:rPr>
        <w:t>，指导后续实践。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第九章：附则</w:t>
      </w:r>
      <w:bookmarkEnd w:id="3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7" w:id="37"/>
      <w:r>
        <w:rPr>
          <w:rFonts w:eastAsia="等线" w:ascii="Arial" w:cs="Arial" w:hAnsi="Arial"/>
          <w:b w:val="true"/>
          <w:sz w:val="30"/>
        </w:rPr>
        <w:t>第二十五条【溯及力】</w:t>
      </w:r>
      <w:bookmarkEnd w:id="3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本法典不溯及既往，但主网上线前已完成的测试网确权，需在本法典生效后</w:t>
      </w:r>
      <w:r>
        <w:rPr>
          <w:rFonts w:eastAsia="等线" w:ascii="Arial" w:cs="Arial" w:hAnsi="Arial"/>
          <w:b w:val="true"/>
          <w:sz w:val="22"/>
        </w:rPr>
        <w:t>180日内</w:t>
      </w:r>
      <w:r>
        <w:rPr>
          <w:rFonts w:eastAsia="等线" w:ascii="Arial" w:cs="Arial" w:hAnsi="Arial"/>
          <w:sz w:val="22"/>
        </w:rPr>
        <w:t>补办宪法确权手续。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8" w:id="38"/>
      <w:r>
        <w:rPr>
          <w:rFonts w:eastAsia="等线" w:ascii="Arial" w:cs="Arial" w:hAnsi="Arial"/>
          <w:b w:val="true"/>
          <w:sz w:val="30"/>
        </w:rPr>
        <w:t>第二十六条【冲突解决】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本法典与之前发布的任何细则冲突时，以</w:t>
      </w:r>
      <w:r>
        <w:rPr>
          <w:rFonts w:eastAsia="等线" w:ascii="Arial" w:cs="Arial" w:hAnsi="Arial"/>
          <w:b w:val="true"/>
          <w:sz w:val="22"/>
        </w:rPr>
        <w:t>本法典为准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9" w:id="39"/>
      <w:r>
        <w:rPr>
          <w:rFonts w:eastAsia="等线" w:ascii="Arial" w:cs="Arial" w:hAnsi="Arial"/>
          <w:b w:val="true"/>
          <w:sz w:val="30"/>
        </w:rPr>
        <w:t>第二十七条【实施条例】</w:t>
      </w:r>
      <w:bookmarkEnd w:id="3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宪法解释委员会可在本法典框架下制定</w:t>
      </w:r>
      <w:r>
        <w:rPr>
          <w:rFonts w:eastAsia="等线" w:ascii="Arial" w:cs="Arial" w:hAnsi="Arial"/>
          <w:b w:val="true"/>
          <w:sz w:val="22"/>
        </w:rPr>
        <w:t>实施条例</w:t>
      </w:r>
      <w:r>
        <w:rPr>
          <w:rFonts w:eastAsia="等线" w:ascii="Arial" w:cs="Arial" w:hAnsi="Arial"/>
          <w:sz w:val="22"/>
        </w:rPr>
        <w:t>，但不得与本法典抵触。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0" w:id="40"/>
      <w:r>
        <w:rPr>
          <w:rFonts w:eastAsia="等线" w:ascii="Arial" w:cs="Arial" w:hAnsi="Arial"/>
          <w:b w:val="true"/>
          <w:sz w:val="32"/>
        </w:rPr>
        <w:t>宪法签署</w:t>
      </w:r>
      <w:bookmarkEnd w:id="4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本法典经NAC公链宪法议会于2026年【】月【】日审议通过，自创世区块生效之日起施行，成为NAC数字主权体系的基石。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NAC宪法议会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主席：【签署】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日期：2026年【】月【】日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（链上宪法哈希：0x【 Constitution_Hash_Here 】）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1" w:id="41"/>
      <w:r>
        <w:rPr>
          <w:rFonts w:eastAsia="等线" w:ascii="Arial" w:cs="Arial" w:hAnsi="Arial"/>
          <w:b w:val="true"/>
          <w:sz w:val="32"/>
        </w:rPr>
        <w:t>宪法附件一：主权三元组标准格式</w:t>
      </w:r>
      <w:bookmarkEnd w:id="4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主权三元组宪法格式规范：</w:t>
              <w:br/>
              <w:br/>
              <w:t>1. OwnerDID-主权绑定格式：</w:t>
              <w:br/>
              <w:t xml:space="preserve">   所有者：did:nac:0x[64位哈希]</w:t>
              <w:br/>
              <w:t xml:space="preserve">   主权类型：[A0-D3]</w:t>
              <w:br/>
              <w:t xml:space="preserve">   权利范围：[JSON格式权利束]</w:t>
              <w:br/>
              <w:t xml:space="preserve">   生效时间：[UTC时间戳]</w:t>
              <w:br/>
              <w:t xml:space="preserve">   失效条件：[触发条件列表]</w:t>
              <w:br/>
              <w:br/>
              <w:t>2. TokenID格式：</w:t>
              <w:br/>
              <w:t xml:space="preserve">   区块范围：0 - 18,446,744,073,709,551,615</w:t>
              <w:br/>
              <w:t xml:space="preserve">   分配规则：顺序递增，永不重复</w:t>
              <w:br/>
              <w:t xml:space="preserve">   记录位置：ACC-20状态树0x01分支</w:t>
              <w:br/>
              <w:br/>
              <w:t>3. AssetDNA格式：</w:t>
              <w:br/>
              <w:t xml:space="preserve">   DNA_Hash：0x[64位十六进制]</w:t>
              <w:br/>
              <w:t xml:space="preserve">   DNA_Code：[主权类型]-[租户码8位]-[资产类6位]-[环境4位]-[哈希前8位]-[序列号]</w:t>
              <w:br/>
              <w:t xml:space="preserve">   示例：A1-CNFIN001-010121-PROD-8f</w:t>
            </w:r>
            <w:r>
              <w:rPr>
                <w:rFonts w:eastAsia="Consolas" w:ascii="Consolas" w:cs="Consolas" w:hAnsi="Consolas"/>
                <w:sz w:val="22"/>
              </w:rPr>
              <w:t>3b6a2d-001A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2" w:id="42"/>
      <w:r>
        <w:rPr>
          <w:rFonts w:eastAsia="等线" w:ascii="Arial" w:cs="Arial" w:hAnsi="Arial"/>
          <w:b w:val="true"/>
          <w:sz w:val="32"/>
        </w:rPr>
        <w:t>宪法附件二：确权凭证样本</w:t>
      </w:r>
      <w:bookmarkEnd w:id="4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NAC链上确权凭证（样本）</w:t>
              <w:br/>
              <w:t>================================</w:t>
              <w:br/>
              <w:t>凭证ID：SOV-2026-001-0001</w:t>
              <w:br/>
              <w:t>签发时间：2026-01-01T00:00:00Z</w:t>
              <w:br/>
              <w:t>有效期限：永久（除宪法撤销）</w:t>
              <w:br/>
              <w:br/>
              <w:t>资产标识：</w:t>
              <w:br/>
              <w:t>- DNA_Code：A1-CNFIN001-010121-PROD-8f3b6a2d-001A</w:t>
              <w:br/>
              <w:t>- TokenID：1</w:t>
              <w:br/>
              <w:t>- OwnerDID：did:nac:0x...（匿名化：did:nac:****）</w:t>
              <w:br/>
              <w:br/>
              <w:t>确权依据：</w:t>
              <w:br/>
              <w:t>- 合规报告哈希：0x...</w:t>
              <w:br/>
              <w:t>- 估值报告哈希：0x...</w:t>
              <w:br/>
              <w:t>- 主权声明哈希：0x...</w:t>
              <w:br/>
              <w:br/>
              <w:t>宪法签名：</w:t>
              <w:br/>
              <w:t>- 确权合约：0xSovereigntyContract</w:t>
              <w:br/>
              <w:t>- 区块高度：1</w:t>
              <w:br/>
              <w:t>- 交易哈希：0x...</w:t>
              <w:br/>
              <w:br/>
              <w:t>凭证状态：有效</w:t>
              <w:br/>
              <w:t>================================</w:t>
              <w:br/>
              <w:t>本凭证由NAC宪法确权系统自动签发</w:t>
              <w:br/>
              <w:t>具有最高法律技术效力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4311898">
    <w:lvl>
      <w:start w:val="1"/>
      <w:numFmt w:val="decimal"/>
      <w:suff w:val="tab"/>
      <w:lvlText w:val="%1."/>
      <w:rPr>
        <w:color w:val="3370ff"/>
      </w:rPr>
    </w:lvl>
  </w:abstractNum>
  <w:abstractNum w:abstractNumId="4311899">
    <w:lvl>
      <w:start w:val="2"/>
      <w:numFmt w:val="decimal"/>
      <w:suff w:val="tab"/>
      <w:lvlText w:val="%1."/>
      <w:rPr>
        <w:color w:val="3370ff"/>
      </w:rPr>
    </w:lvl>
  </w:abstractNum>
  <w:abstractNum w:abstractNumId="4311900">
    <w:lvl>
      <w:start w:val="3"/>
      <w:numFmt w:val="decimal"/>
      <w:suff w:val="tab"/>
      <w:lvlText w:val="%1."/>
      <w:rPr>
        <w:color w:val="3370ff"/>
      </w:rPr>
    </w:lvl>
  </w:abstractNum>
  <w:abstractNum w:abstractNumId="4311901">
    <w:lvl>
      <w:start w:val="1"/>
      <w:numFmt w:val="decimal"/>
      <w:suff w:val="tab"/>
      <w:lvlText w:val="%1."/>
      <w:rPr>
        <w:color w:val="3370ff"/>
      </w:rPr>
    </w:lvl>
  </w:abstractNum>
  <w:abstractNum w:abstractNumId="4311902">
    <w:lvl>
      <w:start w:val="2"/>
      <w:numFmt w:val="decimal"/>
      <w:suff w:val="tab"/>
      <w:lvlText w:val="%1."/>
      <w:rPr>
        <w:color w:val="3370ff"/>
      </w:rPr>
    </w:lvl>
  </w:abstractNum>
  <w:abstractNum w:abstractNumId="4311903">
    <w:lvl>
      <w:start w:val="3"/>
      <w:numFmt w:val="decimal"/>
      <w:suff w:val="tab"/>
      <w:lvlText w:val="%1."/>
      <w:rPr>
        <w:color w:val="3370ff"/>
      </w:rPr>
    </w:lvl>
  </w:abstractNum>
  <w:abstractNum w:abstractNumId="4311904">
    <w:lvl>
      <w:start w:val="4"/>
      <w:numFmt w:val="decimal"/>
      <w:suff w:val="tab"/>
      <w:lvlText w:val="%1."/>
      <w:rPr>
        <w:color w:val="3370ff"/>
      </w:rPr>
    </w:lvl>
  </w:abstractNum>
  <w:abstractNum w:abstractNumId="4311905">
    <w:lvl>
      <w:start w:val="5"/>
      <w:numFmt w:val="decimal"/>
      <w:suff w:val="tab"/>
      <w:lvlText w:val="%1."/>
      <w:rPr>
        <w:color w:val="3370ff"/>
      </w:rPr>
    </w:lvl>
  </w:abstractNum>
  <w:abstractNum w:abstractNumId="4311906">
    <w:lvl>
      <w:start w:val="6"/>
      <w:numFmt w:val="decimal"/>
      <w:suff w:val="tab"/>
      <w:lvlText w:val="%1."/>
      <w:rPr>
        <w:color w:val="3370ff"/>
      </w:rPr>
    </w:lvl>
  </w:abstractNum>
  <w:abstractNum w:abstractNumId="4311907">
    <w:lvl>
      <w:start w:val="1"/>
      <w:numFmt w:val="decimal"/>
      <w:suff w:val="tab"/>
      <w:lvlText w:val="%1."/>
      <w:rPr>
        <w:color w:val="3370ff"/>
      </w:rPr>
    </w:lvl>
  </w:abstractNum>
  <w:abstractNum w:abstractNumId="4311908">
    <w:lvl>
      <w:start w:val="2"/>
      <w:numFmt w:val="decimal"/>
      <w:suff w:val="tab"/>
      <w:lvlText w:val="%1."/>
      <w:rPr>
        <w:color w:val="3370ff"/>
      </w:rPr>
    </w:lvl>
  </w:abstractNum>
  <w:abstractNum w:abstractNumId="4311909">
    <w:lvl>
      <w:start w:val="3"/>
      <w:numFmt w:val="decimal"/>
      <w:suff w:val="tab"/>
      <w:lvlText w:val="%1."/>
      <w:rPr>
        <w:color w:val="3370ff"/>
      </w:rPr>
    </w:lvl>
  </w:abstractNum>
  <w:abstractNum w:abstractNumId="4311910">
    <w:lvl>
      <w:start w:val="4"/>
      <w:numFmt w:val="decimal"/>
      <w:suff w:val="tab"/>
      <w:lvlText w:val="%1."/>
      <w:rPr>
        <w:color w:val="3370ff"/>
      </w:rPr>
    </w:lvl>
  </w:abstractNum>
  <w:abstractNum w:abstractNumId="4311911">
    <w:lvl>
      <w:start w:val="5"/>
      <w:numFmt w:val="decimal"/>
      <w:suff w:val="tab"/>
      <w:lvlText w:val="%1."/>
      <w:rPr>
        <w:color w:val="3370ff"/>
      </w:rPr>
    </w:lvl>
  </w:abstractNum>
  <w:abstractNum w:abstractNumId="4311912">
    <w:lvl>
      <w:start w:val="6"/>
      <w:numFmt w:val="decimal"/>
      <w:suff w:val="tab"/>
      <w:lvlText w:val="%1."/>
      <w:rPr>
        <w:color w:val="3370ff"/>
      </w:rPr>
    </w:lvl>
  </w:abstractNum>
  <w:abstractNum w:abstractNumId="4311913">
    <w:lvl>
      <w:start w:val="1"/>
      <w:numFmt w:val="decimal"/>
      <w:suff w:val="tab"/>
      <w:lvlText w:val="%1."/>
      <w:rPr>
        <w:color w:val="3370ff"/>
      </w:rPr>
    </w:lvl>
  </w:abstractNum>
  <w:abstractNum w:abstractNumId="4311914">
    <w:lvl>
      <w:start w:val="2"/>
      <w:numFmt w:val="decimal"/>
      <w:suff w:val="tab"/>
      <w:lvlText w:val="%1."/>
      <w:rPr>
        <w:color w:val="3370ff"/>
      </w:rPr>
    </w:lvl>
  </w:abstractNum>
  <w:abstractNum w:abstractNumId="4311915">
    <w:lvl>
      <w:start w:val="3"/>
      <w:numFmt w:val="decimal"/>
      <w:suff w:val="tab"/>
      <w:lvlText w:val="%1."/>
      <w:rPr>
        <w:color w:val="3370ff"/>
      </w:rPr>
    </w:lvl>
  </w:abstractNum>
  <w:abstractNum w:abstractNumId="4311916">
    <w:lvl>
      <w:start w:val="1"/>
      <w:numFmt w:val="decimal"/>
      <w:suff w:val="tab"/>
      <w:lvlText w:val="%1."/>
      <w:rPr>
        <w:color w:val="3370ff"/>
      </w:rPr>
    </w:lvl>
  </w:abstractNum>
  <w:abstractNum w:abstractNumId="4311917">
    <w:lvl>
      <w:start w:val="2"/>
      <w:numFmt w:val="decimal"/>
      <w:suff w:val="tab"/>
      <w:lvlText w:val="%1."/>
      <w:rPr>
        <w:color w:val="3370ff"/>
      </w:rPr>
    </w:lvl>
  </w:abstractNum>
  <w:abstractNum w:abstractNumId="4311918">
    <w:lvl>
      <w:start w:val="3"/>
      <w:numFmt w:val="decimal"/>
      <w:suff w:val="tab"/>
      <w:lvlText w:val="%1."/>
      <w:rPr>
        <w:color w:val="3370ff"/>
      </w:rPr>
    </w:lvl>
  </w:abstractNum>
  <w:abstractNum w:abstractNumId="4311919">
    <w:lvl>
      <w:start w:val="4"/>
      <w:numFmt w:val="decimal"/>
      <w:suff w:val="tab"/>
      <w:lvlText w:val="%1."/>
      <w:rPr>
        <w:color w:val="3370ff"/>
      </w:rPr>
    </w:lvl>
  </w:abstractNum>
  <w:abstractNum w:abstractNumId="4311920">
    <w:lvl>
      <w:start w:val="5"/>
      <w:numFmt w:val="decimal"/>
      <w:suff w:val="tab"/>
      <w:lvlText w:val="%1."/>
      <w:rPr>
        <w:color w:val="3370ff"/>
      </w:rPr>
    </w:lvl>
  </w:abstractNum>
  <w:abstractNum w:abstractNumId="4311921">
    <w:lvl>
      <w:start w:val="1"/>
      <w:numFmt w:val="decimal"/>
      <w:suff w:val="tab"/>
      <w:lvlText w:val="%1."/>
      <w:rPr>
        <w:color w:val="3370ff"/>
      </w:rPr>
    </w:lvl>
  </w:abstractNum>
  <w:abstractNum w:abstractNumId="4311922">
    <w:lvl>
      <w:start w:val="2"/>
      <w:numFmt w:val="decimal"/>
      <w:suff w:val="tab"/>
      <w:lvlText w:val="%1."/>
      <w:rPr>
        <w:color w:val="3370ff"/>
      </w:rPr>
    </w:lvl>
  </w:abstractNum>
  <w:abstractNum w:abstractNumId="4311923">
    <w:lvl>
      <w:start w:val="3"/>
      <w:numFmt w:val="decimal"/>
      <w:suff w:val="tab"/>
      <w:lvlText w:val="%1."/>
      <w:rPr>
        <w:color w:val="3370ff"/>
      </w:rPr>
    </w:lvl>
  </w:abstractNum>
  <w:abstractNum w:abstractNumId="4311924">
    <w:lvl>
      <w:start w:val="4"/>
      <w:numFmt w:val="decimal"/>
      <w:suff w:val="tab"/>
      <w:lvlText w:val="%1."/>
      <w:rPr>
        <w:color w:val="3370ff"/>
      </w:rPr>
    </w:lvl>
  </w:abstractNum>
  <w:abstractNum w:abstractNumId="4311925">
    <w:lvl>
      <w:start w:val="1"/>
      <w:numFmt w:val="decimal"/>
      <w:suff w:val="tab"/>
      <w:lvlText w:val="%1."/>
      <w:rPr>
        <w:color w:val="3370ff"/>
      </w:rPr>
    </w:lvl>
  </w:abstractNum>
  <w:abstractNum w:abstractNumId="4311926">
    <w:lvl>
      <w:start w:val="2"/>
      <w:numFmt w:val="decimal"/>
      <w:suff w:val="tab"/>
      <w:lvlText w:val="%1."/>
      <w:rPr>
        <w:color w:val="3370ff"/>
      </w:rPr>
    </w:lvl>
  </w:abstractNum>
  <w:abstractNum w:abstractNumId="4311927">
    <w:lvl>
      <w:start w:val="3"/>
      <w:numFmt w:val="decimal"/>
      <w:suff w:val="tab"/>
      <w:lvlText w:val="%1."/>
      <w:rPr>
        <w:color w:val="3370ff"/>
      </w:rPr>
    </w:lvl>
  </w:abstractNum>
  <w:abstractNum w:abstractNumId="4311928">
    <w:lvl>
      <w:start w:val="1"/>
      <w:numFmt w:val="decimal"/>
      <w:suff w:val="tab"/>
      <w:lvlText w:val="%1."/>
      <w:rPr>
        <w:color w:val="3370ff"/>
      </w:rPr>
    </w:lvl>
  </w:abstractNum>
  <w:abstractNum w:abstractNumId="4311929">
    <w:lvl>
      <w:start w:val="2"/>
      <w:numFmt w:val="decimal"/>
      <w:suff w:val="tab"/>
      <w:lvlText w:val="%1."/>
      <w:rPr>
        <w:color w:val="3370ff"/>
      </w:rPr>
    </w:lvl>
  </w:abstractNum>
  <w:abstractNum w:abstractNumId="4311930">
    <w:lvl>
      <w:start w:val="3"/>
      <w:numFmt w:val="decimal"/>
      <w:suff w:val="tab"/>
      <w:lvlText w:val="%1."/>
      <w:rPr>
        <w:color w:val="3370ff"/>
      </w:rPr>
    </w:lvl>
  </w:abstractNum>
  <w:abstractNum w:abstractNumId="4311931">
    <w:lvl>
      <w:start w:val="4"/>
      <w:numFmt w:val="decimal"/>
      <w:suff w:val="tab"/>
      <w:lvlText w:val="%1."/>
      <w:rPr>
        <w:color w:val="3370ff"/>
      </w:rPr>
    </w:lvl>
  </w:abstractNum>
  <w:abstractNum w:abstractNumId="4311932">
    <w:lvl>
      <w:start w:val="1"/>
      <w:numFmt w:val="decimal"/>
      <w:suff w:val="tab"/>
      <w:lvlText w:val="%1."/>
      <w:rPr>
        <w:color w:val="3370ff"/>
      </w:rPr>
    </w:lvl>
  </w:abstractNum>
  <w:abstractNum w:abstractNumId="4311933">
    <w:lvl>
      <w:start w:val="2"/>
      <w:numFmt w:val="decimal"/>
      <w:suff w:val="tab"/>
      <w:lvlText w:val="%1."/>
      <w:rPr>
        <w:color w:val="3370ff"/>
      </w:rPr>
    </w:lvl>
  </w:abstractNum>
  <w:abstractNum w:abstractNumId="4311934">
    <w:lvl>
      <w:start w:val="3"/>
      <w:numFmt w:val="decimal"/>
      <w:suff w:val="tab"/>
      <w:lvlText w:val="%1."/>
      <w:rPr>
        <w:color w:val="3370ff"/>
      </w:rPr>
    </w:lvl>
  </w:abstractNum>
  <w:abstractNum w:abstractNumId="4311935">
    <w:lvl>
      <w:numFmt w:val="bullet"/>
      <w:suff w:val="tab"/>
      <w:lvlText w:val="￮"/>
      <w:rPr>
        <w:color w:val="3370ff"/>
      </w:rPr>
    </w:lvl>
  </w:abstractNum>
  <w:abstractNum w:abstractNumId="4311936">
    <w:lvl>
      <w:numFmt w:val="bullet"/>
      <w:suff w:val="tab"/>
      <w:lvlText w:val="￮"/>
      <w:rPr>
        <w:color w:val="3370ff"/>
      </w:rPr>
    </w:lvl>
  </w:abstractNum>
  <w:abstractNum w:abstractNumId="4311937">
    <w:lvl>
      <w:start w:val="1"/>
      <w:numFmt w:val="decimal"/>
      <w:suff w:val="tab"/>
      <w:lvlText w:val="%1."/>
      <w:rPr>
        <w:color w:val="3370ff"/>
      </w:rPr>
    </w:lvl>
  </w:abstractNum>
  <w:abstractNum w:abstractNumId="4311938">
    <w:lvl>
      <w:start w:val="2"/>
      <w:numFmt w:val="decimal"/>
      <w:suff w:val="tab"/>
      <w:lvlText w:val="%1."/>
      <w:rPr>
        <w:color w:val="3370ff"/>
      </w:rPr>
    </w:lvl>
  </w:abstractNum>
  <w:abstractNum w:abstractNumId="4311939">
    <w:lvl>
      <w:start w:val="3"/>
      <w:numFmt w:val="decimal"/>
      <w:suff w:val="tab"/>
      <w:lvlText w:val="%1."/>
      <w:rPr>
        <w:color w:val="3370ff"/>
      </w:rPr>
    </w:lvl>
  </w:abstractNum>
  <w:abstractNum w:abstractNumId="4311940">
    <w:lvl>
      <w:start w:val="4"/>
      <w:numFmt w:val="decimal"/>
      <w:suff w:val="tab"/>
      <w:lvlText w:val="%1."/>
      <w:rPr>
        <w:color w:val="3370ff"/>
      </w:rPr>
    </w:lvl>
  </w:abstractNum>
  <w:abstractNum w:abstractNumId="4311941">
    <w:lvl>
      <w:start w:val="5"/>
      <w:numFmt w:val="decimal"/>
      <w:suff w:val="tab"/>
      <w:lvlText w:val="%1."/>
      <w:rPr>
        <w:color w:val="3370ff"/>
      </w:rPr>
    </w:lvl>
  </w:abstractNum>
  <w:abstractNum w:abstractNumId="4311942">
    <w:lvl>
      <w:start w:val="1"/>
      <w:numFmt w:val="decimal"/>
      <w:suff w:val="tab"/>
      <w:lvlText w:val="%1."/>
      <w:rPr>
        <w:color w:val="3370ff"/>
      </w:rPr>
    </w:lvl>
  </w:abstractNum>
  <w:abstractNum w:abstractNumId="4311943">
    <w:lvl>
      <w:start w:val="2"/>
      <w:numFmt w:val="decimal"/>
      <w:suff w:val="tab"/>
      <w:lvlText w:val="%1."/>
      <w:rPr>
        <w:color w:val="3370ff"/>
      </w:rPr>
    </w:lvl>
  </w:abstractNum>
  <w:abstractNum w:abstractNumId="4311944">
    <w:lvl>
      <w:start w:val="3"/>
      <w:numFmt w:val="decimal"/>
      <w:suff w:val="tab"/>
      <w:lvlText w:val="%1."/>
      <w:rPr>
        <w:color w:val="3370ff"/>
      </w:rPr>
    </w:lvl>
  </w:abstractNum>
  <w:abstractNum w:abstractNumId="4311945">
    <w:lvl>
      <w:start w:val="4"/>
      <w:numFmt w:val="decimal"/>
      <w:suff w:val="tab"/>
      <w:lvlText w:val="%1."/>
      <w:rPr>
        <w:color w:val="3370ff"/>
      </w:rPr>
    </w:lvl>
  </w:abstractNum>
  <w:abstractNum w:abstractNumId="4311946">
    <w:lvl>
      <w:start w:val="1"/>
      <w:numFmt w:val="decimal"/>
      <w:suff w:val="tab"/>
      <w:lvlText w:val="%1."/>
      <w:rPr>
        <w:color w:val="3370ff"/>
      </w:rPr>
    </w:lvl>
  </w:abstractNum>
  <w:abstractNum w:abstractNumId="4311947">
    <w:lvl>
      <w:start w:val="2"/>
      <w:numFmt w:val="decimal"/>
      <w:suff w:val="tab"/>
      <w:lvlText w:val="%1."/>
      <w:rPr>
        <w:color w:val="3370ff"/>
      </w:rPr>
    </w:lvl>
  </w:abstractNum>
  <w:abstractNum w:abstractNumId="4311948">
    <w:lvl>
      <w:start w:val="3"/>
      <w:numFmt w:val="decimal"/>
      <w:suff w:val="tab"/>
      <w:lvlText w:val="%1."/>
      <w:rPr>
        <w:color w:val="3370ff"/>
      </w:rPr>
    </w:lvl>
  </w:abstractNum>
  <w:abstractNum w:abstractNumId="4311949">
    <w:lvl>
      <w:start w:val="4"/>
      <w:numFmt w:val="decimal"/>
      <w:suff w:val="tab"/>
      <w:lvlText w:val="%1."/>
      <w:rPr>
        <w:color w:val="3370ff"/>
      </w:rPr>
    </w:lvl>
  </w:abstractNum>
  <w:abstractNum w:abstractNumId="4311950">
    <w:lvl>
      <w:start w:val="5"/>
      <w:numFmt w:val="decimal"/>
      <w:suff w:val="tab"/>
      <w:lvlText w:val="%1."/>
      <w:rPr>
        <w:color w:val="3370ff"/>
      </w:rPr>
    </w:lvl>
  </w:abstractNum>
  <w:abstractNum w:abstractNumId="4311951">
    <w:lvl>
      <w:start w:val="1"/>
      <w:numFmt w:val="decimal"/>
      <w:suff w:val="tab"/>
      <w:lvlText w:val="%1."/>
      <w:rPr>
        <w:color w:val="3370ff"/>
      </w:rPr>
    </w:lvl>
  </w:abstractNum>
  <w:abstractNum w:abstractNumId="4311952">
    <w:lvl>
      <w:numFmt w:val="bullet"/>
      <w:suff w:val="tab"/>
      <w:lvlText w:val="￮"/>
      <w:rPr>
        <w:color w:val="3370ff"/>
      </w:rPr>
    </w:lvl>
  </w:abstractNum>
  <w:abstractNum w:abstractNumId="4311953">
    <w:lvl>
      <w:numFmt w:val="bullet"/>
      <w:suff w:val="tab"/>
      <w:lvlText w:val="￮"/>
      <w:rPr>
        <w:color w:val="3370ff"/>
      </w:rPr>
    </w:lvl>
  </w:abstractNum>
  <w:abstractNum w:abstractNumId="4311954">
    <w:lvl>
      <w:numFmt w:val="bullet"/>
      <w:suff w:val="tab"/>
      <w:lvlText w:val="￮"/>
      <w:rPr>
        <w:color w:val="3370ff"/>
      </w:rPr>
    </w:lvl>
  </w:abstractNum>
  <w:abstractNum w:abstractNumId="4311955">
    <w:lvl>
      <w:start w:val="2"/>
      <w:numFmt w:val="decimal"/>
      <w:suff w:val="tab"/>
      <w:lvlText w:val="%1."/>
      <w:rPr>
        <w:color w:val="3370ff"/>
      </w:rPr>
    </w:lvl>
  </w:abstractNum>
  <w:abstractNum w:abstractNumId="4311956">
    <w:lvl>
      <w:numFmt w:val="bullet"/>
      <w:suff w:val="tab"/>
      <w:lvlText w:val="￮"/>
      <w:rPr>
        <w:color w:val="3370ff"/>
      </w:rPr>
    </w:lvl>
  </w:abstractNum>
  <w:abstractNum w:abstractNumId="4311957">
    <w:lvl>
      <w:numFmt w:val="bullet"/>
      <w:suff w:val="tab"/>
      <w:lvlText w:val="￮"/>
      <w:rPr>
        <w:color w:val="3370ff"/>
      </w:rPr>
    </w:lvl>
  </w:abstractNum>
  <w:abstractNum w:abstractNumId="4311958">
    <w:lvl>
      <w:start w:val="3"/>
      <w:numFmt w:val="decimal"/>
      <w:suff w:val="tab"/>
      <w:lvlText w:val="%1."/>
      <w:rPr>
        <w:color w:val="3370ff"/>
      </w:rPr>
    </w:lvl>
  </w:abstractNum>
  <w:abstractNum w:abstractNumId="4311959">
    <w:lvl>
      <w:numFmt w:val="bullet"/>
      <w:suff w:val="tab"/>
      <w:lvlText w:val="￮"/>
      <w:rPr>
        <w:color w:val="3370ff"/>
      </w:rPr>
    </w:lvl>
  </w:abstractNum>
  <w:abstractNum w:abstractNumId="4311960">
    <w:lvl>
      <w:numFmt w:val="bullet"/>
      <w:suff w:val="tab"/>
      <w:lvlText w:val="￮"/>
      <w:rPr>
        <w:color w:val="3370ff"/>
      </w:rPr>
    </w:lvl>
  </w:abstractNum>
  <w:abstractNum w:abstractNumId="4311961">
    <w:lvl>
      <w:start w:val="4"/>
      <w:numFmt w:val="decimal"/>
      <w:suff w:val="tab"/>
      <w:lvlText w:val="%1."/>
      <w:rPr>
        <w:color w:val="3370ff"/>
      </w:rPr>
    </w:lvl>
  </w:abstractNum>
  <w:abstractNum w:abstractNumId="4311962">
    <w:lvl>
      <w:numFmt w:val="bullet"/>
      <w:suff w:val="tab"/>
      <w:lvlText w:val="￮"/>
      <w:rPr>
        <w:color w:val="3370ff"/>
      </w:rPr>
    </w:lvl>
  </w:abstractNum>
  <w:abstractNum w:abstractNumId="4311963">
    <w:lvl>
      <w:numFmt w:val="bullet"/>
      <w:suff w:val="tab"/>
      <w:lvlText w:val="￮"/>
      <w:rPr>
        <w:color w:val="3370ff"/>
      </w:rPr>
    </w:lvl>
  </w:abstractNum>
  <w:abstractNum w:abstractNumId="4311964">
    <w:lvl>
      <w:start w:val="1"/>
      <w:numFmt w:val="decimal"/>
      <w:suff w:val="tab"/>
      <w:lvlText w:val="%1."/>
      <w:rPr>
        <w:color w:val="3370ff"/>
      </w:rPr>
    </w:lvl>
  </w:abstractNum>
  <w:abstractNum w:abstractNumId="4311965">
    <w:lvl>
      <w:start w:val="2"/>
      <w:numFmt w:val="decimal"/>
      <w:suff w:val="tab"/>
      <w:lvlText w:val="%1."/>
      <w:rPr>
        <w:color w:val="3370ff"/>
      </w:rPr>
    </w:lvl>
  </w:abstractNum>
  <w:abstractNum w:abstractNumId="4311966">
    <w:lvl>
      <w:start w:val="3"/>
      <w:numFmt w:val="decimal"/>
      <w:suff w:val="tab"/>
      <w:lvlText w:val="%1."/>
      <w:rPr>
        <w:color w:val="3370ff"/>
      </w:rPr>
    </w:lvl>
  </w:abstractNum>
  <w:abstractNum w:abstractNumId="4311967">
    <w:lvl>
      <w:start w:val="1"/>
      <w:numFmt w:val="decimal"/>
      <w:suff w:val="tab"/>
      <w:lvlText w:val="%1."/>
      <w:rPr>
        <w:color w:val="3370ff"/>
      </w:rPr>
    </w:lvl>
  </w:abstractNum>
  <w:abstractNum w:abstractNumId="4311968">
    <w:lvl>
      <w:start w:val="2"/>
      <w:numFmt w:val="decimal"/>
      <w:suff w:val="tab"/>
      <w:lvlText w:val="%1."/>
      <w:rPr>
        <w:color w:val="3370ff"/>
      </w:rPr>
    </w:lvl>
  </w:abstractNum>
  <w:abstractNum w:abstractNumId="4311969">
    <w:lvl>
      <w:start w:val="3"/>
      <w:numFmt w:val="decimal"/>
      <w:suff w:val="tab"/>
      <w:lvlText w:val="%1."/>
      <w:rPr>
        <w:color w:val="3370ff"/>
      </w:rPr>
    </w:lvl>
  </w:abstractNum>
  <w:abstractNum w:abstractNumId="4311970">
    <w:lvl>
      <w:numFmt w:val="bullet"/>
      <w:suff w:val="tab"/>
      <w:lvlText w:val="￮"/>
      <w:rPr>
        <w:color w:val="3370ff"/>
      </w:rPr>
    </w:lvl>
  </w:abstractNum>
  <w:abstractNum w:abstractNumId="4311971">
    <w:lvl>
      <w:numFmt w:val="bullet"/>
      <w:suff w:val="tab"/>
      <w:lvlText w:val="￮"/>
      <w:rPr>
        <w:color w:val="3370ff"/>
      </w:rPr>
    </w:lvl>
  </w:abstractNum>
  <w:abstractNum w:abstractNumId="4311972">
    <w:lvl>
      <w:numFmt w:val="bullet"/>
      <w:suff w:val="tab"/>
      <w:lvlText w:val="￮"/>
      <w:rPr>
        <w:color w:val="3370ff"/>
      </w:rPr>
    </w:lvl>
  </w:abstractNum>
  <w:abstractNum w:abstractNumId="4311973">
    <w:lvl>
      <w:start w:val="4"/>
      <w:numFmt w:val="decimal"/>
      <w:suff w:val="tab"/>
      <w:lvlText w:val="%1."/>
      <w:rPr>
        <w:color w:val="3370ff"/>
      </w:rPr>
    </w:lvl>
  </w:abstractNum>
  <w:abstractNum w:abstractNumId="4311974">
    <w:lvl>
      <w:numFmt w:val="bullet"/>
      <w:suff w:val="tab"/>
      <w:lvlText w:val="￮"/>
      <w:rPr>
        <w:color w:val="3370ff"/>
      </w:rPr>
    </w:lvl>
  </w:abstractNum>
  <w:abstractNum w:abstractNumId="4311975">
    <w:lvl>
      <w:numFmt w:val="bullet"/>
      <w:suff w:val="tab"/>
      <w:lvlText w:val="￮"/>
      <w:rPr>
        <w:color w:val="3370ff"/>
      </w:rPr>
    </w:lvl>
  </w:abstractNum>
  <w:abstractNum w:abstractNumId="4311976">
    <w:lvl>
      <w:start w:val="1"/>
      <w:numFmt w:val="decimal"/>
      <w:suff w:val="tab"/>
      <w:lvlText w:val="%1."/>
      <w:rPr>
        <w:color w:val="3370ff"/>
      </w:rPr>
    </w:lvl>
  </w:abstractNum>
  <w:abstractNum w:abstractNumId="4311977">
    <w:lvl>
      <w:start w:val="2"/>
      <w:numFmt w:val="decimal"/>
      <w:suff w:val="tab"/>
      <w:lvlText w:val="%1."/>
      <w:rPr>
        <w:color w:val="3370ff"/>
      </w:rPr>
    </w:lvl>
  </w:abstractNum>
  <w:abstractNum w:abstractNumId="4311978">
    <w:lvl>
      <w:start w:val="3"/>
      <w:numFmt w:val="decimal"/>
      <w:suff w:val="tab"/>
      <w:lvlText w:val="%1."/>
      <w:rPr>
        <w:color w:val="3370ff"/>
      </w:rPr>
    </w:lvl>
  </w:abstractNum>
  <w:abstractNum w:abstractNumId="4311979">
    <w:lvl>
      <w:start w:val="1"/>
      <w:numFmt w:val="decimal"/>
      <w:suff w:val="tab"/>
      <w:lvlText w:val="%1."/>
      <w:rPr>
        <w:color w:val="3370ff"/>
      </w:rPr>
    </w:lvl>
  </w:abstractNum>
  <w:abstractNum w:abstractNumId="4311980">
    <w:lvl>
      <w:start w:val="2"/>
      <w:numFmt w:val="decimal"/>
      <w:suff w:val="tab"/>
      <w:lvlText w:val="%1."/>
      <w:rPr>
        <w:color w:val="3370ff"/>
      </w:rPr>
    </w:lvl>
  </w:abstractNum>
  <w:abstractNum w:abstractNumId="4311981">
    <w:lvl>
      <w:start w:val="3"/>
      <w:numFmt w:val="decimal"/>
      <w:suff w:val="tab"/>
      <w:lvlText w:val="%1."/>
      <w:rPr>
        <w:color w:val="3370ff"/>
      </w:rPr>
    </w:lvl>
  </w:abstractNum>
  <w:abstractNum w:abstractNumId="4311982">
    <w:lvl>
      <w:start w:val="4"/>
      <w:numFmt w:val="decimal"/>
      <w:suff w:val="tab"/>
      <w:lvlText w:val="%1."/>
      <w:rPr>
        <w:color w:val="3370ff"/>
      </w:rPr>
    </w:lvl>
  </w:abstractNum>
  <w:abstractNum w:abstractNumId="4311983">
    <w:lvl>
      <w:start w:val="1"/>
      <w:numFmt w:val="decimal"/>
      <w:suff w:val="tab"/>
      <w:lvlText w:val="%1."/>
      <w:rPr>
        <w:color w:val="3370ff"/>
      </w:rPr>
    </w:lvl>
  </w:abstractNum>
  <w:abstractNum w:abstractNumId="4311984">
    <w:lvl>
      <w:start w:val="2"/>
      <w:numFmt w:val="decimal"/>
      <w:suff w:val="tab"/>
      <w:lvlText w:val="%1."/>
      <w:rPr>
        <w:color w:val="3370ff"/>
      </w:rPr>
    </w:lvl>
  </w:abstractNum>
  <w:abstractNum w:abstractNumId="4311985">
    <w:lvl>
      <w:start w:val="3"/>
      <w:numFmt w:val="decimal"/>
      <w:suff w:val="tab"/>
      <w:lvlText w:val="%1."/>
      <w:rPr>
        <w:color w:val="3370ff"/>
      </w:rPr>
    </w:lvl>
  </w:abstractNum>
  <w:abstractNum w:abstractNumId="4311986">
    <w:lvl>
      <w:start w:val="4"/>
      <w:numFmt w:val="decimal"/>
      <w:suff w:val="tab"/>
      <w:lvlText w:val="%1."/>
      <w:rPr>
        <w:color w:val="3370ff"/>
      </w:rPr>
    </w:lvl>
  </w:abstractNum>
  <w:abstractNum w:abstractNumId="4311987">
    <w:lvl>
      <w:start w:val="1"/>
      <w:numFmt w:val="decimal"/>
      <w:suff w:val="tab"/>
      <w:lvlText w:val="%1."/>
      <w:rPr>
        <w:color w:val="3370ff"/>
      </w:rPr>
    </w:lvl>
  </w:abstractNum>
  <w:abstractNum w:abstractNumId="4311988">
    <w:lvl>
      <w:start w:val="2"/>
      <w:numFmt w:val="decimal"/>
      <w:suff w:val="tab"/>
      <w:lvlText w:val="%1."/>
      <w:rPr>
        <w:color w:val="3370ff"/>
      </w:rPr>
    </w:lvl>
  </w:abstractNum>
  <w:abstractNum w:abstractNumId="4311989">
    <w:lvl>
      <w:start w:val="3"/>
      <w:numFmt w:val="decimal"/>
      <w:suff w:val="tab"/>
      <w:lvlText w:val="%1."/>
      <w:rPr>
        <w:color w:val="3370ff"/>
      </w:rPr>
    </w:lvl>
  </w:abstractNum>
  <w:abstractNum w:abstractNumId="4311990">
    <w:lvl>
      <w:start w:val="4"/>
      <w:numFmt w:val="decimal"/>
      <w:suff w:val="tab"/>
      <w:lvlText w:val="%1."/>
      <w:rPr>
        <w:color w:val="3370ff"/>
      </w:rPr>
    </w:lvl>
  </w:abstractNum>
  <w:abstractNum w:abstractNumId="4311991">
    <w:lvl>
      <w:start w:val="5"/>
      <w:numFmt w:val="decimal"/>
      <w:suff w:val="tab"/>
      <w:lvlText w:val="%1."/>
      <w:rPr>
        <w:color w:val="3370ff"/>
      </w:rPr>
    </w:lvl>
  </w:abstractNum>
  <w:abstractNum w:abstractNumId="4311992">
    <w:lvl>
      <w:start w:val="1"/>
      <w:numFmt w:val="decimal"/>
      <w:suff w:val="tab"/>
      <w:lvlText w:val="%1."/>
      <w:rPr>
        <w:color w:val="3370ff"/>
      </w:rPr>
    </w:lvl>
  </w:abstractNum>
  <w:abstractNum w:abstractNumId="4311993">
    <w:lvl>
      <w:start w:val="2"/>
      <w:numFmt w:val="decimal"/>
      <w:suff w:val="tab"/>
      <w:lvlText w:val="%1."/>
      <w:rPr>
        <w:color w:val="3370ff"/>
      </w:rPr>
    </w:lvl>
  </w:abstractNum>
  <w:abstractNum w:abstractNumId="4311994">
    <w:lvl>
      <w:start w:val="3"/>
      <w:numFmt w:val="decimal"/>
      <w:suff w:val="tab"/>
      <w:lvlText w:val="%1."/>
      <w:rPr>
        <w:color w:val="3370ff"/>
      </w:rPr>
    </w:lvl>
  </w:abstractNum>
  <w:num w:numId="1">
    <w:abstractNumId w:val="4311898"/>
  </w:num>
  <w:num w:numId="2">
    <w:abstractNumId w:val="4311899"/>
  </w:num>
  <w:num w:numId="3">
    <w:abstractNumId w:val="4311900"/>
  </w:num>
  <w:num w:numId="4">
    <w:abstractNumId w:val="4311901"/>
  </w:num>
  <w:num w:numId="5">
    <w:abstractNumId w:val="4311902"/>
  </w:num>
  <w:num w:numId="6">
    <w:abstractNumId w:val="4311903"/>
  </w:num>
  <w:num w:numId="7">
    <w:abstractNumId w:val="4311904"/>
  </w:num>
  <w:num w:numId="8">
    <w:abstractNumId w:val="4311905"/>
  </w:num>
  <w:num w:numId="9">
    <w:abstractNumId w:val="4311906"/>
  </w:num>
  <w:num w:numId="10">
    <w:abstractNumId w:val="4311907"/>
  </w:num>
  <w:num w:numId="11">
    <w:abstractNumId w:val="4311908"/>
  </w:num>
  <w:num w:numId="12">
    <w:abstractNumId w:val="4311909"/>
  </w:num>
  <w:num w:numId="13">
    <w:abstractNumId w:val="4311910"/>
  </w:num>
  <w:num w:numId="14">
    <w:abstractNumId w:val="4311911"/>
  </w:num>
  <w:num w:numId="15">
    <w:abstractNumId w:val="4311912"/>
  </w:num>
  <w:num w:numId="16">
    <w:abstractNumId w:val="4311913"/>
  </w:num>
  <w:num w:numId="17">
    <w:abstractNumId w:val="4311914"/>
  </w:num>
  <w:num w:numId="18">
    <w:abstractNumId w:val="4311915"/>
  </w:num>
  <w:num w:numId="19">
    <w:abstractNumId w:val="4311916"/>
  </w:num>
  <w:num w:numId="20">
    <w:abstractNumId w:val="4311917"/>
  </w:num>
  <w:num w:numId="21">
    <w:abstractNumId w:val="4311918"/>
  </w:num>
  <w:num w:numId="22">
    <w:abstractNumId w:val="4311919"/>
  </w:num>
  <w:num w:numId="23">
    <w:abstractNumId w:val="4311920"/>
  </w:num>
  <w:num w:numId="24">
    <w:abstractNumId w:val="4311921"/>
  </w:num>
  <w:num w:numId="25">
    <w:abstractNumId w:val="4311922"/>
  </w:num>
  <w:num w:numId="26">
    <w:abstractNumId w:val="4311923"/>
  </w:num>
  <w:num w:numId="27">
    <w:abstractNumId w:val="4311924"/>
  </w:num>
  <w:num w:numId="28">
    <w:abstractNumId w:val="4311925"/>
  </w:num>
  <w:num w:numId="29">
    <w:abstractNumId w:val="4311926"/>
  </w:num>
  <w:num w:numId="30">
    <w:abstractNumId w:val="4311927"/>
  </w:num>
  <w:num w:numId="31">
    <w:abstractNumId w:val="4311928"/>
  </w:num>
  <w:num w:numId="32">
    <w:abstractNumId w:val="4311929"/>
  </w:num>
  <w:num w:numId="33">
    <w:abstractNumId w:val="4311930"/>
  </w:num>
  <w:num w:numId="34">
    <w:abstractNumId w:val="4311931"/>
  </w:num>
  <w:num w:numId="35">
    <w:abstractNumId w:val="4311932"/>
  </w:num>
  <w:num w:numId="36">
    <w:abstractNumId w:val="4311933"/>
  </w:num>
  <w:num w:numId="37">
    <w:abstractNumId w:val="4311934"/>
  </w:num>
  <w:num w:numId="38">
    <w:abstractNumId w:val="4311935"/>
  </w:num>
  <w:num w:numId="39">
    <w:abstractNumId w:val="4311936"/>
  </w:num>
  <w:num w:numId="40">
    <w:abstractNumId w:val="4311937"/>
  </w:num>
  <w:num w:numId="41">
    <w:abstractNumId w:val="4311938"/>
  </w:num>
  <w:num w:numId="42">
    <w:abstractNumId w:val="4311939"/>
  </w:num>
  <w:num w:numId="43">
    <w:abstractNumId w:val="4311940"/>
  </w:num>
  <w:num w:numId="44">
    <w:abstractNumId w:val="4311941"/>
  </w:num>
  <w:num w:numId="45">
    <w:abstractNumId w:val="4311942"/>
  </w:num>
  <w:num w:numId="46">
    <w:abstractNumId w:val="4311943"/>
  </w:num>
  <w:num w:numId="47">
    <w:abstractNumId w:val="4311944"/>
  </w:num>
  <w:num w:numId="48">
    <w:abstractNumId w:val="4311945"/>
  </w:num>
  <w:num w:numId="49">
    <w:abstractNumId w:val="4311946"/>
  </w:num>
  <w:num w:numId="50">
    <w:abstractNumId w:val="4311947"/>
  </w:num>
  <w:num w:numId="51">
    <w:abstractNumId w:val="4311948"/>
  </w:num>
  <w:num w:numId="52">
    <w:abstractNumId w:val="4311949"/>
  </w:num>
  <w:num w:numId="53">
    <w:abstractNumId w:val="4311950"/>
  </w:num>
  <w:num w:numId="54">
    <w:abstractNumId w:val="4311951"/>
  </w:num>
  <w:num w:numId="55">
    <w:abstractNumId w:val="4311952"/>
  </w:num>
  <w:num w:numId="56">
    <w:abstractNumId w:val="4311953"/>
  </w:num>
  <w:num w:numId="57">
    <w:abstractNumId w:val="4311954"/>
  </w:num>
  <w:num w:numId="58">
    <w:abstractNumId w:val="4311955"/>
  </w:num>
  <w:num w:numId="59">
    <w:abstractNumId w:val="4311956"/>
  </w:num>
  <w:num w:numId="60">
    <w:abstractNumId w:val="4311957"/>
  </w:num>
  <w:num w:numId="61">
    <w:abstractNumId w:val="4311958"/>
  </w:num>
  <w:num w:numId="62">
    <w:abstractNumId w:val="4311959"/>
  </w:num>
  <w:num w:numId="63">
    <w:abstractNumId w:val="4311960"/>
  </w:num>
  <w:num w:numId="64">
    <w:abstractNumId w:val="4311961"/>
  </w:num>
  <w:num w:numId="65">
    <w:abstractNumId w:val="4311962"/>
  </w:num>
  <w:num w:numId="66">
    <w:abstractNumId w:val="4311963"/>
  </w:num>
  <w:num w:numId="67">
    <w:abstractNumId w:val="4311964"/>
  </w:num>
  <w:num w:numId="68">
    <w:abstractNumId w:val="4311965"/>
  </w:num>
  <w:num w:numId="69">
    <w:abstractNumId w:val="4311966"/>
  </w:num>
  <w:num w:numId="70">
    <w:abstractNumId w:val="4311967"/>
  </w:num>
  <w:num w:numId="71">
    <w:abstractNumId w:val="4311968"/>
  </w:num>
  <w:num w:numId="72">
    <w:abstractNumId w:val="4311969"/>
  </w:num>
  <w:num w:numId="73">
    <w:abstractNumId w:val="4311970"/>
  </w:num>
  <w:num w:numId="74">
    <w:abstractNumId w:val="4311971"/>
  </w:num>
  <w:num w:numId="75">
    <w:abstractNumId w:val="4311972"/>
  </w:num>
  <w:num w:numId="76">
    <w:abstractNumId w:val="4311973"/>
  </w:num>
  <w:num w:numId="77">
    <w:abstractNumId w:val="4311974"/>
  </w:num>
  <w:num w:numId="78">
    <w:abstractNumId w:val="4311975"/>
  </w:num>
  <w:num w:numId="79">
    <w:abstractNumId w:val="4311976"/>
  </w:num>
  <w:num w:numId="80">
    <w:abstractNumId w:val="4311977"/>
  </w:num>
  <w:num w:numId="81">
    <w:abstractNumId w:val="4311978"/>
  </w:num>
  <w:num w:numId="82">
    <w:abstractNumId w:val="4311979"/>
  </w:num>
  <w:num w:numId="83">
    <w:abstractNumId w:val="4311980"/>
  </w:num>
  <w:num w:numId="84">
    <w:abstractNumId w:val="4311981"/>
  </w:num>
  <w:num w:numId="85">
    <w:abstractNumId w:val="4311982"/>
  </w:num>
  <w:num w:numId="86">
    <w:abstractNumId w:val="4311983"/>
  </w:num>
  <w:num w:numId="87">
    <w:abstractNumId w:val="4311984"/>
  </w:num>
  <w:num w:numId="88">
    <w:abstractNumId w:val="4311985"/>
  </w:num>
  <w:num w:numId="89">
    <w:abstractNumId w:val="4311986"/>
  </w:num>
  <w:num w:numId="90">
    <w:abstractNumId w:val="4311987"/>
  </w:num>
  <w:num w:numId="91">
    <w:abstractNumId w:val="4311988"/>
  </w:num>
  <w:num w:numId="92">
    <w:abstractNumId w:val="4311989"/>
  </w:num>
  <w:num w:numId="93">
    <w:abstractNumId w:val="4311990"/>
  </w:num>
  <w:num w:numId="94">
    <w:abstractNumId w:val="4311991"/>
  </w:num>
  <w:num w:numId="95">
    <w:abstractNumId w:val="4311992"/>
  </w:num>
  <w:num w:numId="96">
    <w:abstractNumId w:val="4311993"/>
  </w:num>
  <w:num w:numId="97">
    <w:abstractNumId w:val="431199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2026-01-19T05:23:58Z</dcterms:created>
  <dc:creator>Apache POI</dc:creator>
</cp:coreProperties>
</file>