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62DF64">
      <w:pPr>
        <w:spacing w:before="480" w:after="480" w:line="288" w:lineRule="auto"/>
        <w:ind w:left="0"/>
      </w:pPr>
      <w:bookmarkStart w:id="31" w:name="_GoBack"/>
      <w:bookmarkEnd w:id="31"/>
      <w:r>
        <w:rPr>
          <w:rFonts w:ascii="Arial" w:hAnsi="Arial" w:eastAsia="等线" w:cs="Arial"/>
          <w:b/>
          <w:sz w:val="52"/>
        </w:rPr>
        <w:t>《NAC原生公链KYC（尽职调查）细则法典》</w:t>
      </w:r>
    </w:p>
    <w:p w14:paraId="5ACC507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序章：KYC的宪法地位与核心哲学</w:t>
      </w:r>
      <w:bookmarkEnd w:id="0"/>
    </w:p>
    <w:p w14:paraId="024AAD54">
      <w:pPr>
        <w:spacing w:before="300" w:after="120" w:line="288" w:lineRule="auto"/>
        <w:ind w:left="0"/>
        <w:jc w:val="left"/>
        <w:outlineLvl w:val="2"/>
      </w:pPr>
      <w:bookmarkStart w:id="1" w:name="heading_1"/>
      <w:r>
        <w:rPr>
          <w:rFonts w:ascii="Arial" w:hAnsi="Arial" w:eastAsia="等线" w:cs="Arial"/>
          <w:b/>
          <w:sz w:val="30"/>
        </w:rPr>
        <w:t>0.1 KYC在NAC公链体系中的宪法定位</w:t>
      </w:r>
      <w:bookmarkEnd w:id="1"/>
    </w:p>
    <w:p w14:paraId="4F9D4F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在NAC原生公链中，KYC（Know Your Customer）不仅是合规要求，更是</w:t>
      </w:r>
      <w:r>
        <w:rPr>
          <w:rFonts w:ascii="Arial" w:hAnsi="Arial" w:eastAsia="等线" w:cs="Arial"/>
          <w:b/>
          <w:sz w:val="22"/>
        </w:rPr>
        <w:t>链上数字主权的起源、价值流转的信任基石与生态安全的防火墙</w:t>
      </w:r>
      <w:r>
        <w:rPr>
          <w:rFonts w:ascii="Arial" w:hAnsi="Arial" w:eastAsia="等线" w:cs="Arial"/>
          <w:sz w:val="22"/>
        </w:rPr>
        <w:t>。其宪法地位体现为：</w:t>
      </w:r>
    </w:p>
    <w:p w14:paraId="7F9D0856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主权锚定原点</w:t>
      </w:r>
      <w:r>
        <w:rPr>
          <w:rFonts w:ascii="Arial" w:hAnsi="Arial" w:eastAsia="等线" w:cs="Arial"/>
          <w:sz w:val="22"/>
        </w:rPr>
        <w:t>：KYC是OwnerDID与链下真实法律实体建立唯一、可验证关联的</w:t>
      </w:r>
      <w:r>
        <w:rPr>
          <w:rFonts w:ascii="Arial" w:hAnsi="Arial" w:eastAsia="等线" w:cs="Arial"/>
          <w:b/>
          <w:sz w:val="22"/>
        </w:rPr>
        <w:t>强制性起点</w:t>
      </w:r>
      <w:r>
        <w:rPr>
          <w:rFonts w:ascii="Arial" w:hAnsi="Arial" w:eastAsia="等线" w:cs="Arial"/>
          <w:sz w:val="22"/>
        </w:rPr>
        <w:t>。无有效KYC，则无法生成具备完整主权的OwnerDID，任何资产上链与价值操作均被禁止。</w:t>
      </w:r>
    </w:p>
    <w:p w14:paraId="13B01A44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合规引擎的燃料</w:t>
      </w:r>
      <w:r>
        <w:rPr>
          <w:rFonts w:ascii="Arial" w:hAnsi="Arial" w:eastAsia="等线" w:cs="Arial"/>
          <w:sz w:val="22"/>
        </w:rPr>
        <w:t>：通过KYC收集的标准化、多维度身份与行为数据，是AI合规引擎进行七层合规检查（特别是权属、反洗钱、跨辖区适配层）的</w:t>
      </w:r>
      <w:r>
        <w:rPr>
          <w:rFonts w:ascii="Arial" w:hAnsi="Arial" w:eastAsia="等线" w:cs="Arial"/>
          <w:b/>
          <w:sz w:val="22"/>
        </w:rPr>
        <w:t>核心输入</w:t>
      </w:r>
      <w:r>
        <w:rPr>
          <w:rFonts w:ascii="Arial" w:hAnsi="Arial" w:eastAsia="等线" w:cs="Arial"/>
          <w:sz w:val="22"/>
        </w:rPr>
        <w:t>。</w:t>
      </w:r>
    </w:p>
    <w:p w14:paraId="2C43FBB5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风险定价的基石</w:t>
      </w:r>
      <w:r>
        <w:rPr>
          <w:rFonts w:ascii="Arial" w:hAnsi="Arial" w:eastAsia="等线" w:cs="Arial"/>
          <w:sz w:val="22"/>
        </w:rPr>
        <w:t>：用户与实体的KYC等级直接关联其资产上链的</w:t>
      </w:r>
      <w:r>
        <w:rPr>
          <w:rFonts w:ascii="Arial" w:hAnsi="Arial" w:eastAsia="等线" w:cs="Arial"/>
          <w:b/>
          <w:sz w:val="22"/>
        </w:rPr>
        <w:t>风险权重、质押率上限、能耗费率及审批路径</w:t>
      </w:r>
      <w:r>
        <w:rPr>
          <w:rFonts w:ascii="Arial" w:hAnsi="Arial" w:eastAsia="等线" w:cs="Arial"/>
          <w:sz w:val="22"/>
        </w:rPr>
        <w:t>，实现风险与成本的精确匹配。</w:t>
      </w:r>
    </w:p>
    <w:p w14:paraId="7F637356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生态治理的门槛</w:t>
      </w:r>
      <w:r>
        <w:rPr>
          <w:rFonts w:ascii="Arial" w:hAnsi="Arial" w:eastAsia="等线" w:cs="Arial"/>
          <w:sz w:val="22"/>
        </w:rPr>
        <w:t>：参与XIC治理投票、担任验证节点、申请生态基金等高级权限，均以特定KYC等级为前提，确保治理权掌握在可信主体手中。</w:t>
      </w:r>
    </w:p>
    <w:p w14:paraId="3384B8DB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0.2 核心原则</w:t>
      </w:r>
      <w:bookmarkEnd w:id="2"/>
    </w:p>
    <w:p w14:paraId="2C2CAC48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最小必要原则</w:t>
      </w:r>
      <w:r>
        <w:rPr>
          <w:rFonts w:ascii="Arial" w:hAnsi="Arial" w:eastAsia="等线" w:cs="Arial"/>
          <w:sz w:val="22"/>
        </w:rPr>
        <w:t>：仅收集和验证完成特定业务所必需的身份信息，并区分等级。</w:t>
      </w:r>
    </w:p>
    <w:p w14:paraId="0E685764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一次验证，全网通行原则</w:t>
      </w:r>
      <w:r>
        <w:rPr>
          <w:rFonts w:ascii="Arial" w:hAnsi="Arial" w:eastAsia="等线" w:cs="Arial"/>
          <w:sz w:val="22"/>
        </w:rPr>
        <w:t>：一个主体通过KYC验证后，其OwnerDID可在NAC公链所有DApp和场景中复用身份，无需重复验证。</w:t>
      </w:r>
    </w:p>
    <w:p w14:paraId="29563989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隐私与透明平衡原则</w:t>
      </w:r>
      <w:r>
        <w:rPr>
          <w:rFonts w:ascii="Arial" w:hAnsi="Arial" w:eastAsia="等线" w:cs="Arial"/>
          <w:sz w:val="22"/>
        </w:rPr>
        <w:t>：采用零知识证明（ZKP）等技术，在验证身份属性的同时，保护原始数据隐私；验证结果与信用评分在授权范围内可查。</w:t>
      </w:r>
    </w:p>
    <w:p w14:paraId="41F1B013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动态持续原则</w:t>
      </w:r>
      <w:r>
        <w:rPr>
          <w:rFonts w:ascii="Arial" w:hAnsi="Arial" w:eastAsia="等线" w:cs="Arial"/>
          <w:sz w:val="22"/>
        </w:rPr>
        <w:t>：KYC非一次性动作，而是伴随主体风险状况变化的持续监控与周期性复审过程。</w:t>
      </w:r>
    </w:p>
    <w:p w14:paraId="1AF9E743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全球标准，本地适配原则</w:t>
      </w:r>
      <w:r>
        <w:rPr>
          <w:rFonts w:ascii="Arial" w:hAnsi="Arial" w:eastAsia="等线" w:cs="Arial"/>
          <w:sz w:val="22"/>
        </w:rPr>
        <w:t>：遵循FATF、沃尔夫斯堡集团等国际标准，同时通过AI合规引擎动态适配各司法辖区的具体监管要求。</w:t>
      </w:r>
    </w:p>
    <w:p w14:paraId="2B7140EB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759F95C4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第一章：KYC分级体系与标准</w:t>
      </w:r>
      <w:bookmarkEnd w:id="3"/>
    </w:p>
    <w:p w14:paraId="1BBE82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NAC公链实行</w:t>
      </w:r>
      <w:r>
        <w:rPr>
          <w:rFonts w:ascii="Arial" w:hAnsi="Arial" w:eastAsia="等线" w:cs="Arial"/>
          <w:b/>
          <w:sz w:val="22"/>
        </w:rPr>
        <w:t>五级KYC体系</w:t>
      </w:r>
      <w:r>
        <w:rPr>
          <w:rFonts w:ascii="Arial" w:hAnsi="Arial" w:eastAsia="等线" w:cs="Arial"/>
          <w:sz w:val="22"/>
        </w:rPr>
        <w:t>，根据验证深度、信息维度和授权范围进行划分。</w:t>
      </w:r>
    </w:p>
    <w:p w14:paraId="345D8E9D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1.1 KYC 0级：匿名体验者</w:t>
      </w:r>
      <w:bookmarkEnd w:id="4"/>
    </w:p>
    <w:p w14:paraId="225C5612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适用对象</w:t>
      </w:r>
      <w:r>
        <w:rPr>
          <w:rFonts w:ascii="Arial" w:hAnsi="Arial" w:eastAsia="等线" w:cs="Arial"/>
          <w:sz w:val="22"/>
        </w:rPr>
        <w:t>：仅浏览公开链上数据、使用非交互式基础服务的用户。</w:t>
      </w:r>
    </w:p>
    <w:p w14:paraId="24D8EBEC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验证要求</w:t>
      </w:r>
      <w:r>
        <w:rPr>
          <w:rFonts w:ascii="Arial" w:hAnsi="Arial" w:eastAsia="等线" w:cs="Arial"/>
          <w:sz w:val="22"/>
        </w:rPr>
        <w:t>：无需身份验证，生成临时、无主权属性的访客DID。</w:t>
      </w:r>
    </w:p>
    <w:p w14:paraId="26D31D5A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权限范围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36447123">
      <w:pPr>
        <w:numPr>
          <w:ilvl w:val="0"/>
          <w:numId w:val="1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浏览区块链浏览器公开信息。</w:t>
      </w:r>
    </w:p>
    <w:p w14:paraId="1DDEAEA9">
      <w:pPr>
        <w:numPr>
          <w:ilvl w:val="0"/>
          <w:numId w:val="1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查询公开的资产估值数据。</w:t>
      </w:r>
    </w:p>
    <w:p w14:paraId="01C49285">
      <w:pPr>
        <w:numPr>
          <w:ilvl w:val="0"/>
          <w:numId w:val="1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禁止</w:t>
      </w:r>
      <w:r>
        <w:rPr>
          <w:rFonts w:ascii="Arial" w:hAnsi="Arial" w:eastAsia="等线" w:cs="Arial"/>
          <w:sz w:val="22"/>
        </w:rPr>
        <w:t>：发起交易、持有资产、参与任何与价值流转相关的操作。</w:t>
      </w:r>
    </w:p>
    <w:p w14:paraId="0392367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有效期</w:t>
      </w:r>
      <w:r>
        <w:rPr>
          <w:rFonts w:ascii="Arial" w:hAnsi="Arial" w:eastAsia="等线" w:cs="Arial"/>
          <w:sz w:val="22"/>
        </w:rPr>
        <w:t>：会话期间有效。</w:t>
      </w:r>
    </w:p>
    <w:p w14:paraId="7673BB66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1.2 KYC 1级：基础用户</w:t>
      </w:r>
      <w:bookmarkEnd w:id="5"/>
    </w:p>
    <w:p w14:paraId="4C75265F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适用对象</w:t>
      </w:r>
      <w:r>
        <w:rPr>
          <w:rFonts w:ascii="Arial" w:hAnsi="Arial" w:eastAsia="等线" w:cs="Arial"/>
          <w:sz w:val="22"/>
        </w:rPr>
        <w:t>：进行小额XTZH交易、持有非敏感性数字资产（如部分9901类数字创作）的个人。</w:t>
      </w:r>
    </w:p>
    <w:p w14:paraId="767666CA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验证要求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</w:p>
    <w:p w14:paraId="5CD549D7">
      <w:pPr>
        <w:numPr>
          <w:ilvl w:val="0"/>
          <w:numId w:val="1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手机号/邮箱验证。</w:t>
      </w:r>
    </w:p>
    <w:p w14:paraId="7A8E8E06">
      <w:pPr>
        <w:numPr>
          <w:ilvl w:val="0"/>
          <w:numId w:val="2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姓名（或常用名）。</w:t>
      </w:r>
    </w:p>
    <w:p w14:paraId="54C14A99">
      <w:pPr>
        <w:numPr>
          <w:ilvl w:val="0"/>
          <w:numId w:val="2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人脸识别（活体检测）。</w:t>
      </w:r>
    </w:p>
    <w:p w14:paraId="0A0E61DF">
      <w:pPr>
        <w:numPr>
          <w:ilvl w:val="0"/>
          <w:numId w:val="2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声明国籍与常居地。</w:t>
      </w:r>
    </w:p>
    <w:p w14:paraId="3BACBC30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权限范围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5F1FC1B4">
      <w:pPr>
        <w:numPr>
          <w:ilvl w:val="0"/>
          <w:numId w:val="2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创建并持有具有基础主权的OwnerDID。</w:t>
      </w:r>
    </w:p>
    <w:p w14:paraId="267A537A">
      <w:pPr>
        <w:numPr>
          <w:ilvl w:val="0"/>
          <w:numId w:val="2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铸造和交易</w:t>
      </w:r>
      <w:r>
        <w:rPr>
          <w:rFonts w:ascii="Arial" w:hAnsi="Arial" w:eastAsia="等线" w:cs="Arial"/>
          <w:b/>
          <w:sz w:val="22"/>
        </w:rPr>
        <w:t>风险权重≥100%</w:t>
      </w:r>
      <w:r>
        <w:rPr>
          <w:rFonts w:ascii="Arial" w:hAnsi="Arial" w:eastAsia="等线" w:cs="Arial"/>
          <w:sz w:val="22"/>
        </w:rPr>
        <w:t xml:space="preserve">或估值低于 </w:t>
      </w:r>
      <w:r>
        <w:rPr>
          <w:rFonts w:ascii="Arial" w:hAnsi="Arial" w:eastAsia="等线" w:cs="Arial"/>
          <w:b/>
          <w:sz w:val="22"/>
        </w:rPr>
        <w:t>$10,000 XTZH等值</w:t>
      </w:r>
      <w:r>
        <w:rPr>
          <w:rFonts w:ascii="Arial" w:hAnsi="Arial" w:eastAsia="等线" w:cs="Arial"/>
          <w:sz w:val="22"/>
        </w:rPr>
        <w:t xml:space="preserve"> 的资产。</w:t>
      </w:r>
    </w:p>
    <w:p w14:paraId="47F3E897">
      <w:pPr>
        <w:numPr>
          <w:ilvl w:val="0"/>
          <w:numId w:val="2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参与质押率≤50%的质押活动。</w:t>
      </w:r>
    </w:p>
    <w:p w14:paraId="7048BF5D">
      <w:pPr>
        <w:numPr>
          <w:ilvl w:val="0"/>
          <w:numId w:val="2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每日累计交易/转账额度 ≤ </w:t>
      </w:r>
      <w:r>
        <w:rPr>
          <w:rFonts w:ascii="Arial" w:hAnsi="Arial" w:eastAsia="等线" w:cs="Arial"/>
          <w:b/>
          <w:sz w:val="22"/>
        </w:rPr>
        <w:t>$5,000 XTZH等值</w:t>
      </w:r>
      <w:r>
        <w:rPr>
          <w:rFonts w:ascii="Arial" w:hAnsi="Arial" w:eastAsia="等线" w:cs="Arial"/>
          <w:sz w:val="22"/>
        </w:rPr>
        <w:t>。</w:t>
      </w:r>
    </w:p>
    <w:p w14:paraId="4102E08F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有效期</w:t>
      </w:r>
      <w:r>
        <w:rPr>
          <w:rFonts w:ascii="Arial" w:hAnsi="Arial" w:eastAsia="等线" w:cs="Arial"/>
          <w:sz w:val="22"/>
        </w:rPr>
        <w:t>：1年，需定期更新人脸识别。</w:t>
      </w:r>
    </w:p>
    <w:p w14:paraId="27F0E51D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1.3 KYC 2级：已验证个人</w:t>
      </w:r>
      <w:bookmarkEnd w:id="6"/>
    </w:p>
    <w:p w14:paraId="3D545CAA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适用对象</w:t>
      </w:r>
      <w:r>
        <w:rPr>
          <w:rFonts w:ascii="Arial" w:hAnsi="Arial" w:eastAsia="等线" w:cs="Arial"/>
          <w:sz w:val="22"/>
        </w:rPr>
        <w:t>：大多数个人资产上链、参与DeFi、进行常规交易的个人用户。</w:t>
      </w:r>
    </w:p>
    <w:p w14:paraId="52E546D0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验证要求</w:t>
      </w:r>
      <w:r>
        <w:rPr>
          <w:rFonts w:ascii="Arial" w:hAnsi="Arial" w:eastAsia="等线" w:cs="Arial"/>
          <w:sz w:val="22"/>
        </w:rPr>
        <w:t>（在KYC 1级基础上增加）：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23D99C6D">
      <w:pPr>
        <w:numPr>
          <w:ilvl w:val="0"/>
          <w:numId w:val="3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政府签发带照片的有效身份证件（护照、身份证、驾照）验证。</w:t>
      </w:r>
    </w:p>
    <w:p w14:paraId="6F59AFDE">
      <w:pPr>
        <w:numPr>
          <w:ilvl w:val="0"/>
          <w:numId w:val="3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居住地址证明（近3个月的水电煤账单、银行对账单）。</w:t>
      </w:r>
    </w:p>
    <w:p w14:paraId="2352E898">
      <w:pPr>
        <w:numPr>
          <w:ilvl w:val="0"/>
          <w:numId w:val="3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视频面试或生物特征深度比对。</w:t>
      </w:r>
    </w:p>
    <w:p w14:paraId="041693C9">
      <w:pPr>
        <w:numPr>
          <w:ilvl w:val="0"/>
          <w:numId w:val="3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资金来源与财富水平的初步声明。</w:t>
      </w:r>
    </w:p>
    <w:p w14:paraId="516F088D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权限范围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6456A74E">
      <w:pPr>
        <w:numPr>
          <w:ilvl w:val="0"/>
          <w:numId w:val="3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可上链</w:t>
      </w:r>
      <w:r>
        <w:rPr>
          <w:rFonts w:ascii="Arial" w:hAnsi="Arial" w:eastAsia="等线" w:cs="Arial"/>
          <w:b/>
          <w:sz w:val="22"/>
        </w:rPr>
        <w:t>所有允许个人持有的资产类型</w:t>
      </w:r>
      <w:r>
        <w:rPr>
          <w:rFonts w:ascii="Arial" w:hAnsi="Arial" w:eastAsia="等线" w:cs="Arial"/>
          <w:sz w:val="22"/>
        </w:rPr>
        <w:t>（需满足对应资产的具体合规要求）。</w:t>
      </w:r>
    </w:p>
    <w:p w14:paraId="43605DD3">
      <w:pPr>
        <w:numPr>
          <w:ilvl w:val="0"/>
          <w:numId w:val="3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可进行</w:t>
      </w:r>
      <w:r>
        <w:rPr>
          <w:rFonts w:ascii="Arial" w:hAnsi="Arial" w:eastAsia="等线" w:cs="Arial"/>
          <w:b/>
          <w:sz w:val="22"/>
        </w:rPr>
        <w:t>风险权重≥50%</w:t>
      </w:r>
      <w:r>
        <w:rPr>
          <w:rFonts w:ascii="Arial" w:hAnsi="Arial" w:eastAsia="等线" w:cs="Arial"/>
          <w:sz w:val="22"/>
        </w:rPr>
        <w:t>资产的质押，质押率遵循通用规则。</w:t>
      </w:r>
    </w:p>
    <w:p w14:paraId="593E915A">
      <w:pPr>
        <w:numPr>
          <w:ilvl w:val="0"/>
          <w:numId w:val="3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 xml:space="preserve">每日累计交易/转账额度 ≤ </w:t>
      </w:r>
      <w:r>
        <w:rPr>
          <w:rFonts w:ascii="Arial" w:hAnsi="Arial" w:eastAsia="等线" w:cs="Arial"/>
          <w:b/>
          <w:sz w:val="22"/>
        </w:rPr>
        <w:t>$50,000 XTZH等值</w:t>
      </w:r>
      <w:r>
        <w:rPr>
          <w:rFonts w:ascii="Arial" w:hAnsi="Arial" w:eastAsia="等线" w:cs="Arial"/>
          <w:sz w:val="22"/>
        </w:rPr>
        <w:t>。</w:t>
      </w:r>
    </w:p>
    <w:p w14:paraId="35AB726B">
      <w:pPr>
        <w:numPr>
          <w:ilvl w:val="0"/>
          <w:numId w:val="3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可参与大多数治理提案的投票（投票权重受XIC持有量影响）。</w:t>
      </w:r>
    </w:p>
    <w:p w14:paraId="6A20662F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有效期</w:t>
      </w:r>
      <w:r>
        <w:rPr>
          <w:rFonts w:ascii="Arial" w:hAnsi="Arial" w:eastAsia="等线" w:cs="Arial"/>
          <w:sz w:val="22"/>
        </w:rPr>
        <w:t>：2年，地址证明每年更新。</w:t>
      </w:r>
    </w:p>
    <w:p w14:paraId="75699363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1.4 KYC 3级：机构与高净值个人</w:t>
      </w:r>
      <w:bookmarkEnd w:id="7"/>
    </w:p>
    <w:p w14:paraId="18238654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适用对象</w:t>
      </w:r>
      <w:r>
        <w:rPr>
          <w:rFonts w:ascii="Arial" w:hAnsi="Arial" w:eastAsia="等线" w:cs="Arial"/>
          <w:sz w:val="22"/>
        </w:rPr>
        <w:t>：企业、基金、信托等法人实体，以及需要高额度的专业投资者/高净值个人。</w:t>
      </w:r>
    </w:p>
    <w:p w14:paraId="1E218EE3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验证要求</w:t>
      </w:r>
      <w:r>
        <w:rPr>
          <w:rFonts w:ascii="Arial" w:hAnsi="Arial" w:eastAsia="等线" w:cs="Arial"/>
          <w:sz w:val="22"/>
        </w:rPr>
        <w:t>（极其严格）：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2B580102">
      <w:pPr>
        <w:numPr>
          <w:ilvl w:val="0"/>
          <w:numId w:val="4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对于个人</w:t>
      </w:r>
      <w:r>
        <w:rPr>
          <w:rFonts w:ascii="Arial" w:hAnsi="Arial" w:eastAsia="等线" w:cs="Arial"/>
          <w:sz w:val="22"/>
        </w:rPr>
        <w:t>：提供可验证的资产证明（如银行资信证明、证券持仓）、详细的职业与收入来源说明，并通过第三方背景调查。</w:t>
      </w:r>
    </w:p>
    <w:p w14:paraId="6D49B08A">
      <w:pPr>
        <w:numPr>
          <w:ilvl w:val="0"/>
          <w:numId w:val="4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对于机构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    </w:t>
      </w:r>
    </w:p>
    <w:p w14:paraId="0C1022B8">
      <w:pPr>
        <w:numPr>
          <w:ilvl w:val="0"/>
          <w:numId w:val="45"/>
        </w:numPr>
        <w:spacing w:before="120" w:after="120" w:line="288" w:lineRule="auto"/>
        <w:ind w:left="907"/>
        <w:jc w:val="left"/>
      </w:pPr>
      <w:r>
        <w:rPr>
          <w:rFonts w:ascii="Arial" w:hAnsi="Arial" w:eastAsia="等线" w:cs="Arial"/>
          <w:sz w:val="22"/>
        </w:rPr>
        <w:t>公司注册证书、章程、最终受益所有人（UBO）穿透至自然人（需达到KYC 2级标准）。</w:t>
      </w:r>
    </w:p>
    <w:p w14:paraId="04BAFCE8">
      <w:pPr>
        <w:numPr>
          <w:ilvl w:val="0"/>
          <w:numId w:val="46"/>
        </w:numPr>
        <w:spacing w:before="120" w:after="120" w:line="288" w:lineRule="auto"/>
        <w:ind w:left="907"/>
        <w:jc w:val="left"/>
      </w:pPr>
      <w:r>
        <w:rPr>
          <w:rFonts w:ascii="Arial" w:hAnsi="Arial" w:eastAsia="等线" w:cs="Arial"/>
          <w:sz w:val="22"/>
        </w:rPr>
        <w:t>董事、主要股东名单及身份证明。</w:t>
      </w:r>
    </w:p>
    <w:p w14:paraId="5B8C01B1">
      <w:pPr>
        <w:numPr>
          <w:ilvl w:val="0"/>
          <w:numId w:val="47"/>
        </w:numPr>
        <w:spacing w:before="120" w:after="120" w:line="288" w:lineRule="auto"/>
        <w:ind w:left="907"/>
        <w:jc w:val="left"/>
      </w:pPr>
      <w:r>
        <w:rPr>
          <w:rFonts w:ascii="Arial" w:hAnsi="Arial" w:eastAsia="等线" w:cs="Arial"/>
          <w:sz w:val="22"/>
        </w:rPr>
        <w:t>公司近一年的审计报告或财务报表。</w:t>
      </w:r>
    </w:p>
    <w:p w14:paraId="2C8ACD2A">
      <w:pPr>
        <w:numPr>
          <w:ilvl w:val="0"/>
          <w:numId w:val="48"/>
        </w:numPr>
        <w:spacing w:before="120" w:after="120" w:line="288" w:lineRule="auto"/>
        <w:ind w:left="907"/>
        <w:jc w:val="left"/>
      </w:pPr>
      <w:r>
        <w:rPr>
          <w:rFonts w:ascii="Arial" w:hAnsi="Arial" w:eastAsia="等线" w:cs="Arial"/>
          <w:sz w:val="22"/>
        </w:rPr>
        <w:t>主营业务说明及与区块链/RWA相关的业务计划。</w:t>
      </w:r>
    </w:p>
    <w:p w14:paraId="54F34C21">
      <w:pPr>
        <w:numPr>
          <w:ilvl w:val="0"/>
          <w:numId w:val="49"/>
        </w:numPr>
        <w:spacing w:before="120" w:after="120" w:line="288" w:lineRule="auto"/>
        <w:ind w:left="907"/>
        <w:jc w:val="left"/>
      </w:pPr>
      <w:r>
        <w:rPr>
          <w:rFonts w:ascii="Arial" w:hAnsi="Arial" w:eastAsia="等线" w:cs="Arial"/>
          <w:sz w:val="22"/>
        </w:rPr>
        <w:t>授权签字人名单及权限证明。</w:t>
      </w:r>
    </w:p>
    <w:p w14:paraId="455C0AA2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权限范围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7A55C6FF">
      <w:pPr>
        <w:numPr>
          <w:ilvl w:val="0"/>
          <w:numId w:val="5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无默认交易额度限制（但受智能合约风控规则约束）。</w:t>
      </w:r>
    </w:p>
    <w:p w14:paraId="01B6F21B">
      <w:pPr>
        <w:numPr>
          <w:ilvl w:val="0"/>
          <w:numId w:val="5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可上链</w:t>
      </w:r>
      <w:r>
        <w:rPr>
          <w:rFonts w:ascii="Arial" w:hAnsi="Arial" w:eastAsia="等线" w:cs="Arial"/>
          <w:b/>
          <w:sz w:val="22"/>
        </w:rPr>
        <w:t>所有类型资产</w:t>
      </w:r>
      <w:r>
        <w:rPr>
          <w:rFonts w:ascii="Arial" w:hAnsi="Arial" w:eastAsia="等线" w:cs="Arial"/>
          <w:sz w:val="22"/>
        </w:rPr>
        <w:t>，包括复杂的金融资产和结构化产品。</w:t>
      </w:r>
    </w:p>
    <w:p w14:paraId="645906E9">
      <w:pPr>
        <w:numPr>
          <w:ilvl w:val="0"/>
          <w:numId w:val="5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可申请更高的质押率（经专项审批）。</w:t>
      </w:r>
    </w:p>
    <w:p w14:paraId="7F371B03">
      <w:pPr>
        <w:numPr>
          <w:ilvl w:val="0"/>
          <w:numId w:val="5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可担任验证节点、申请生态基金资助。</w:t>
      </w:r>
    </w:p>
    <w:p w14:paraId="39BB2F0F">
      <w:pPr>
        <w:numPr>
          <w:ilvl w:val="0"/>
          <w:numId w:val="5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投票权重可能获得小额加成（由治理决定）。</w:t>
      </w:r>
    </w:p>
    <w:p w14:paraId="3B82B14B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有效期</w:t>
      </w:r>
      <w:r>
        <w:rPr>
          <w:rFonts w:ascii="Arial" w:hAnsi="Arial" w:eastAsia="等线" w:cs="Arial"/>
          <w:sz w:val="22"/>
        </w:rPr>
        <w:t>：1年，每年需全面更新财务与受益所有人信息。</w:t>
      </w:r>
    </w:p>
    <w:p w14:paraId="36DA043D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1.5 KYC 4级：许可机构与核心治理成员</w:t>
      </w:r>
      <w:bookmarkEnd w:id="8"/>
    </w:p>
    <w:p w14:paraId="6A1C2947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适用对象</w:t>
      </w:r>
      <w:r>
        <w:rPr>
          <w:rFonts w:ascii="Arial" w:hAnsi="Arial" w:eastAsia="等线" w:cs="Arial"/>
          <w:sz w:val="22"/>
        </w:rPr>
        <w:t>：托管银行、持牌交易所、做市商、大型稳定币发行方、NAC基金会核心成员等。</w:t>
      </w:r>
    </w:p>
    <w:p w14:paraId="207C2B35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验证要求</w:t>
      </w:r>
      <w:r>
        <w:rPr>
          <w:rFonts w:ascii="Arial" w:hAnsi="Arial" w:eastAsia="等线" w:cs="Arial"/>
          <w:sz w:val="22"/>
        </w:rPr>
        <w:t>：</w:t>
      </w:r>
    </w:p>
    <w:p w14:paraId="05FE67DA">
      <w:pPr>
        <w:numPr>
          <w:ilvl w:val="0"/>
          <w:numId w:val="5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持有相关司法辖区的</w:t>
      </w:r>
      <w:r>
        <w:rPr>
          <w:rFonts w:ascii="Arial" w:hAnsi="Arial" w:eastAsia="等线" w:cs="Arial"/>
          <w:b/>
          <w:sz w:val="22"/>
        </w:rPr>
        <w:t>金融牌照</w:t>
      </w:r>
      <w:r>
        <w:rPr>
          <w:rFonts w:ascii="Arial" w:hAnsi="Arial" w:eastAsia="等线" w:cs="Arial"/>
          <w:sz w:val="22"/>
        </w:rPr>
        <w:t>或同等资质证明。</w:t>
      </w:r>
    </w:p>
    <w:p w14:paraId="074D6E87">
      <w:pPr>
        <w:numPr>
          <w:ilvl w:val="0"/>
          <w:numId w:val="6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满足该辖区对持牌机构的</w:t>
      </w:r>
      <w:r>
        <w:rPr>
          <w:rFonts w:ascii="Arial" w:hAnsi="Arial" w:eastAsia="等线" w:cs="Arial"/>
          <w:b/>
          <w:sz w:val="22"/>
        </w:rPr>
        <w:t>最高等级</w:t>
      </w:r>
      <w:r>
        <w:rPr>
          <w:rFonts w:ascii="Arial" w:hAnsi="Arial" w:eastAsia="等线" w:cs="Arial"/>
          <w:sz w:val="22"/>
        </w:rPr>
        <w:t>合规与审慎监管要求。</w:t>
      </w:r>
    </w:p>
    <w:p w14:paraId="29E66317">
      <w:pPr>
        <w:numPr>
          <w:ilvl w:val="0"/>
          <w:numId w:val="6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与NAC治理委员会签订专项协议，接受额外的审计和监督。</w:t>
      </w:r>
    </w:p>
    <w:p w14:paraId="326043CF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权限范围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1DF7DD49">
      <w:pPr>
        <w:numPr>
          <w:ilvl w:val="0"/>
          <w:numId w:val="6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享有白名单权限，部分交易可豁免部分风控检查。</w:t>
      </w:r>
    </w:p>
    <w:p w14:paraId="3987A215">
      <w:pPr>
        <w:numPr>
          <w:ilvl w:val="0"/>
          <w:numId w:val="6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可接入特定的</w:t>
      </w:r>
      <w:r>
        <w:rPr>
          <w:rFonts w:ascii="Arial" w:hAnsi="Arial" w:eastAsia="等线" w:cs="Arial"/>
          <w:b/>
          <w:sz w:val="22"/>
        </w:rPr>
        <w:t>监管节点</w:t>
      </w:r>
      <w:r>
        <w:rPr>
          <w:rFonts w:ascii="Arial" w:hAnsi="Arial" w:eastAsia="等线" w:cs="Arial"/>
          <w:sz w:val="22"/>
        </w:rPr>
        <w:t>，直接向监管机构报告交易数据。</w:t>
      </w:r>
    </w:p>
    <w:p w14:paraId="0387DDA5">
      <w:pPr>
        <w:numPr>
          <w:ilvl w:val="0"/>
          <w:numId w:val="6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在治理委员会中拥有固定席位或较高影响力的投票权。</w:t>
      </w:r>
    </w:p>
    <w:p w14:paraId="5161C5F9">
      <w:pPr>
        <w:numPr>
          <w:ilvl w:val="0"/>
          <w:numId w:val="6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有效期</w:t>
      </w:r>
      <w:r>
        <w:rPr>
          <w:rFonts w:ascii="Arial" w:hAnsi="Arial" w:eastAsia="等线" w:cs="Arial"/>
          <w:sz w:val="22"/>
        </w:rPr>
        <w:t>：与牌照有效期挂钩，动态监控。</w:t>
      </w:r>
    </w:p>
    <w:p w14:paraId="09F95F48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55812103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第二章：KYC流程与执行细则</w:t>
      </w:r>
      <w:bookmarkEnd w:id="9"/>
    </w:p>
    <w:p w14:paraId="5639499B">
      <w:pPr>
        <w:spacing w:before="300" w:after="120" w:line="288" w:lineRule="auto"/>
        <w:ind w:left="0"/>
        <w:jc w:val="left"/>
        <w:outlineLvl w:val="2"/>
      </w:pPr>
      <w:bookmarkStart w:id="10" w:name="heading_10"/>
      <w:r>
        <w:rPr>
          <w:rFonts w:ascii="Arial" w:hAnsi="Arial" w:eastAsia="等线" w:cs="Arial"/>
          <w:b/>
          <w:sz w:val="30"/>
        </w:rPr>
        <w:t>2.1 通用流程</w:t>
      </w:r>
      <w:bookmarkEnd w:id="10"/>
    </w:p>
    <w:p w14:paraId="549DA2BB">
      <w:pPr>
        <w:numPr>
          <w:ilvl w:val="0"/>
          <w:numId w:val="6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发起与引导</w:t>
      </w:r>
      <w:r>
        <w:rPr>
          <w:rFonts w:ascii="Arial" w:hAnsi="Arial" w:eastAsia="等线" w:cs="Arial"/>
          <w:sz w:val="22"/>
        </w:rPr>
        <w:t>：用户通过官方钱包或认证的DApp发起KYC申请，选择目标等级。系统明确告知所需材料、费用（XIC支付）及隐私政策。</w:t>
      </w:r>
    </w:p>
    <w:p w14:paraId="5C46DE88">
      <w:pPr>
        <w:numPr>
          <w:ilvl w:val="0"/>
          <w:numId w:val="6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信息提交与AI预处理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1BD78E18">
      <w:pPr>
        <w:numPr>
          <w:ilvl w:val="0"/>
          <w:numId w:val="6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用户通过安全通道上传加密材料。</w:t>
      </w:r>
    </w:p>
    <w:p w14:paraId="2F31F454">
      <w:pPr>
        <w:numPr>
          <w:ilvl w:val="0"/>
          <w:numId w:val="7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AI引擎进行初步格式检查、清晰度判断、信息提取与去噪。</w:t>
      </w:r>
    </w:p>
    <w:p w14:paraId="3B496952">
      <w:pPr>
        <w:numPr>
          <w:ilvl w:val="0"/>
          <w:numId w:val="7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多源交叉验证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4C512C9D">
      <w:pPr>
        <w:numPr>
          <w:ilvl w:val="0"/>
          <w:numId w:val="7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证件验真</w:t>
      </w:r>
      <w:r>
        <w:rPr>
          <w:rFonts w:ascii="Arial" w:hAnsi="Arial" w:eastAsia="等线" w:cs="Arial"/>
          <w:sz w:val="22"/>
        </w:rPr>
        <w:t>：对接权威第三方数据源（如公安部门接口、商业征信机构、企业信息数据库）进行在线核验。</w:t>
      </w:r>
    </w:p>
    <w:p w14:paraId="4AF2FEA8">
      <w:pPr>
        <w:numPr>
          <w:ilvl w:val="0"/>
          <w:numId w:val="7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生物识别</w:t>
      </w:r>
      <w:r>
        <w:rPr>
          <w:rFonts w:ascii="Arial" w:hAnsi="Arial" w:eastAsia="等线" w:cs="Arial"/>
          <w:sz w:val="22"/>
        </w:rPr>
        <w:t>：使用活体检测、人脸比对、声纹识别等多模态技术，确保“人证合一”。</w:t>
      </w:r>
    </w:p>
    <w:p w14:paraId="53E12C07">
      <w:pPr>
        <w:numPr>
          <w:ilvl w:val="0"/>
          <w:numId w:val="7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地址验证</w:t>
      </w:r>
      <w:r>
        <w:rPr>
          <w:rFonts w:ascii="Arial" w:hAnsi="Arial" w:eastAsia="等线" w:cs="Arial"/>
          <w:sz w:val="22"/>
        </w:rPr>
        <w:t>：通过邮寄含验证码的信件、核对政府数据库或分析网络足迹（在授权下）进行。</w:t>
      </w:r>
    </w:p>
    <w:p w14:paraId="71F416D5">
      <w:pPr>
        <w:numPr>
          <w:ilvl w:val="0"/>
          <w:numId w:val="7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资金来源问卷与风险评估</w:t>
      </w:r>
      <w:r>
        <w:rPr>
          <w:rFonts w:ascii="Arial" w:hAnsi="Arial" w:eastAsia="等线" w:cs="Arial"/>
          <w:sz w:val="22"/>
        </w:rPr>
        <w:t>：用户填写标准化问卷，AI评估其职业、投资经验、财富来源的合理性与风险等级。</w:t>
      </w:r>
    </w:p>
    <w:p w14:paraId="7022792B">
      <w:pPr>
        <w:numPr>
          <w:ilvl w:val="0"/>
          <w:numId w:val="7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人工复核（如触发）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0C095B39">
      <w:pPr>
        <w:numPr>
          <w:ilvl w:val="0"/>
          <w:numId w:val="77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以下情况自动转入人工复核队列：AI验证置信度低于阈值、信息存在矛盾、来自高风险司法管辖区、申请KYC 3/4级。</w:t>
      </w:r>
    </w:p>
    <w:p w14:paraId="6A49F315">
      <w:pPr>
        <w:numPr>
          <w:ilvl w:val="0"/>
          <w:numId w:val="78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人工复核员由受训的专业合规人员担任，其操作全程录屏并上链存证。</w:t>
      </w:r>
    </w:p>
    <w:p w14:paraId="076E289A">
      <w:pPr>
        <w:numPr>
          <w:ilvl w:val="0"/>
          <w:numId w:val="7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结果生成与DID绑定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6C82B7D9">
      <w:pPr>
        <w:numPr>
          <w:ilvl w:val="0"/>
          <w:numId w:val="8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验证通过后，系统生成</w:t>
      </w:r>
      <w:r>
        <w:rPr>
          <w:rFonts w:ascii="Arial" w:hAnsi="Arial" w:eastAsia="等线" w:cs="Arial"/>
          <w:b/>
          <w:sz w:val="22"/>
        </w:rPr>
        <w:t>不可篡改的KYC凭证</w:t>
      </w:r>
      <w:r>
        <w:rPr>
          <w:rFonts w:ascii="Arial" w:hAnsi="Arial" w:eastAsia="等线" w:cs="Arial"/>
          <w:sz w:val="22"/>
        </w:rPr>
        <w:t>（包含等级、关键属性哈希、有效期、验证机构签名），并与一个</w:t>
      </w:r>
      <w:r>
        <w:rPr>
          <w:rFonts w:ascii="Arial" w:hAnsi="Arial" w:eastAsia="等线" w:cs="Arial"/>
          <w:b/>
          <w:sz w:val="22"/>
        </w:rPr>
        <w:t>全新的OwnerDID</w:t>
      </w:r>
      <w:r>
        <w:rPr>
          <w:rFonts w:ascii="Arial" w:hAnsi="Arial" w:eastAsia="等线" w:cs="Arial"/>
          <w:sz w:val="22"/>
        </w:rPr>
        <w:t>强绑定。</w:t>
      </w:r>
    </w:p>
    <w:p w14:paraId="0216ECA2">
      <w:pPr>
        <w:numPr>
          <w:ilvl w:val="0"/>
          <w:numId w:val="8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该凭证作为DID的元数据，在链上可验证（通过ZK证明），但个人数据离线加密存储于合规数据中心。</w:t>
      </w:r>
    </w:p>
    <w:p w14:paraId="0FDAC92D">
      <w:pPr>
        <w:numPr>
          <w:ilvl w:val="0"/>
          <w:numId w:val="8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通知与启用</w:t>
      </w:r>
      <w:r>
        <w:rPr>
          <w:rFonts w:ascii="Arial" w:hAnsi="Arial" w:eastAsia="等线" w:cs="Arial"/>
          <w:sz w:val="22"/>
        </w:rPr>
        <w:t>：用户获知结果，OwnerDID及其KYC等级正式生效，可用于后续操作。</w:t>
      </w:r>
    </w:p>
    <w:p w14:paraId="078EBBFE">
      <w:pPr>
        <w:spacing w:before="300" w:after="120" w:line="288" w:lineRule="auto"/>
        <w:ind w:left="0"/>
        <w:jc w:val="left"/>
        <w:outlineLvl w:val="2"/>
      </w:pPr>
      <w:bookmarkStart w:id="11" w:name="heading_11"/>
      <w:r>
        <w:rPr>
          <w:rFonts w:ascii="Arial" w:hAnsi="Arial" w:eastAsia="等线" w:cs="Arial"/>
          <w:b/>
          <w:sz w:val="30"/>
        </w:rPr>
        <w:t>2.2 与其他核心系统的集成</w:t>
      </w:r>
      <w:bookmarkEnd w:id="11"/>
    </w:p>
    <w:p w14:paraId="1F03C6D3">
      <w:pPr>
        <w:numPr>
          <w:ilvl w:val="0"/>
          <w:numId w:val="8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与Apollo调度中枢集成</w:t>
      </w:r>
      <w:r>
        <w:rPr>
          <w:rFonts w:ascii="Arial" w:hAnsi="Arial" w:eastAsia="等线" w:cs="Arial"/>
          <w:sz w:val="22"/>
        </w:rPr>
        <w:t>：KYC流程作为一个标准工作流模板，由Apollo进行任务编排、状态监控和异常处理。</w:t>
      </w:r>
    </w:p>
    <w:p w14:paraId="08D05A05">
      <w:pPr>
        <w:numPr>
          <w:ilvl w:val="0"/>
          <w:numId w:val="8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与AI合规引擎集成</w:t>
      </w:r>
      <w:r>
        <w:rPr>
          <w:rFonts w:ascii="Arial" w:hAnsi="Arial" w:eastAsia="等线" w:cs="Arial"/>
          <w:sz w:val="22"/>
        </w:rPr>
        <w:t>：KYC输出的风险评级和属性标签，直接作为七层合规检查（特别是第2层权属、第3层风险、第7层辖区）的关键输入参数。</w:t>
      </w:r>
    </w:p>
    <w:p w14:paraId="3969156F">
      <w:pPr>
        <w:numPr>
          <w:ilvl w:val="0"/>
          <w:numId w:val="8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与DNA系统集成</w:t>
      </w:r>
      <w:r>
        <w:rPr>
          <w:rFonts w:ascii="Arial" w:hAnsi="Arial" w:eastAsia="等线" w:cs="Arial"/>
          <w:sz w:val="22"/>
        </w:rPr>
        <w:t>：OwnerDID是所有资产DNA中“所有者”字段的强制来源，确保资产主权链的源头可信。</w:t>
      </w:r>
    </w:p>
    <w:p w14:paraId="65075A9F">
      <w:pPr>
        <w:numPr>
          <w:ilvl w:val="0"/>
          <w:numId w:val="8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与风险管理系统集成</w:t>
      </w:r>
      <w:r>
        <w:rPr>
          <w:rFonts w:ascii="Arial" w:hAnsi="Arial" w:eastAsia="等线" w:cs="Arial"/>
          <w:sz w:val="22"/>
        </w:rPr>
        <w:t>：KYC等级与用户行为共同决定交易限额、质押率、手续费率等风控参数。</w:t>
      </w:r>
    </w:p>
    <w:p w14:paraId="58E2F6FF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2.3 持续监控与定期复审</w:t>
      </w:r>
      <w:bookmarkEnd w:id="12"/>
    </w:p>
    <w:p w14:paraId="564196F0">
      <w:pPr>
        <w:numPr>
          <w:ilvl w:val="0"/>
          <w:numId w:val="8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实时交易监控</w:t>
      </w:r>
      <w:r>
        <w:rPr>
          <w:rFonts w:ascii="Arial" w:hAnsi="Arial" w:eastAsia="等线" w:cs="Arial"/>
          <w:sz w:val="22"/>
        </w:rPr>
        <w:t>：对用户交易模式进行AI监控，异常模式（如突然拆分大额交易、与制裁名单地址交互）将触发KYC复审警报。</w:t>
      </w:r>
    </w:p>
    <w:p w14:paraId="654140E3">
      <w:pPr>
        <w:numPr>
          <w:ilvl w:val="0"/>
          <w:numId w:val="8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定期复审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29FC07AA">
      <w:pPr>
        <w:numPr>
          <w:ilvl w:val="0"/>
          <w:numId w:val="89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KYC 1级：每1年。</w:t>
      </w:r>
    </w:p>
    <w:p w14:paraId="1B0B4715">
      <w:pPr>
        <w:numPr>
          <w:ilvl w:val="0"/>
          <w:numId w:val="90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KYC 2级：每2年。</w:t>
      </w:r>
    </w:p>
    <w:p w14:paraId="0415705E">
      <w:pPr>
        <w:numPr>
          <w:ilvl w:val="0"/>
          <w:numId w:val="91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KYC 3级：每1年。</w:t>
      </w:r>
    </w:p>
    <w:p w14:paraId="1B35C8D6">
      <w:pPr>
        <w:numPr>
          <w:ilvl w:val="0"/>
          <w:numId w:val="9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sz w:val="22"/>
        </w:rPr>
        <w:t>KYC 4级：实时监控，按季度报告。</w:t>
      </w:r>
    </w:p>
    <w:p w14:paraId="2CD6987F">
      <w:pPr>
        <w:numPr>
          <w:ilvl w:val="0"/>
          <w:numId w:val="9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事件驱动复审</w:t>
      </w:r>
      <w:r>
        <w:rPr>
          <w:rFonts w:ascii="Arial" w:hAnsi="Arial" w:eastAsia="等线" w:cs="Arial"/>
          <w:sz w:val="22"/>
        </w:rPr>
        <w:t>：当用户涉及可疑活动报告（SAR）、司法查询、或其所处国家风险评级大幅上调时，立即触发复审。</w:t>
      </w:r>
    </w:p>
    <w:p w14:paraId="73C25D3A">
      <w:pPr>
        <w:numPr>
          <w:ilvl w:val="0"/>
          <w:numId w:val="9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信息更新义务</w:t>
      </w:r>
      <w:r>
        <w:rPr>
          <w:rFonts w:ascii="Arial" w:hAnsi="Arial" w:eastAsia="等线" w:cs="Arial"/>
          <w:sz w:val="22"/>
        </w:rPr>
        <w:t>：用户有义务在关键信息（如护照过期、居住国变更、公司控股权变更）发生变更后30天内主动更新，否则可能导致服务降级或暂停。</w:t>
      </w:r>
    </w:p>
    <w:p w14:paraId="0CC12D68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51D3B05D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第三章：制裁筛查与反洗钱（AML）特别规定</w:t>
      </w:r>
      <w:bookmarkEnd w:id="13"/>
    </w:p>
    <w:p w14:paraId="2D13E91A">
      <w:pPr>
        <w:spacing w:before="300" w:after="120" w:line="288" w:lineRule="auto"/>
        <w:ind w:left="0"/>
        <w:jc w:val="left"/>
        <w:outlineLvl w:val="2"/>
      </w:pPr>
      <w:bookmarkStart w:id="14" w:name="heading_14"/>
      <w:r>
        <w:rPr>
          <w:rFonts w:ascii="Arial" w:hAnsi="Arial" w:eastAsia="等线" w:cs="Arial"/>
          <w:b/>
          <w:sz w:val="30"/>
        </w:rPr>
        <w:t>3.1 筛查名单与数据源</w:t>
      </w:r>
      <w:bookmarkEnd w:id="14"/>
    </w:p>
    <w:p w14:paraId="32B4954A">
      <w:pPr>
        <w:numPr>
          <w:ilvl w:val="0"/>
          <w:numId w:val="9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强制筛查名单</w:t>
      </w:r>
      <w:r>
        <w:rPr>
          <w:rFonts w:ascii="Arial" w:hAnsi="Arial" w:eastAsia="等线" w:cs="Arial"/>
          <w:sz w:val="22"/>
        </w:rPr>
        <w:t>：包括但不限于联合国安理会综合名单、OFAC SDN名单、欧盟恐怖分子名单、中国制裁名单等全球及本地主要制裁名单。</w:t>
      </w:r>
    </w:p>
    <w:p w14:paraId="7D5C82DD">
      <w:pPr>
        <w:numPr>
          <w:ilvl w:val="0"/>
          <w:numId w:val="9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数据源</w:t>
      </w:r>
      <w:r>
        <w:rPr>
          <w:rFonts w:ascii="Arial" w:hAnsi="Arial" w:eastAsia="等线" w:cs="Arial"/>
          <w:sz w:val="22"/>
        </w:rPr>
        <w:t>：接入多家权威商业制裁数据库供应商，确保覆盖全面、更新及时（至少每日更新）。</w:t>
      </w:r>
    </w:p>
    <w:p w14:paraId="313D3FA8">
      <w:pPr>
        <w:numPr>
          <w:ilvl w:val="0"/>
          <w:numId w:val="9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PEP（政治敏感人物）筛查</w:t>
      </w:r>
      <w:r>
        <w:rPr>
          <w:rFonts w:ascii="Arial" w:hAnsi="Arial" w:eastAsia="等线" w:cs="Arial"/>
          <w:sz w:val="22"/>
        </w:rPr>
        <w:t>：对KYC 3级及以上申请者，强制进行PEP及其家庭成员、密切关系人筛查。</w:t>
      </w:r>
    </w:p>
    <w:p w14:paraId="1866E2A3">
      <w:pPr>
        <w:spacing w:before="300" w:after="120" w:line="288" w:lineRule="auto"/>
        <w:ind w:left="0"/>
        <w:jc w:val="left"/>
        <w:outlineLvl w:val="2"/>
      </w:pPr>
      <w:bookmarkStart w:id="15" w:name="heading_15"/>
      <w:r>
        <w:rPr>
          <w:rFonts w:ascii="Arial" w:hAnsi="Arial" w:eastAsia="等线" w:cs="Arial"/>
          <w:b/>
          <w:sz w:val="30"/>
        </w:rPr>
        <w:t>3.2 筛查逻辑</w:t>
      </w:r>
      <w:bookmarkEnd w:id="15"/>
    </w:p>
    <w:p w14:paraId="7137C9A2">
      <w:pPr>
        <w:numPr>
          <w:ilvl w:val="0"/>
          <w:numId w:val="9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首次筛查</w:t>
      </w:r>
      <w:r>
        <w:rPr>
          <w:rFonts w:ascii="Arial" w:hAnsi="Arial" w:eastAsia="等线" w:cs="Arial"/>
          <w:sz w:val="22"/>
        </w:rPr>
        <w:t>：在KYC申请阶段，对所有提供的信息（姓名、别名、出生日期、国籍、地址）进行全名单扫描。</w:t>
      </w:r>
    </w:p>
    <w:p w14:paraId="588F0D79">
      <w:pPr>
        <w:numPr>
          <w:ilvl w:val="0"/>
          <w:numId w:val="9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实时交易筛查</w:t>
      </w:r>
      <w:r>
        <w:rPr>
          <w:rFonts w:ascii="Arial" w:hAnsi="Arial" w:eastAsia="等线" w:cs="Arial"/>
          <w:sz w:val="22"/>
        </w:rPr>
        <w:t>：每笔链上交易（包括XTZH及ACC-20资产转移）的发送方和接收方DID，均需在交易确认前通过实时筛查。匹配结果分为“明确匹配”、“模糊匹配”、“无匹配”。</w:t>
      </w:r>
    </w:p>
    <w:p w14:paraId="257FB27B">
      <w:pPr>
        <w:numPr>
          <w:ilvl w:val="0"/>
          <w:numId w:val="10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模糊匹配处理</w:t>
      </w:r>
      <w:r>
        <w:rPr>
          <w:rFonts w:ascii="Arial" w:hAnsi="Arial" w:eastAsia="等线" w:cs="Arial"/>
          <w:sz w:val="22"/>
        </w:rPr>
        <w:t>：对模糊匹配，系统自动暂停交易，转入人工复核。人工复核需在4小时内完成。</w:t>
      </w:r>
    </w:p>
    <w:p w14:paraId="0EBBBA56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3.3 可疑活动报告（SAR）</w:t>
      </w:r>
      <w:bookmarkEnd w:id="16"/>
    </w:p>
    <w:p w14:paraId="3B821C42">
      <w:pPr>
        <w:numPr>
          <w:ilvl w:val="0"/>
          <w:numId w:val="10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AI监测指标</w:t>
      </w:r>
      <w:r>
        <w:rPr>
          <w:rFonts w:ascii="Arial" w:hAnsi="Arial" w:eastAsia="等线" w:cs="Arial"/>
          <w:sz w:val="22"/>
        </w:rPr>
        <w:t>：系统AI持续监测包括但不限于以下模式：结构化交易、快速入金出金、与混币器交互、交易金额与用户画像不符等。</w:t>
      </w:r>
    </w:p>
    <w:p w14:paraId="6709E542">
      <w:pPr>
        <w:numPr>
          <w:ilvl w:val="0"/>
          <w:numId w:val="10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报告生成</w:t>
      </w:r>
      <w:r>
        <w:rPr>
          <w:rFonts w:ascii="Arial" w:hAnsi="Arial" w:eastAsia="等线" w:cs="Arial"/>
          <w:sz w:val="22"/>
        </w:rPr>
        <w:t>：AI识别可疑模式后，自动生成SAR草稿，由合规官确认后，通过安全通道上报至相关金融情报中心（FIU）。</w:t>
      </w:r>
    </w:p>
    <w:p w14:paraId="200A3B70">
      <w:pPr>
        <w:numPr>
          <w:ilvl w:val="0"/>
          <w:numId w:val="10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链上记录</w:t>
      </w:r>
      <w:r>
        <w:rPr>
          <w:rFonts w:ascii="Arial" w:hAnsi="Arial" w:eastAsia="等线" w:cs="Arial"/>
          <w:sz w:val="22"/>
        </w:rPr>
        <w:t>：SAR的提交哈希和时间戳在链上记录（不包含具体内容），用于审计。</w:t>
      </w:r>
    </w:p>
    <w:p w14:paraId="256167A6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6B3D6C70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第四章：数据管理、隐私与安全</w:t>
      </w:r>
      <w:bookmarkEnd w:id="17"/>
    </w:p>
    <w:p w14:paraId="7B2243D2">
      <w:pPr>
        <w:spacing w:before="300" w:after="120" w:line="288" w:lineRule="auto"/>
        <w:ind w:left="0"/>
        <w:jc w:val="left"/>
        <w:outlineLvl w:val="2"/>
      </w:pPr>
      <w:bookmarkStart w:id="18" w:name="heading_18"/>
      <w:r>
        <w:rPr>
          <w:rFonts w:ascii="Arial" w:hAnsi="Arial" w:eastAsia="等线" w:cs="Arial"/>
          <w:b/>
          <w:sz w:val="30"/>
        </w:rPr>
        <w:t>4.1 数据存储与加密</w:t>
      </w:r>
      <w:bookmarkEnd w:id="18"/>
    </w:p>
    <w:p w14:paraId="62B99C0D">
      <w:pPr>
        <w:numPr>
          <w:ilvl w:val="0"/>
          <w:numId w:val="10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分类存储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</w:t>
      </w:r>
    </w:p>
    <w:p w14:paraId="199762D8">
      <w:pPr>
        <w:numPr>
          <w:ilvl w:val="0"/>
          <w:numId w:val="10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链上</w:t>
      </w:r>
      <w:r>
        <w:rPr>
          <w:rFonts w:ascii="Arial" w:hAnsi="Arial" w:eastAsia="等线" w:cs="Arial"/>
          <w:sz w:val="22"/>
        </w:rPr>
        <w:t>：存储KYC凭证哈希、OwnerDID、KYC等级、有效期、制裁筛查结果（通过/未通过）。</w:t>
      </w:r>
    </w:p>
    <w:p w14:paraId="77B25583">
      <w:pPr>
        <w:numPr>
          <w:ilvl w:val="0"/>
          <w:numId w:val="106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链下安全数据中心</w:t>
      </w:r>
      <w:r>
        <w:rPr>
          <w:rFonts w:ascii="Arial" w:hAnsi="Arial" w:eastAsia="等线" w:cs="Arial"/>
          <w:sz w:val="22"/>
        </w:rPr>
        <w:t>：加密存储原始身份文件、生物特征模板、住址证明等敏感信息。数据按最高金融级标准（如ISO 27001, SOC 2）保护。</w:t>
      </w:r>
    </w:p>
    <w:p w14:paraId="3AFAEEF7">
      <w:pPr>
        <w:numPr>
          <w:ilvl w:val="0"/>
          <w:numId w:val="10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加密标准</w:t>
      </w:r>
      <w:r>
        <w:rPr>
          <w:rFonts w:ascii="Arial" w:hAnsi="Arial" w:eastAsia="等线" w:cs="Arial"/>
          <w:sz w:val="22"/>
        </w:rPr>
        <w:t>：传输使用TLS 1.3，静态数据使用AES-256加密，密钥由硬件安全模块（HSM）管理。</w:t>
      </w:r>
    </w:p>
    <w:p w14:paraId="0EB88FAD">
      <w:pPr>
        <w:spacing w:before="300" w:after="120" w:line="288" w:lineRule="auto"/>
        <w:ind w:left="0"/>
        <w:jc w:val="left"/>
        <w:outlineLvl w:val="2"/>
      </w:pPr>
      <w:bookmarkStart w:id="19" w:name="heading_19"/>
      <w:r>
        <w:rPr>
          <w:rFonts w:ascii="Arial" w:hAnsi="Arial" w:eastAsia="等线" w:cs="Arial"/>
          <w:b/>
          <w:sz w:val="30"/>
        </w:rPr>
        <w:t>4.2 隐私保护技术</w:t>
      </w:r>
      <w:bookmarkEnd w:id="19"/>
    </w:p>
    <w:p w14:paraId="43A31E0E">
      <w:pPr>
        <w:numPr>
          <w:ilvl w:val="0"/>
          <w:numId w:val="10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零知识证明（ZKP）</w:t>
      </w:r>
      <w:r>
        <w:rPr>
          <w:rFonts w:ascii="Arial" w:hAnsi="Arial" w:eastAsia="等线" w:cs="Arial"/>
          <w:sz w:val="22"/>
        </w:rPr>
        <w:t>：允许用户向第三方（如DApp）证明自己满足特定KYC等级或属性（如“年满18岁”、“非受制裁国籍”），而无需透露具体信息。</w:t>
      </w:r>
    </w:p>
    <w:p w14:paraId="5F884984">
      <w:pPr>
        <w:numPr>
          <w:ilvl w:val="0"/>
          <w:numId w:val="10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选择性披露</w:t>
      </w:r>
      <w:r>
        <w:rPr>
          <w:rFonts w:ascii="Arial" w:hAnsi="Arial" w:eastAsia="等线" w:cs="Arial"/>
          <w:sz w:val="22"/>
        </w:rPr>
        <w:t>：用户可自主选择向特定对手方披露KYC凭证中的哪些字段。</w:t>
      </w:r>
    </w:p>
    <w:p w14:paraId="041EB311">
      <w:pPr>
        <w:spacing w:before="300" w:after="120" w:line="288" w:lineRule="auto"/>
        <w:ind w:left="0"/>
        <w:jc w:val="left"/>
        <w:outlineLvl w:val="2"/>
      </w:pPr>
      <w:bookmarkStart w:id="20" w:name="heading_20"/>
      <w:r>
        <w:rPr>
          <w:rFonts w:ascii="Arial" w:hAnsi="Arial" w:eastAsia="等线" w:cs="Arial"/>
          <w:b/>
          <w:sz w:val="30"/>
        </w:rPr>
        <w:t>4.3 数据权限与访问控制</w:t>
      </w:r>
      <w:bookmarkEnd w:id="20"/>
    </w:p>
    <w:p w14:paraId="586D5EF0">
      <w:pPr>
        <w:numPr>
          <w:ilvl w:val="0"/>
          <w:numId w:val="1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严格基于角色的访问控制（RBAC）。仅有授权的合规人员、执法部门（凭有效法律文书）和用户本人可访问原始数据。</w:t>
      </w:r>
    </w:p>
    <w:p w14:paraId="1DBDF4CA">
      <w:pPr>
        <w:numPr>
          <w:ilvl w:val="0"/>
          <w:numId w:val="1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所有数据访问日志上链，不可篡改，供审计。</w:t>
      </w:r>
    </w:p>
    <w:p w14:paraId="2B95F500">
      <w:pPr>
        <w:spacing w:before="300" w:after="120" w:line="288" w:lineRule="auto"/>
        <w:ind w:left="0"/>
        <w:jc w:val="left"/>
        <w:outlineLvl w:val="2"/>
      </w:pPr>
      <w:bookmarkStart w:id="21" w:name="heading_21"/>
      <w:r>
        <w:rPr>
          <w:rFonts w:ascii="Arial" w:hAnsi="Arial" w:eastAsia="等线" w:cs="Arial"/>
          <w:b/>
          <w:sz w:val="30"/>
        </w:rPr>
        <w:t>4.4 数据保留与删除</w:t>
      </w:r>
      <w:bookmarkEnd w:id="21"/>
    </w:p>
    <w:p w14:paraId="24CE148A">
      <w:pPr>
        <w:numPr>
          <w:ilvl w:val="0"/>
          <w:numId w:val="1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遵循全球最严格的通用数据保护条例（如GDPR）要求。</w:t>
      </w:r>
    </w:p>
    <w:p w14:paraId="2484A4C6">
      <w:pPr>
        <w:numPr>
          <w:ilvl w:val="0"/>
          <w:numId w:val="1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数据保留期限与KYC有效期及法律要求绑定。用户注销且所有法律义务履行完毕后，其个人数据将被安全擦除。</w:t>
      </w:r>
    </w:p>
    <w:p w14:paraId="7293CF2A">
      <w:pPr>
        <w:numPr>
          <w:ilvl w:val="0"/>
          <w:numId w:val="1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提供清晰的“被遗忘权”行使流程。</w:t>
      </w:r>
    </w:p>
    <w:p w14:paraId="272B939D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6431AA6E">
      <w:pPr>
        <w:spacing w:before="320" w:after="120" w:line="288" w:lineRule="auto"/>
        <w:ind w:left="0"/>
        <w:jc w:val="left"/>
        <w:outlineLvl w:val="1"/>
      </w:pPr>
      <w:bookmarkStart w:id="22" w:name="heading_22"/>
      <w:r>
        <w:rPr>
          <w:rFonts w:ascii="Arial" w:hAnsi="Arial" w:eastAsia="等线" w:cs="Arial"/>
          <w:b/>
          <w:sz w:val="32"/>
        </w:rPr>
        <w:t>第五章：治理、违规与处罚</w:t>
      </w:r>
      <w:bookmarkEnd w:id="22"/>
    </w:p>
    <w:p w14:paraId="6564C9A2">
      <w:pPr>
        <w:spacing w:before="300" w:after="120" w:line="288" w:lineRule="auto"/>
        <w:ind w:left="0"/>
        <w:jc w:val="left"/>
        <w:outlineLvl w:val="2"/>
      </w:pPr>
      <w:bookmarkStart w:id="23" w:name="heading_23"/>
      <w:r>
        <w:rPr>
          <w:rFonts w:ascii="Arial" w:hAnsi="Arial" w:eastAsia="等线" w:cs="Arial"/>
          <w:b/>
          <w:sz w:val="30"/>
        </w:rPr>
        <w:t>5.1 治理结构</w:t>
      </w:r>
      <w:bookmarkEnd w:id="23"/>
    </w:p>
    <w:p w14:paraId="6388CE26">
      <w:pPr>
        <w:numPr>
          <w:ilvl w:val="0"/>
          <w:numId w:val="1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KYC政策委员会</w:t>
      </w:r>
      <w:r>
        <w:rPr>
          <w:rFonts w:ascii="Arial" w:hAnsi="Arial" w:eastAsia="等线" w:cs="Arial"/>
          <w:sz w:val="22"/>
        </w:rPr>
        <w:t>：由NAC基金会、独立法律专家、社区代表组成，负责审核和批准KYC细则的更新。</w:t>
      </w:r>
    </w:p>
    <w:p w14:paraId="465C295E">
      <w:pPr>
        <w:numPr>
          <w:ilvl w:val="0"/>
          <w:numId w:val="1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去中心化合规网络</w:t>
      </w:r>
      <w:r>
        <w:rPr>
          <w:rFonts w:ascii="Arial" w:hAnsi="Arial" w:eastAsia="等线" w:cs="Arial"/>
          <w:sz w:val="22"/>
        </w:rPr>
        <w:t>：未来可引入经过KYC的第三方合规服务提供商，在统一标准下竞争提供KYC验证服务，由用户选择，系统智能合约确保其工作质量和数据安全。</w:t>
      </w:r>
    </w:p>
    <w:p w14:paraId="64105E53">
      <w:pPr>
        <w:spacing w:before="300" w:after="120" w:line="288" w:lineRule="auto"/>
        <w:ind w:left="0"/>
        <w:jc w:val="left"/>
        <w:outlineLvl w:val="2"/>
      </w:pPr>
      <w:bookmarkStart w:id="24" w:name="heading_24"/>
      <w:r>
        <w:rPr>
          <w:rFonts w:ascii="Arial" w:hAnsi="Arial" w:eastAsia="等线" w:cs="Arial"/>
          <w:b/>
          <w:sz w:val="30"/>
        </w:rPr>
        <w:t>5.2 违规行为认定</w:t>
      </w:r>
      <w:bookmarkEnd w:id="24"/>
    </w:p>
    <w:p w14:paraId="3D35C188">
      <w:pPr>
        <w:numPr>
          <w:ilvl w:val="0"/>
          <w:numId w:val="1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提供虚假、伪造或盗用的身份信息。</w:t>
      </w:r>
    </w:p>
    <w:p w14:paraId="50444189">
      <w:pPr>
        <w:numPr>
          <w:ilvl w:val="0"/>
          <w:numId w:val="1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故意规避或协助他人规避KYC要求。</w:t>
      </w:r>
    </w:p>
    <w:p w14:paraId="33E609C4">
      <w:pPr>
        <w:numPr>
          <w:ilvl w:val="0"/>
          <w:numId w:val="1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KYC信息变更后未及时更新。</w:t>
      </w:r>
    </w:p>
    <w:p w14:paraId="3A6105FA">
      <w:pPr>
        <w:numPr>
          <w:ilvl w:val="0"/>
          <w:numId w:val="1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利用已通过KYC的账户从事洗钱、欺诈等非法活动。</w:t>
      </w:r>
    </w:p>
    <w:p w14:paraId="4EC740F6">
      <w:pPr>
        <w:spacing w:before="300" w:after="120" w:line="288" w:lineRule="auto"/>
        <w:ind w:left="0"/>
        <w:jc w:val="left"/>
        <w:outlineLvl w:val="2"/>
      </w:pPr>
      <w:bookmarkStart w:id="25" w:name="heading_25"/>
      <w:r>
        <w:rPr>
          <w:rFonts w:ascii="Arial" w:hAnsi="Arial" w:eastAsia="等线" w:cs="Arial"/>
          <w:b/>
          <w:sz w:val="30"/>
        </w:rPr>
        <w:t>5.3 处罚措施</w:t>
      </w:r>
      <w:bookmarkEnd w:id="25"/>
    </w:p>
    <w:p w14:paraId="48A56DB5">
      <w:pPr>
        <w:numPr>
          <w:ilvl w:val="0"/>
          <w:numId w:val="1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分级处罚</w:t>
      </w:r>
      <w:r>
        <w:rPr>
          <w:rFonts w:ascii="Arial" w:hAnsi="Arial" w:eastAsia="等线" w:cs="Arial"/>
          <w:sz w:val="22"/>
        </w:rPr>
        <w:t>：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 xml:space="preserve">        </w:t>
      </w:r>
    </w:p>
    <w:p w14:paraId="74E290FC">
      <w:pPr>
        <w:numPr>
          <w:ilvl w:val="0"/>
          <w:numId w:val="122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轻微</w:t>
      </w:r>
      <w:r>
        <w:rPr>
          <w:rFonts w:ascii="Arial" w:hAnsi="Arial" w:eastAsia="等线" w:cs="Arial"/>
          <w:sz w:val="22"/>
        </w:rPr>
        <w:t>：警告，要求限期补充材料。</w:t>
      </w:r>
    </w:p>
    <w:p w14:paraId="54F91E22">
      <w:pPr>
        <w:numPr>
          <w:ilvl w:val="0"/>
          <w:numId w:val="123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一般</w:t>
      </w:r>
      <w:r>
        <w:rPr>
          <w:rFonts w:ascii="Arial" w:hAnsi="Arial" w:eastAsia="等线" w:cs="Arial"/>
          <w:sz w:val="22"/>
        </w:rPr>
        <w:t>：临时冻结账户功能，降低KYC等级。</w:t>
      </w:r>
    </w:p>
    <w:p w14:paraId="58FF5194">
      <w:pPr>
        <w:numPr>
          <w:ilvl w:val="0"/>
          <w:numId w:val="124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严重</w:t>
      </w:r>
      <w:r>
        <w:rPr>
          <w:rFonts w:ascii="Arial" w:hAnsi="Arial" w:eastAsia="等线" w:cs="Arial"/>
          <w:sz w:val="22"/>
        </w:rPr>
        <w:t>：永久封禁OwnerDID及其关联的所有地址，列入NAC内部黑名单，并视情况向执法部门报告。</w:t>
      </w:r>
    </w:p>
    <w:p w14:paraId="4CF96E1E">
      <w:pPr>
        <w:numPr>
          <w:ilvl w:val="0"/>
          <w:numId w:val="125"/>
        </w:numPr>
        <w:spacing w:before="120" w:after="120" w:line="288" w:lineRule="auto"/>
        <w:ind w:left="453"/>
        <w:jc w:val="left"/>
      </w:pPr>
      <w:r>
        <w:rPr>
          <w:rFonts w:ascii="Arial" w:hAnsi="Arial" w:eastAsia="等线" w:cs="Arial"/>
          <w:b/>
          <w:sz w:val="22"/>
        </w:rPr>
        <w:t>涉及犯罪</w:t>
      </w:r>
      <w:r>
        <w:rPr>
          <w:rFonts w:ascii="Arial" w:hAnsi="Arial" w:eastAsia="等线" w:cs="Arial"/>
          <w:sz w:val="22"/>
        </w:rPr>
        <w:t>：全面配合执法部门调查，资产追缴。</w:t>
      </w:r>
    </w:p>
    <w:p w14:paraId="36A74A50">
      <w:pPr>
        <w:numPr>
          <w:ilvl w:val="0"/>
          <w:numId w:val="1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处罚上链</w:t>
      </w:r>
      <w:r>
        <w:rPr>
          <w:rFonts w:ascii="Arial" w:hAnsi="Arial" w:eastAsia="等线" w:cs="Arial"/>
          <w:sz w:val="22"/>
        </w:rPr>
        <w:t>：所有处罚决定（除敏感调查细节外）及其原因摘要将上链公示，确保透明和公正。</w:t>
      </w:r>
    </w:p>
    <w:p w14:paraId="3031D06E">
      <w:pPr>
        <w:numPr>
          <w:ilvl w:val="0"/>
          <w:numId w:val="1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申诉机制</w:t>
      </w:r>
      <w:r>
        <w:rPr>
          <w:rFonts w:ascii="Arial" w:hAnsi="Arial" w:eastAsia="等线" w:cs="Arial"/>
          <w:sz w:val="22"/>
        </w:rPr>
        <w:t>：用户对处罚决定有权通过链上仲裁机制进行申诉。</w:t>
      </w:r>
    </w:p>
    <w:p w14:paraId="7B7523F2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1B20AA92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第六章：附则</w:t>
      </w:r>
      <w:bookmarkEnd w:id="26"/>
    </w:p>
    <w:p w14:paraId="43DA248F">
      <w:pPr>
        <w:spacing w:before="300" w:after="120" w:line="288" w:lineRule="auto"/>
        <w:ind w:left="0"/>
        <w:jc w:val="left"/>
        <w:outlineLvl w:val="2"/>
      </w:pPr>
      <w:bookmarkStart w:id="27" w:name="heading_27"/>
      <w:r>
        <w:rPr>
          <w:rFonts w:ascii="Arial" w:hAnsi="Arial" w:eastAsia="等线" w:cs="Arial"/>
          <w:b/>
          <w:sz w:val="30"/>
        </w:rPr>
        <w:t>6.1 解释权</w:t>
      </w:r>
      <w:bookmarkEnd w:id="27"/>
    </w:p>
    <w:p w14:paraId="4052539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本法典的解释权归NAC公链治理委员会所有。</w:t>
      </w:r>
    </w:p>
    <w:p w14:paraId="7C2FF370">
      <w:pPr>
        <w:spacing w:before="300" w:after="120" w:line="288" w:lineRule="auto"/>
        <w:ind w:left="0"/>
        <w:jc w:val="left"/>
        <w:outlineLvl w:val="2"/>
      </w:pPr>
      <w:bookmarkStart w:id="28" w:name="heading_28"/>
      <w:r>
        <w:rPr>
          <w:rFonts w:ascii="Arial" w:hAnsi="Arial" w:eastAsia="等线" w:cs="Arial"/>
          <w:b/>
          <w:sz w:val="30"/>
        </w:rPr>
        <w:t>6.2 修订程序</w:t>
      </w:r>
      <w:bookmarkEnd w:id="28"/>
    </w:p>
    <w:p w14:paraId="6796C6B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本法典的任何修订，需由KYC政策委员会提案，经社区公示30天，并由XIC持有者通过治理投票（需达到</w:t>
      </w:r>
      <w:r>
        <w:rPr>
          <w:rFonts w:ascii="Arial" w:hAnsi="Arial" w:eastAsia="等线" w:cs="Arial"/>
          <w:b/>
          <w:sz w:val="22"/>
        </w:rPr>
        <w:t>66%以上</w:t>
      </w:r>
      <w:r>
        <w:rPr>
          <w:rFonts w:ascii="Arial" w:hAnsi="Arial" w:eastAsia="等线" w:cs="Arial"/>
          <w:sz w:val="22"/>
        </w:rPr>
        <w:t>赞成票）批准后生效。</w:t>
      </w:r>
    </w:p>
    <w:p w14:paraId="72AB6C16">
      <w:pPr>
        <w:spacing w:before="300" w:after="120" w:line="288" w:lineRule="auto"/>
        <w:ind w:left="0"/>
        <w:jc w:val="left"/>
        <w:outlineLvl w:val="2"/>
      </w:pPr>
      <w:bookmarkStart w:id="29" w:name="heading_29"/>
      <w:r>
        <w:rPr>
          <w:rFonts w:ascii="Arial" w:hAnsi="Arial" w:eastAsia="等线" w:cs="Arial"/>
          <w:b/>
          <w:sz w:val="30"/>
        </w:rPr>
        <w:t>6.3 生效日期</w:t>
      </w:r>
      <w:bookmarkEnd w:id="29"/>
    </w:p>
    <w:p w14:paraId="44B3E2A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本法典自通过治理投票之日起正式生效，成为NAC原生公链宪法体系的组成部分。</w:t>
      </w:r>
    </w:p>
    <w:p w14:paraId="3A29A7B9">
      <w:pPr>
        <w:pBdr>
          <w:bottom w:val="single" w:color="DEE0E3" w:sz="2" w:space="0"/>
          <w:between w:val="single" w:color="DEE0E3" w:sz="2" w:space="0"/>
        </w:pBdr>
        <w:spacing w:before="120" w:after="120" w:line="288" w:lineRule="auto"/>
        <w:ind w:left="0"/>
      </w:pPr>
    </w:p>
    <w:p w14:paraId="3F7BA3FA">
      <w:pPr>
        <w:spacing w:before="300" w:after="120" w:line="288" w:lineRule="auto"/>
        <w:ind w:left="0"/>
        <w:jc w:val="left"/>
        <w:outlineLvl w:val="2"/>
      </w:pPr>
      <w:bookmarkStart w:id="30" w:name="heading_30"/>
      <w:r>
        <w:rPr>
          <w:rFonts w:ascii="Arial" w:hAnsi="Arial" w:eastAsia="等线" w:cs="Arial"/>
          <w:b/>
          <w:sz w:val="30"/>
        </w:rPr>
        <w:t>结语</w:t>
      </w:r>
      <w:bookmarkEnd w:id="30"/>
    </w:p>
    <w:p w14:paraId="268CFF7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《KYC细则法典》旨在构建一个既严格合规又尊重隐私、既能防范风险又不阻碍创新的身份基石。它确保了NAC公链上每一份价值都源于一个可信的身份，每一次流转都伴随着一份坚实的责任，共同守护这个为真实资产而生的数字新世界的秩序与繁荣。</w:t>
      </w:r>
    </w:p>
    <w:p w14:paraId="6CDF375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|（注：文档部分内容可能由 AI 生成)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E523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384F7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4E4E29"/>
    <w:multiLevelType w:val="singleLevel"/>
    <w:tmpl w:val="804E4E2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13A4B87"/>
    <w:multiLevelType w:val="singleLevel"/>
    <w:tmpl w:val="813A4B8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">
    <w:nsid w:val="825EC3C5"/>
    <w:multiLevelType w:val="singleLevel"/>
    <w:tmpl w:val="825EC3C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45B5372"/>
    <w:multiLevelType w:val="singleLevel"/>
    <w:tmpl w:val="845B5372"/>
    <w:lvl w:ilvl="0" w:tentative="0">
      <w:start w:val="0"/>
      <w:numFmt w:val="bullet"/>
      <w:lvlText w:val="▪"/>
      <w:lvlJc w:val="left"/>
      <w:rPr>
        <w:color w:val="3370FF"/>
        <w:sz w:val="11"/>
      </w:rPr>
    </w:lvl>
  </w:abstractNum>
  <w:abstractNum w:abstractNumId="4">
    <w:nsid w:val="8461FADE"/>
    <w:multiLevelType w:val="singleLevel"/>
    <w:tmpl w:val="8461FAD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">
    <w:nsid w:val="883B3669"/>
    <w:multiLevelType w:val="singleLevel"/>
    <w:tmpl w:val="883B366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8CAEB125"/>
    <w:multiLevelType w:val="singleLevel"/>
    <w:tmpl w:val="8CAEB125"/>
    <w:lvl w:ilvl="0" w:tentative="0">
      <w:start w:val="0"/>
      <w:numFmt w:val="bullet"/>
      <w:lvlText w:val="▪"/>
      <w:lvlJc w:val="left"/>
      <w:rPr>
        <w:color w:val="3370FF"/>
        <w:sz w:val="11"/>
      </w:rPr>
    </w:lvl>
  </w:abstractNum>
  <w:abstractNum w:abstractNumId="7">
    <w:nsid w:val="91995D4F"/>
    <w:multiLevelType w:val="singleLevel"/>
    <w:tmpl w:val="91995D4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91B69C97"/>
    <w:multiLevelType w:val="singleLevel"/>
    <w:tmpl w:val="91B69C9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9377BC45"/>
    <w:multiLevelType w:val="singleLevel"/>
    <w:tmpl w:val="9377BC4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2">
    <w:nsid w:val="98CD717A"/>
    <w:multiLevelType w:val="singleLevel"/>
    <w:tmpl w:val="98CD717A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3">
    <w:nsid w:val="9ACF65A0"/>
    <w:multiLevelType w:val="singleLevel"/>
    <w:tmpl w:val="9ACF65A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9C11E984"/>
    <w:multiLevelType w:val="singleLevel"/>
    <w:tmpl w:val="9C11E98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9C7198AA"/>
    <w:multiLevelType w:val="singleLevel"/>
    <w:tmpl w:val="9C7198A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6">
    <w:nsid w:val="9C8AC8EF"/>
    <w:multiLevelType w:val="singleLevel"/>
    <w:tmpl w:val="9C8AC8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7">
    <w:nsid w:val="9D5D7490"/>
    <w:multiLevelType w:val="singleLevel"/>
    <w:tmpl w:val="9D5D7490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8">
    <w:nsid w:val="9DFC6F65"/>
    <w:multiLevelType w:val="singleLevel"/>
    <w:tmpl w:val="9DFC6F6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9">
    <w:nsid w:val="9F81B9F9"/>
    <w:multiLevelType w:val="singleLevel"/>
    <w:tmpl w:val="9F81B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A0C93552"/>
    <w:multiLevelType w:val="singleLevel"/>
    <w:tmpl w:val="A0C9355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1">
    <w:nsid w:val="A0F05207"/>
    <w:multiLevelType w:val="singleLevel"/>
    <w:tmpl w:val="A0F0520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2">
    <w:nsid w:val="A9AC3AA7"/>
    <w:multiLevelType w:val="singleLevel"/>
    <w:tmpl w:val="A9AC3AA7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3">
    <w:nsid w:val="AAF3F3FA"/>
    <w:multiLevelType w:val="singleLevel"/>
    <w:tmpl w:val="AAF3F3F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4">
    <w:nsid w:val="B0ED9BEA"/>
    <w:multiLevelType w:val="singleLevel"/>
    <w:tmpl w:val="B0ED9BE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5">
    <w:nsid w:val="B0F1ACD9"/>
    <w:multiLevelType w:val="singleLevel"/>
    <w:tmpl w:val="B0F1ACD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6">
    <w:nsid w:val="B23A94A9"/>
    <w:multiLevelType w:val="singleLevel"/>
    <w:tmpl w:val="B23A94A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7">
    <w:nsid w:val="B53F3350"/>
    <w:multiLevelType w:val="singleLevel"/>
    <w:tmpl w:val="B53F335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28">
    <w:nsid w:val="B5E306ED"/>
    <w:multiLevelType w:val="singleLevel"/>
    <w:tmpl w:val="B5E306ED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9">
    <w:nsid w:val="B88D21A8"/>
    <w:multiLevelType w:val="singleLevel"/>
    <w:tmpl w:val="B88D21A8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0">
    <w:nsid w:val="B8CEF35B"/>
    <w:multiLevelType w:val="singleLevel"/>
    <w:tmpl w:val="B8CEF35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1">
    <w:nsid w:val="BB64CFA9"/>
    <w:multiLevelType w:val="singleLevel"/>
    <w:tmpl w:val="BB64CFA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BCECA0B4"/>
    <w:multiLevelType w:val="singleLevel"/>
    <w:tmpl w:val="BCECA0B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3">
    <w:nsid w:val="BDA1395C"/>
    <w:multiLevelType w:val="singleLevel"/>
    <w:tmpl w:val="BDA1395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BE8A4F4C"/>
    <w:multiLevelType w:val="singleLevel"/>
    <w:tmpl w:val="BE8A4F4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5">
    <w:nsid w:val="BE923771"/>
    <w:multiLevelType w:val="singleLevel"/>
    <w:tmpl w:val="BE92377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6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7">
    <w:nsid w:val="BF50FE6B"/>
    <w:multiLevelType w:val="singleLevel"/>
    <w:tmpl w:val="BF50FE6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8">
    <w:nsid w:val="C0915F4F"/>
    <w:multiLevelType w:val="singleLevel"/>
    <w:tmpl w:val="C0915F4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39">
    <w:nsid w:val="C4E0D24A"/>
    <w:multiLevelType w:val="singleLevel"/>
    <w:tmpl w:val="C4E0D24A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0">
    <w:nsid w:val="C8879AEF"/>
    <w:multiLevelType w:val="singleLevel"/>
    <w:tmpl w:val="C8879A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1">
    <w:nsid w:val="C90D1B09"/>
    <w:multiLevelType w:val="singleLevel"/>
    <w:tmpl w:val="C90D1B0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CD699D1D"/>
    <w:multiLevelType w:val="singleLevel"/>
    <w:tmpl w:val="CD699D1D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3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44">
    <w:nsid w:val="D1EB1714"/>
    <w:multiLevelType w:val="singleLevel"/>
    <w:tmpl w:val="D1EB171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45">
    <w:nsid w:val="D7D140E4"/>
    <w:multiLevelType w:val="singleLevel"/>
    <w:tmpl w:val="D7D140E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46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DAD3A854"/>
    <w:multiLevelType w:val="singleLevel"/>
    <w:tmpl w:val="DAD3A85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8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9">
    <w:nsid w:val="E0294EC7"/>
    <w:multiLevelType w:val="singleLevel"/>
    <w:tmpl w:val="E0294EC7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0">
    <w:nsid w:val="E093A4B0"/>
    <w:multiLevelType w:val="singleLevel"/>
    <w:tmpl w:val="E093A4B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1">
    <w:nsid w:val="E504947C"/>
    <w:multiLevelType w:val="singleLevel"/>
    <w:tmpl w:val="E504947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2">
    <w:nsid w:val="E7B27C5B"/>
    <w:multiLevelType w:val="singleLevel"/>
    <w:tmpl w:val="E7B27C5B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53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4">
    <w:nsid w:val="F3A33954"/>
    <w:multiLevelType w:val="singleLevel"/>
    <w:tmpl w:val="F3A339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5">
    <w:nsid w:val="F4A942FE"/>
    <w:multiLevelType w:val="singleLevel"/>
    <w:tmpl w:val="F4A942F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F4B5D9F5"/>
    <w:multiLevelType w:val="singleLevel"/>
    <w:tmpl w:val="F4B5D9F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7">
    <w:nsid w:val="F585BF25"/>
    <w:multiLevelType w:val="singleLevel"/>
    <w:tmpl w:val="F585BF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58">
    <w:nsid w:val="F689643B"/>
    <w:multiLevelType w:val="singleLevel"/>
    <w:tmpl w:val="F689643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59">
    <w:nsid w:val="F7735DC9"/>
    <w:multiLevelType w:val="singleLevel"/>
    <w:tmpl w:val="F7735DC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0">
    <w:nsid w:val="FEC2EA36"/>
    <w:multiLevelType w:val="singleLevel"/>
    <w:tmpl w:val="FEC2EA3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2">
    <w:nsid w:val="01836A6D"/>
    <w:multiLevelType w:val="singleLevel"/>
    <w:tmpl w:val="01836A6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0248C179"/>
    <w:multiLevelType w:val="singleLevel"/>
    <w:tmpl w:val="0248C179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64">
    <w:nsid w:val="03A63A41"/>
    <w:multiLevelType w:val="singleLevel"/>
    <w:tmpl w:val="03A63A41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5">
    <w:nsid w:val="03C240C0"/>
    <w:multiLevelType w:val="singleLevel"/>
    <w:tmpl w:val="03C240C0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66">
    <w:nsid w:val="03D62ECE"/>
    <w:multiLevelType w:val="singleLevel"/>
    <w:tmpl w:val="03D62ECE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7">
    <w:nsid w:val="0709FD3E"/>
    <w:multiLevelType w:val="singleLevel"/>
    <w:tmpl w:val="0709FD3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8">
    <w:nsid w:val="0CEF100B"/>
    <w:multiLevelType w:val="singleLevel"/>
    <w:tmpl w:val="0CEF100B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69">
    <w:nsid w:val="0E640482"/>
    <w:multiLevelType w:val="singleLevel"/>
    <w:tmpl w:val="0E640482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0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1">
    <w:nsid w:val="10D591E5"/>
    <w:multiLevelType w:val="singleLevel"/>
    <w:tmpl w:val="10D591E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2">
    <w:nsid w:val="10F0DB0B"/>
    <w:multiLevelType w:val="singleLevel"/>
    <w:tmpl w:val="10F0DB0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3">
    <w:nsid w:val="12EADF99"/>
    <w:multiLevelType w:val="singleLevel"/>
    <w:tmpl w:val="12EADF9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4">
    <w:nsid w:val="1450273B"/>
    <w:multiLevelType w:val="singleLevel"/>
    <w:tmpl w:val="1450273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5">
    <w:nsid w:val="18F74015"/>
    <w:multiLevelType w:val="singleLevel"/>
    <w:tmpl w:val="18F7401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6">
    <w:nsid w:val="1ACDE60F"/>
    <w:multiLevelType w:val="singleLevel"/>
    <w:tmpl w:val="1ACDE60F"/>
    <w:lvl w:ilvl="0" w:tentative="0">
      <w:start w:val="0"/>
      <w:numFmt w:val="bullet"/>
      <w:lvlText w:val="▪"/>
      <w:lvlJc w:val="left"/>
      <w:rPr>
        <w:color w:val="3370FF"/>
        <w:sz w:val="11"/>
      </w:rPr>
    </w:lvl>
  </w:abstractNum>
  <w:abstractNum w:abstractNumId="77">
    <w:nsid w:val="1AD50295"/>
    <w:multiLevelType w:val="singleLevel"/>
    <w:tmpl w:val="1AD5029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78">
    <w:nsid w:val="1BCBBCF0"/>
    <w:multiLevelType w:val="singleLevel"/>
    <w:tmpl w:val="1BCBBCF0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79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0">
    <w:nsid w:val="21B3B1B1"/>
    <w:multiLevelType w:val="singleLevel"/>
    <w:tmpl w:val="21B3B1B1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81">
    <w:nsid w:val="23E97754"/>
    <w:multiLevelType w:val="singleLevel"/>
    <w:tmpl w:val="23E9775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2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3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4">
    <w:nsid w:val="251342A6"/>
    <w:multiLevelType w:val="singleLevel"/>
    <w:tmpl w:val="251342A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5">
    <w:nsid w:val="25B654F3"/>
    <w:multiLevelType w:val="singleLevel"/>
    <w:tmpl w:val="25B654F3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86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7">
    <w:nsid w:val="2B3F3F89"/>
    <w:multiLevelType w:val="singleLevel"/>
    <w:tmpl w:val="2B3F3F8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8">
    <w:nsid w:val="2F2D79CE"/>
    <w:multiLevelType w:val="singleLevel"/>
    <w:tmpl w:val="2F2D79C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89">
    <w:nsid w:val="30A0AC00"/>
    <w:multiLevelType w:val="singleLevel"/>
    <w:tmpl w:val="30A0AC00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90">
    <w:nsid w:val="30FC5B15"/>
    <w:multiLevelType w:val="singleLevel"/>
    <w:tmpl w:val="30FC5B15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1">
    <w:nsid w:val="322D85CA"/>
    <w:multiLevelType w:val="singleLevel"/>
    <w:tmpl w:val="322D85C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2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3">
    <w:nsid w:val="35E83B33"/>
    <w:multiLevelType w:val="singleLevel"/>
    <w:tmpl w:val="35E83B33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4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5">
    <w:nsid w:val="3B8127DF"/>
    <w:multiLevelType w:val="singleLevel"/>
    <w:tmpl w:val="3B8127D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96">
    <w:nsid w:val="40B249F9"/>
    <w:multiLevelType w:val="singleLevel"/>
    <w:tmpl w:val="40B249F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97">
    <w:nsid w:val="40F245EA"/>
    <w:multiLevelType w:val="singleLevel"/>
    <w:tmpl w:val="40F245E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8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9">
    <w:nsid w:val="4A51D704"/>
    <w:multiLevelType w:val="singleLevel"/>
    <w:tmpl w:val="4A51D70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0">
    <w:nsid w:val="4C1BAE26"/>
    <w:multiLevelType w:val="singleLevel"/>
    <w:tmpl w:val="4C1BAE2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1">
    <w:nsid w:val="4C3D7A74"/>
    <w:multiLevelType w:val="singleLevel"/>
    <w:tmpl w:val="4C3D7A7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2">
    <w:nsid w:val="4CD1E351"/>
    <w:multiLevelType w:val="singleLevel"/>
    <w:tmpl w:val="4CD1E351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03">
    <w:nsid w:val="4D4DC07F"/>
    <w:multiLevelType w:val="singleLevel"/>
    <w:tmpl w:val="4D4DC07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4">
    <w:nsid w:val="4D94DA66"/>
    <w:multiLevelType w:val="singleLevel"/>
    <w:tmpl w:val="4D94DA6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5">
    <w:nsid w:val="51C4BC33"/>
    <w:multiLevelType w:val="singleLevel"/>
    <w:tmpl w:val="51C4BC33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6">
    <w:nsid w:val="54701CA1"/>
    <w:multiLevelType w:val="singleLevel"/>
    <w:tmpl w:val="54701CA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7">
    <w:nsid w:val="58765686"/>
    <w:multiLevelType w:val="singleLevel"/>
    <w:tmpl w:val="5876568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0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09">
    <w:nsid w:val="59EEFD2A"/>
    <w:multiLevelType w:val="singleLevel"/>
    <w:tmpl w:val="59EEFD2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0">
    <w:nsid w:val="5A241D34"/>
    <w:multiLevelType w:val="singleLevel"/>
    <w:tmpl w:val="5A241D3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1">
    <w:nsid w:val="5E29AB5A"/>
    <w:multiLevelType w:val="singleLevel"/>
    <w:tmpl w:val="5E29AB5A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2">
    <w:nsid w:val="5FCE4367"/>
    <w:multiLevelType w:val="singleLevel"/>
    <w:tmpl w:val="5FCE436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3">
    <w:nsid w:val="5FFFB1A7"/>
    <w:multiLevelType w:val="singleLevel"/>
    <w:tmpl w:val="5FFFB1A7"/>
    <w:lvl w:ilvl="0" w:tentative="0">
      <w:start w:val="0"/>
      <w:numFmt w:val="bullet"/>
      <w:lvlText w:val="▪"/>
      <w:lvlJc w:val="left"/>
      <w:rPr>
        <w:color w:val="3370FF"/>
        <w:sz w:val="11"/>
      </w:rPr>
    </w:lvl>
  </w:abstractNum>
  <w:abstractNum w:abstractNumId="114">
    <w:nsid w:val="60382F6E"/>
    <w:multiLevelType w:val="singleLevel"/>
    <w:tmpl w:val="60382F6E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5">
    <w:nsid w:val="610EFE5C"/>
    <w:multiLevelType w:val="singleLevel"/>
    <w:tmpl w:val="610EFE5C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7">
    <w:nsid w:val="65CD0074"/>
    <w:multiLevelType w:val="singleLevel"/>
    <w:tmpl w:val="65CD0074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18">
    <w:nsid w:val="68B298F7"/>
    <w:multiLevelType w:val="singleLevel"/>
    <w:tmpl w:val="68B298F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9">
    <w:nsid w:val="700FDCEF"/>
    <w:multiLevelType w:val="singleLevel"/>
    <w:tmpl w:val="700FDCEF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0">
    <w:nsid w:val="72183CF9"/>
    <w:multiLevelType w:val="singleLevel"/>
    <w:tmpl w:val="72183CF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21">
    <w:nsid w:val="74C28B35"/>
    <w:multiLevelType w:val="singleLevel"/>
    <w:tmpl w:val="74C28B35"/>
    <w:lvl w:ilvl="0" w:tentative="0">
      <w:start w:val="0"/>
      <w:numFmt w:val="bullet"/>
      <w:lvlText w:val="▪"/>
      <w:lvlJc w:val="left"/>
      <w:rPr>
        <w:color w:val="3370FF"/>
        <w:sz w:val="11"/>
      </w:rPr>
    </w:lvl>
  </w:abstractNum>
  <w:abstractNum w:abstractNumId="122">
    <w:nsid w:val="77633216"/>
    <w:multiLevelType w:val="singleLevel"/>
    <w:tmpl w:val="7763321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3">
    <w:nsid w:val="77ECEA79"/>
    <w:multiLevelType w:val="singleLevel"/>
    <w:tmpl w:val="77ECEA79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4">
    <w:nsid w:val="79AA4FA4"/>
    <w:multiLevelType w:val="singleLevel"/>
    <w:tmpl w:val="79AA4FA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25">
    <w:nsid w:val="7C246926"/>
    <w:multiLevelType w:val="singleLevel"/>
    <w:tmpl w:val="7C246926"/>
    <w:lvl w:ilvl="0" w:tentative="0">
      <w:start w:val="0"/>
      <w:numFmt w:val="bullet"/>
      <w:lvlText w:val="￮"/>
      <w:lvlJc w:val="left"/>
      <w:rPr>
        <w:color w:val="3370FF"/>
      </w:rPr>
    </w:lvl>
  </w:abstractNum>
  <w:abstractNum w:abstractNumId="126">
    <w:nsid w:val="7DEC2089"/>
    <w:multiLevelType w:val="singleLevel"/>
    <w:tmpl w:val="7DEC2089"/>
    <w:lvl w:ilvl="0" w:tentative="0">
      <w:start w:val="0"/>
      <w:numFmt w:val="bullet"/>
      <w:lvlText w:val="￮"/>
      <w:lvlJc w:val="left"/>
      <w:rPr>
        <w:color w:val="3370FF"/>
      </w:rPr>
    </w:lvl>
  </w:abstractNum>
  <w:num w:numId="1">
    <w:abstractNumId w:val="61"/>
  </w:num>
  <w:num w:numId="2">
    <w:abstractNumId w:val="43"/>
  </w:num>
  <w:num w:numId="3">
    <w:abstractNumId w:val="108"/>
  </w:num>
  <w:num w:numId="4">
    <w:abstractNumId w:val="36"/>
  </w:num>
  <w:num w:numId="5">
    <w:abstractNumId w:val="28"/>
  </w:num>
  <w:num w:numId="6">
    <w:abstractNumId w:val="66"/>
  </w:num>
  <w:num w:numId="7">
    <w:abstractNumId w:val="85"/>
  </w:num>
  <w:num w:numId="8">
    <w:abstractNumId w:val="120"/>
  </w:num>
  <w:num w:numId="9">
    <w:abstractNumId w:val="63"/>
  </w:num>
  <w:num w:numId="10">
    <w:abstractNumId w:val="9"/>
  </w:num>
  <w:num w:numId="11">
    <w:abstractNumId w:val="86"/>
  </w:num>
  <w:num w:numId="12">
    <w:abstractNumId w:val="110"/>
  </w:num>
  <w:num w:numId="13">
    <w:abstractNumId w:val="40"/>
  </w:num>
  <w:num w:numId="14">
    <w:abstractNumId w:val="103"/>
  </w:num>
  <w:num w:numId="15">
    <w:abstractNumId w:val="56"/>
  </w:num>
  <w:num w:numId="16">
    <w:abstractNumId w:val="83"/>
  </w:num>
  <w:num w:numId="17">
    <w:abstractNumId w:val="48"/>
  </w:num>
  <w:num w:numId="18">
    <w:abstractNumId w:val="46"/>
  </w:num>
  <w:num w:numId="19">
    <w:abstractNumId w:val="16"/>
  </w:num>
  <w:num w:numId="20">
    <w:abstractNumId w:val="100"/>
  </w:num>
  <w:num w:numId="21">
    <w:abstractNumId w:val="114"/>
  </w:num>
  <w:num w:numId="22">
    <w:abstractNumId w:val="69"/>
  </w:num>
  <w:num w:numId="23">
    <w:abstractNumId w:val="98"/>
  </w:num>
  <w:num w:numId="24">
    <w:abstractNumId w:val="25"/>
  </w:num>
  <w:num w:numId="25">
    <w:abstractNumId w:val="125"/>
  </w:num>
  <w:num w:numId="26">
    <w:abstractNumId w:val="123"/>
  </w:num>
  <w:num w:numId="27">
    <w:abstractNumId w:val="35"/>
  </w:num>
  <w:num w:numId="28">
    <w:abstractNumId w:val="116"/>
  </w:num>
  <w:num w:numId="29">
    <w:abstractNumId w:val="10"/>
  </w:num>
  <w:num w:numId="30">
    <w:abstractNumId w:val="94"/>
  </w:num>
  <w:num w:numId="31">
    <w:abstractNumId w:val="4"/>
  </w:num>
  <w:num w:numId="32">
    <w:abstractNumId w:val="107"/>
  </w:num>
  <w:num w:numId="33">
    <w:abstractNumId w:val="126"/>
  </w:num>
  <w:num w:numId="34">
    <w:abstractNumId w:val="1"/>
  </w:num>
  <w:num w:numId="35">
    <w:abstractNumId w:val="82"/>
  </w:num>
  <w:num w:numId="36">
    <w:abstractNumId w:val="104"/>
  </w:num>
  <w:num w:numId="37">
    <w:abstractNumId w:val="59"/>
  </w:num>
  <w:num w:numId="38">
    <w:abstractNumId w:val="50"/>
  </w:num>
  <w:num w:numId="39">
    <w:abstractNumId w:val="90"/>
  </w:num>
  <w:num w:numId="40">
    <w:abstractNumId w:val="124"/>
  </w:num>
  <w:num w:numId="41">
    <w:abstractNumId w:val="31"/>
  </w:num>
  <w:num w:numId="42">
    <w:abstractNumId w:val="7"/>
  </w:num>
  <w:num w:numId="43">
    <w:abstractNumId w:val="30"/>
  </w:num>
  <w:num w:numId="44">
    <w:abstractNumId w:val="111"/>
  </w:num>
  <w:num w:numId="45">
    <w:abstractNumId w:val="3"/>
  </w:num>
  <w:num w:numId="46">
    <w:abstractNumId w:val="76"/>
  </w:num>
  <w:num w:numId="47">
    <w:abstractNumId w:val="6"/>
  </w:num>
  <w:num w:numId="48">
    <w:abstractNumId w:val="113"/>
  </w:num>
  <w:num w:numId="49">
    <w:abstractNumId w:val="121"/>
  </w:num>
  <w:num w:numId="50">
    <w:abstractNumId w:val="101"/>
  </w:num>
  <w:num w:numId="51">
    <w:abstractNumId w:val="91"/>
  </w:num>
  <w:num w:numId="52">
    <w:abstractNumId w:val="117"/>
  </w:num>
  <w:num w:numId="53">
    <w:abstractNumId w:val="67"/>
  </w:num>
  <w:num w:numId="54">
    <w:abstractNumId w:val="68"/>
  </w:num>
  <w:num w:numId="55">
    <w:abstractNumId w:val="45"/>
  </w:num>
  <w:num w:numId="56">
    <w:abstractNumId w:val="92"/>
  </w:num>
  <w:num w:numId="57">
    <w:abstractNumId w:val="79"/>
  </w:num>
  <w:num w:numId="58">
    <w:abstractNumId w:val="53"/>
  </w:num>
  <w:num w:numId="59">
    <w:abstractNumId w:val="81"/>
  </w:num>
  <w:num w:numId="60">
    <w:abstractNumId w:val="27"/>
  </w:num>
  <w:num w:numId="61">
    <w:abstractNumId w:val="96"/>
  </w:num>
  <w:num w:numId="62">
    <w:abstractNumId w:val="70"/>
  </w:num>
  <w:num w:numId="63">
    <w:abstractNumId w:val="93"/>
  </w:num>
  <w:num w:numId="64">
    <w:abstractNumId w:val="64"/>
  </w:num>
  <w:num w:numId="65">
    <w:abstractNumId w:val="38"/>
  </w:num>
  <w:num w:numId="66">
    <w:abstractNumId w:val="73"/>
  </w:num>
  <w:num w:numId="67">
    <w:abstractNumId w:val="26"/>
  </w:num>
  <w:num w:numId="68">
    <w:abstractNumId w:val="95"/>
  </w:num>
  <w:num w:numId="69">
    <w:abstractNumId w:val="21"/>
  </w:num>
  <w:num w:numId="70">
    <w:abstractNumId w:val="58"/>
  </w:num>
  <w:num w:numId="71">
    <w:abstractNumId w:val="89"/>
  </w:num>
  <w:num w:numId="72">
    <w:abstractNumId w:val="60"/>
  </w:num>
  <w:num w:numId="73">
    <w:abstractNumId w:val="75"/>
  </w:num>
  <w:num w:numId="74">
    <w:abstractNumId w:val="119"/>
  </w:num>
  <w:num w:numId="75">
    <w:abstractNumId w:val="51"/>
  </w:num>
  <w:num w:numId="76">
    <w:abstractNumId w:val="39"/>
  </w:num>
  <w:num w:numId="77">
    <w:abstractNumId w:val="20"/>
  </w:num>
  <w:num w:numId="78">
    <w:abstractNumId w:val="122"/>
  </w:num>
  <w:num w:numId="79">
    <w:abstractNumId w:val="47"/>
  </w:num>
  <w:num w:numId="80">
    <w:abstractNumId w:val="29"/>
  </w:num>
  <w:num w:numId="81">
    <w:abstractNumId w:val="88"/>
  </w:num>
  <w:num w:numId="82">
    <w:abstractNumId w:val="52"/>
  </w:num>
  <w:num w:numId="83">
    <w:abstractNumId w:val="13"/>
  </w:num>
  <w:num w:numId="84">
    <w:abstractNumId w:val="109"/>
  </w:num>
  <w:num w:numId="85">
    <w:abstractNumId w:val="33"/>
  </w:num>
  <w:num w:numId="86">
    <w:abstractNumId w:val="24"/>
  </w:num>
  <w:num w:numId="87">
    <w:abstractNumId w:val="11"/>
  </w:num>
  <w:num w:numId="88">
    <w:abstractNumId w:val="17"/>
  </w:num>
  <w:num w:numId="89">
    <w:abstractNumId w:val="23"/>
  </w:num>
  <w:num w:numId="90">
    <w:abstractNumId w:val="8"/>
  </w:num>
  <w:num w:numId="91">
    <w:abstractNumId w:val="78"/>
  </w:num>
  <w:num w:numId="92">
    <w:abstractNumId w:val="34"/>
  </w:num>
  <w:num w:numId="93">
    <w:abstractNumId w:val="74"/>
  </w:num>
  <w:num w:numId="94">
    <w:abstractNumId w:val="44"/>
  </w:num>
  <w:num w:numId="95">
    <w:abstractNumId w:val="118"/>
  </w:num>
  <w:num w:numId="96">
    <w:abstractNumId w:val="0"/>
  </w:num>
  <w:num w:numId="97">
    <w:abstractNumId w:val="32"/>
  </w:num>
  <w:num w:numId="98">
    <w:abstractNumId w:val="57"/>
  </w:num>
  <w:num w:numId="99">
    <w:abstractNumId w:val="102"/>
  </w:num>
  <w:num w:numId="100">
    <w:abstractNumId w:val="71"/>
  </w:num>
  <w:num w:numId="101">
    <w:abstractNumId w:val="14"/>
  </w:num>
  <w:num w:numId="102">
    <w:abstractNumId w:val="49"/>
  </w:num>
  <w:num w:numId="103">
    <w:abstractNumId w:val="77"/>
  </w:num>
  <w:num w:numId="104">
    <w:abstractNumId w:val="99"/>
  </w:num>
  <w:num w:numId="105">
    <w:abstractNumId w:val="22"/>
  </w:num>
  <w:num w:numId="106">
    <w:abstractNumId w:val="115"/>
  </w:num>
  <w:num w:numId="107">
    <w:abstractNumId w:val="2"/>
  </w:num>
  <w:num w:numId="108">
    <w:abstractNumId w:val="5"/>
  </w:num>
  <w:num w:numId="109">
    <w:abstractNumId w:val="62"/>
  </w:num>
  <w:num w:numId="110">
    <w:abstractNumId w:val="19"/>
  </w:num>
  <w:num w:numId="111">
    <w:abstractNumId w:val="37"/>
  </w:num>
  <w:num w:numId="112">
    <w:abstractNumId w:val="41"/>
  </w:num>
  <w:num w:numId="113">
    <w:abstractNumId w:val="55"/>
  </w:num>
  <w:num w:numId="114">
    <w:abstractNumId w:val="112"/>
  </w:num>
  <w:num w:numId="115">
    <w:abstractNumId w:val="54"/>
  </w:num>
  <w:num w:numId="116">
    <w:abstractNumId w:val="106"/>
  </w:num>
  <w:num w:numId="117">
    <w:abstractNumId w:val="80"/>
  </w:num>
  <w:num w:numId="118">
    <w:abstractNumId w:val="12"/>
  </w:num>
  <w:num w:numId="119">
    <w:abstractNumId w:val="65"/>
  </w:num>
  <w:num w:numId="120">
    <w:abstractNumId w:val="18"/>
  </w:num>
  <w:num w:numId="121">
    <w:abstractNumId w:val="87"/>
  </w:num>
  <w:num w:numId="122">
    <w:abstractNumId w:val="105"/>
  </w:num>
  <w:num w:numId="123">
    <w:abstractNumId w:val="42"/>
  </w:num>
  <w:num w:numId="124">
    <w:abstractNumId w:val="15"/>
  </w:num>
  <w:num w:numId="125">
    <w:abstractNumId w:val="84"/>
  </w:num>
  <w:num w:numId="126">
    <w:abstractNumId w:val="97"/>
  </w:num>
  <w:num w:numId="127">
    <w:abstractNumId w:val="7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1257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4325</Words>
  <Characters>4743</Characters>
  <TotalTime>19</TotalTime>
  <ScaleCrop>false</ScaleCrop>
  <LinksUpToDate>false</LinksUpToDate>
  <CharactersWithSpaces>4920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2026-01-19T04:56:00Z</dcterms:created>
  <dc:creator>Apache POI</dc:creator>
  <cp:lastModifiedBy>无为天下</cp:lastModifiedBy>
  <dcterms:modified xsi:type="dcterms:W3CDTF">2026-01-22T03:21:42Z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896BD63EC62849E4BFA3F9FFD720AA76_13</vt:lpwstr>
  </property>
</Properties>
</file>