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xmlns:r="http://schemas.openxmlformats.org/officeDocument/2006/relationships">
  <w:body>
    <w:p>
      <w:pPr>
        <w:spacing w:before="480" w:after="480" w:line="288" w:lineRule="auto"/>
        <w:ind w:left="0"/>
      </w:pPr>
      <w:r>
        <w:rPr>
          <w:rFonts w:eastAsia="等线" w:ascii="Arial" w:cs="Arial" w:hAnsi="Arial"/>
          <w:b w:val="true"/>
          <w:sz w:val="52"/>
        </w:rPr>
        <w:t>不动产上链指引（GNACS合规版）V1.0</w:t>
      </w:r>
    </w:p>
    <w:p>
      <w:pPr>
        <w:pStyle w:val="2"/>
        <w:spacing w:before="320" w:after="120" w:line="288" w:lineRule="auto"/>
        <w:ind w:left="0"/>
        <w:jc w:val="left"/>
        <w:outlineLvl w:val="1"/>
      </w:pPr>
      <w:bookmarkStart w:name="heading_0" w:id="0"/>
      <w:r>
        <w:rPr>
          <w:rFonts w:eastAsia="等线" w:ascii="Arial" w:cs="Arial" w:hAnsi="Arial"/>
          <w:b w:val="true"/>
          <w:sz w:val="32"/>
        </w:rPr>
        <w:t>指引说明</w:t>
      </w:r>
      <w:bookmarkEnd w:id="0"/>
    </w:p>
    <w:p>
      <w:pPr>
        <w:spacing w:before="120" w:after="120" w:line="288" w:lineRule="auto"/>
        <w:ind w:left="0"/>
        <w:jc w:val="left"/>
      </w:pPr>
      <w:r>
        <w:rPr>
          <w:rFonts w:eastAsia="等线" w:ascii="Arial" w:cs="Arial" w:hAnsi="Arial"/>
          <w:sz w:val="22"/>
        </w:rPr>
        <w:t>本指引依据《GNACSPro原生资产链统一分类标准体系》及《NAC原生资产主权规则法典》编制，旨在为通过NAC公链进行不动产（现阶段主要为收益权）数字化、代币化提供标准化、合规化、可操作的全流程规范。所有参与者均应遵循。</w:t>
      </w:r>
    </w:p>
    <w:p>
      <w:pPr>
        <w:pBdr>
          <w:bottom w:val="single" w:color="dee0e3"/>
          <w:between w:val="single" w:color="dee0e3"/>
        </w:pBdr>
        <w:spacing w:before="120" w:after="120" w:line="288" w:lineRule="auto"/>
        <w:ind w:left="0"/>
      </w:pPr>
    </w:p>
    <w:p>
      <w:pPr>
        <w:pStyle w:val="2"/>
        <w:spacing w:before="320" w:after="120" w:line="288" w:lineRule="auto"/>
        <w:ind w:left="0"/>
        <w:jc w:val="left"/>
        <w:outlineLvl w:val="1"/>
      </w:pPr>
      <w:bookmarkStart w:name="heading_1" w:id="1"/>
      <w:r>
        <w:rPr>
          <w:rFonts w:eastAsia="等线" w:ascii="Arial" w:cs="Arial" w:hAnsi="Arial"/>
          <w:b w:val="true"/>
          <w:sz w:val="32"/>
        </w:rPr>
        <w:t>第一章：总则与核心原则</w:t>
      </w:r>
      <w:bookmarkEnd w:id="1"/>
    </w:p>
    <w:p>
      <w:pPr>
        <w:pStyle w:val="3"/>
        <w:spacing w:before="300" w:after="120" w:line="288" w:lineRule="auto"/>
        <w:ind w:left="0"/>
        <w:jc w:val="left"/>
        <w:outlineLvl w:val="2"/>
      </w:pPr>
      <w:bookmarkStart w:name="heading_2" w:id="2"/>
      <w:r>
        <w:rPr>
          <w:rFonts w:eastAsia="等线" w:ascii="Arial" w:cs="Arial" w:hAnsi="Arial"/>
          <w:b w:val="true"/>
          <w:sz w:val="30"/>
        </w:rPr>
        <w:t>第1条 目标</w:t>
      </w:r>
      <w:bookmarkEnd w:id="2"/>
    </w:p>
    <w:p>
      <w:pPr>
        <w:spacing w:before="120" w:after="120" w:line="288" w:lineRule="auto"/>
        <w:ind w:left="0"/>
        <w:jc w:val="left"/>
      </w:pPr>
      <w:r>
        <w:rPr>
          <w:rFonts w:eastAsia="等线" w:ascii="Arial" w:cs="Arial" w:hAnsi="Arial"/>
          <w:sz w:val="22"/>
        </w:rPr>
        <w:t>规范不动产资产上链行为，明确各方权责，利用区块链技术实现资产的确权、登记、流转与管理的透明化、自动化与合规化，最终生成与链下法律效力衔接的GNACS合规数字资产。</w:t>
      </w:r>
    </w:p>
    <w:p>
      <w:pPr>
        <w:pStyle w:val="3"/>
        <w:spacing w:before="300" w:after="120" w:line="288" w:lineRule="auto"/>
        <w:ind w:left="0"/>
        <w:jc w:val="left"/>
        <w:outlineLvl w:val="2"/>
      </w:pPr>
      <w:bookmarkStart w:name="heading_3" w:id="3"/>
      <w:r>
        <w:rPr>
          <w:rFonts w:eastAsia="等线" w:ascii="Arial" w:cs="Arial" w:hAnsi="Arial"/>
          <w:b w:val="true"/>
          <w:sz w:val="30"/>
        </w:rPr>
        <w:t>第2条 适用范围</w:t>
      </w:r>
      <w:bookmarkEnd w:id="3"/>
    </w:p>
    <w:p>
      <w:pPr>
        <w:spacing w:before="120" w:after="120" w:line="288" w:lineRule="auto"/>
        <w:ind w:left="0"/>
        <w:jc w:val="left"/>
      </w:pPr>
      <w:r>
        <w:rPr>
          <w:rFonts w:eastAsia="等线" w:ascii="Arial" w:cs="Arial" w:hAnsi="Arial"/>
          <w:sz w:val="22"/>
        </w:rPr>
        <w:t>本指引适用于所有拟在NAC公链上，通过智能合约进行数字化表征、并发行相应权益代币的不动产相关权利，包括但不限于：</w:t>
      </w:r>
    </w:p>
    <w:p>
      <w:pPr>
        <w:numPr>
          <w:numId w:val="1"/>
        </w:numPr>
        <w:spacing w:before="120" w:after="120" w:line="288" w:lineRule="auto"/>
        <w:ind w:left="0"/>
        <w:jc w:val="left"/>
      </w:pPr>
      <w:r>
        <w:rPr>
          <w:rFonts w:eastAsia="等线" w:ascii="Arial" w:cs="Arial" w:hAnsi="Arial"/>
          <w:sz w:val="22"/>
        </w:rPr>
        <w:t>不动产所有权（含共有）的收益权</w:t>
      </w:r>
    </w:p>
    <w:p>
      <w:pPr>
        <w:numPr>
          <w:numId w:val="2"/>
        </w:numPr>
        <w:spacing w:before="120" w:after="120" w:line="288" w:lineRule="auto"/>
        <w:ind w:left="0"/>
        <w:jc w:val="left"/>
      </w:pPr>
      <w:r>
        <w:rPr>
          <w:rFonts w:eastAsia="等线" w:ascii="Arial" w:cs="Arial" w:hAnsi="Arial"/>
          <w:sz w:val="22"/>
        </w:rPr>
        <w:t>不动产租赁权</w:t>
      </w:r>
    </w:p>
    <w:p>
      <w:pPr>
        <w:numPr>
          <w:numId w:val="3"/>
        </w:numPr>
        <w:spacing w:before="120" w:after="120" w:line="288" w:lineRule="auto"/>
        <w:ind w:left="0"/>
        <w:jc w:val="left"/>
      </w:pPr>
      <w:r>
        <w:rPr>
          <w:rFonts w:eastAsia="等线" w:ascii="Arial" w:cs="Arial" w:hAnsi="Arial"/>
          <w:sz w:val="22"/>
        </w:rPr>
        <w:t>不动产抵押权的附属权益</w:t>
      </w:r>
    </w:p>
    <w:p>
      <w:pPr>
        <w:numPr>
          <w:numId w:val="4"/>
        </w:numPr>
        <w:spacing w:before="120" w:after="120" w:line="288" w:lineRule="auto"/>
        <w:ind w:left="0"/>
        <w:jc w:val="left"/>
      </w:pPr>
      <w:r>
        <w:rPr>
          <w:rFonts w:eastAsia="等线" w:ascii="Arial" w:cs="Arial" w:hAnsi="Arial"/>
          <w:sz w:val="22"/>
        </w:rPr>
        <w:t>符合监管规定的其他不动产衍生权益</w:t>
      </w:r>
    </w:p>
    <w:p>
      <w:pPr>
        <w:pStyle w:val="3"/>
        <w:spacing w:before="300" w:after="120" w:line="288" w:lineRule="auto"/>
        <w:ind w:left="0"/>
        <w:jc w:val="left"/>
        <w:outlineLvl w:val="2"/>
      </w:pPr>
      <w:bookmarkStart w:name="heading_4" w:id="4"/>
      <w:r>
        <w:rPr>
          <w:rFonts w:eastAsia="等线" w:ascii="Arial" w:cs="Arial" w:hAnsi="Arial"/>
          <w:b w:val="true"/>
          <w:sz w:val="30"/>
        </w:rPr>
        <w:t>第3条 核心原则</w:t>
      </w:r>
      <w:bookmarkEnd w:id="4"/>
    </w:p>
    <w:p>
      <w:pPr>
        <w:numPr>
          <w:numId w:val="5"/>
        </w:numPr>
        <w:spacing w:before="120" w:after="120" w:line="288" w:lineRule="auto"/>
        <w:ind w:left="0"/>
        <w:jc w:val="left"/>
      </w:pPr>
      <w:r>
        <w:rPr>
          <w:rFonts w:eastAsia="等线" w:ascii="Arial" w:cs="Arial" w:hAnsi="Arial"/>
          <w:b w:val="true"/>
          <w:sz w:val="22"/>
        </w:rPr>
        <w:t>合规先行原则</w:t>
      </w:r>
      <w:r>
        <w:rPr>
          <w:rFonts w:eastAsia="等线" w:ascii="Arial" w:cs="Arial" w:hAnsi="Arial"/>
          <w:sz w:val="22"/>
        </w:rPr>
        <w:t>：上链前必须完成所有必要的链下法律、财务及监管合规审查。</w:t>
      </w:r>
    </w:p>
    <w:p>
      <w:pPr>
        <w:numPr>
          <w:numId w:val="6"/>
        </w:numPr>
        <w:spacing w:before="120" w:after="120" w:line="288" w:lineRule="auto"/>
        <w:ind w:left="0"/>
        <w:jc w:val="left"/>
      </w:pPr>
      <w:r>
        <w:rPr>
          <w:rFonts w:eastAsia="等线" w:ascii="Arial" w:cs="Arial" w:hAnsi="Arial"/>
          <w:b w:val="true"/>
          <w:sz w:val="22"/>
        </w:rPr>
        <w:t>GNACS锚定原则</w:t>
      </w:r>
      <w:r>
        <w:rPr>
          <w:rFonts w:eastAsia="等线" w:ascii="Arial" w:cs="Arial" w:hAnsi="Arial"/>
          <w:sz w:val="22"/>
        </w:rPr>
        <w:t>：每项上链资产必须生成并绑定唯一的、符合《GNACSPro》标准的30位编码，作为其链上分类的唯一标识。</w:t>
      </w:r>
    </w:p>
    <w:p>
      <w:pPr>
        <w:numPr>
          <w:numId w:val="7"/>
        </w:numPr>
        <w:spacing w:before="120" w:after="120" w:line="288" w:lineRule="auto"/>
        <w:ind w:left="0"/>
        <w:jc w:val="left"/>
      </w:pPr>
      <w:r>
        <w:rPr>
          <w:rFonts w:eastAsia="等线" w:ascii="Arial" w:cs="Arial" w:hAnsi="Arial"/>
          <w:b w:val="true"/>
          <w:sz w:val="22"/>
        </w:rPr>
        <w:t>主权映射原则</w:t>
      </w:r>
      <w:r>
        <w:rPr>
          <w:rFonts w:eastAsia="等线" w:ascii="Arial" w:cs="Arial" w:hAnsi="Arial"/>
          <w:sz w:val="22"/>
        </w:rPr>
        <w:t>：资产涉及的各类权利（所有权、用益物权、担保物权等）必须清晰映射至《NAC原生资产主权规则法典》中定义的主权类型（如A0, C2, D0等）。</w:t>
      </w:r>
    </w:p>
    <w:p>
      <w:pPr>
        <w:numPr>
          <w:numId w:val="8"/>
        </w:numPr>
        <w:spacing w:before="120" w:after="120" w:line="288" w:lineRule="auto"/>
        <w:ind w:left="0"/>
        <w:jc w:val="left"/>
      </w:pPr>
      <w:r>
        <w:rPr>
          <w:rFonts w:eastAsia="等线" w:ascii="Arial" w:cs="Arial" w:hAnsi="Arial"/>
          <w:b w:val="true"/>
          <w:sz w:val="22"/>
        </w:rPr>
        <w:t>线上线下协同原则</w:t>
      </w:r>
      <w:r>
        <w:rPr>
          <w:rFonts w:eastAsia="等线" w:ascii="Arial" w:cs="Arial" w:hAnsi="Arial"/>
          <w:sz w:val="22"/>
        </w:rPr>
        <w:t>：链上智能合约的执行必须与线下法律文件、托管操作和监管要求形成强制且可验证的联动。</w:t>
      </w:r>
    </w:p>
    <w:p>
      <w:pPr>
        <w:pBdr>
          <w:bottom w:val="single" w:color="dee0e3"/>
          <w:between w:val="single" w:color="dee0e3"/>
        </w:pBdr>
        <w:spacing w:before="120" w:after="120" w:line="288" w:lineRule="auto"/>
        <w:ind w:left="0"/>
      </w:pPr>
    </w:p>
    <w:p>
      <w:pPr>
        <w:pStyle w:val="2"/>
        <w:spacing w:before="320" w:after="120" w:line="288" w:lineRule="auto"/>
        <w:ind w:left="0"/>
        <w:jc w:val="left"/>
        <w:outlineLvl w:val="1"/>
      </w:pPr>
      <w:bookmarkStart w:name="heading_5" w:id="5"/>
      <w:r>
        <w:rPr>
          <w:rFonts w:eastAsia="等线" w:ascii="Arial" w:cs="Arial" w:hAnsi="Arial"/>
          <w:b w:val="true"/>
          <w:sz w:val="32"/>
        </w:rPr>
        <w:t>第二章：参与方职责定义</w:t>
      </w:r>
      <w:bookmarkEnd w:id="5"/>
    </w:p>
    <w:p>
      <w:pPr>
        <w:pStyle w:val="3"/>
        <w:spacing w:before="300" w:after="120" w:line="288" w:lineRule="auto"/>
        <w:ind w:left="0"/>
        <w:jc w:val="left"/>
        <w:outlineLvl w:val="2"/>
      </w:pPr>
      <w:bookmarkStart w:name="heading_6" w:id="6"/>
      <w:r>
        <w:rPr>
          <w:rFonts w:eastAsia="等线" w:ascii="Arial" w:cs="Arial" w:hAnsi="Arial"/>
          <w:b w:val="true"/>
          <w:sz w:val="30"/>
        </w:rPr>
        <w:t>第4条 资产发起方</w:t>
      </w:r>
      <w:bookmarkEnd w:id="6"/>
    </w:p>
    <w:p>
      <w:pPr>
        <w:numPr>
          <w:numId w:val="9"/>
        </w:numPr>
        <w:spacing w:before="120" w:after="120" w:line="288" w:lineRule="auto"/>
        <w:ind w:left="0"/>
        <w:jc w:val="left"/>
      </w:pPr>
      <w:r>
        <w:rPr>
          <w:rFonts w:eastAsia="等线" w:ascii="Arial" w:cs="Arial" w:hAnsi="Arial"/>
          <w:sz w:val="22"/>
        </w:rPr>
        <w:t>负责提供真实、完整、合法的资产证明文件。</w:t>
      </w:r>
    </w:p>
    <w:p>
      <w:pPr>
        <w:numPr>
          <w:numId w:val="10"/>
        </w:numPr>
        <w:spacing w:before="120" w:after="120" w:line="288" w:lineRule="auto"/>
        <w:ind w:left="0"/>
        <w:jc w:val="left"/>
      </w:pPr>
      <w:r>
        <w:rPr>
          <w:rFonts w:eastAsia="等线" w:ascii="Arial" w:cs="Arial" w:hAnsi="Arial"/>
          <w:sz w:val="22"/>
        </w:rPr>
        <w:t>委托专业机构进行资产评估。</w:t>
      </w:r>
    </w:p>
    <w:p>
      <w:pPr>
        <w:numPr>
          <w:numId w:val="11"/>
        </w:numPr>
        <w:spacing w:before="120" w:after="120" w:line="288" w:lineRule="auto"/>
        <w:ind w:left="0"/>
        <w:jc w:val="left"/>
      </w:pPr>
      <w:r>
        <w:rPr>
          <w:rFonts w:eastAsia="等线" w:ascii="Arial" w:cs="Arial" w:hAnsi="Arial"/>
          <w:sz w:val="22"/>
        </w:rPr>
        <w:t>承担生成GNACS编码所需的基础信息填报责任。</w:t>
      </w:r>
    </w:p>
    <w:p>
      <w:pPr>
        <w:numPr>
          <w:numId w:val="12"/>
        </w:numPr>
        <w:spacing w:before="120" w:after="120" w:line="288" w:lineRule="auto"/>
        <w:ind w:left="0"/>
        <w:jc w:val="left"/>
      </w:pPr>
      <w:r>
        <w:rPr>
          <w:rFonts w:eastAsia="等线" w:ascii="Arial" w:cs="Arial" w:hAnsi="Arial"/>
          <w:sz w:val="22"/>
        </w:rPr>
        <w:t>依法履行信息披露义务。</w:t>
      </w:r>
    </w:p>
    <w:p>
      <w:pPr>
        <w:pStyle w:val="3"/>
        <w:spacing w:before="300" w:after="120" w:line="288" w:lineRule="auto"/>
        <w:ind w:left="0"/>
        <w:jc w:val="left"/>
        <w:outlineLvl w:val="2"/>
      </w:pPr>
      <w:bookmarkStart w:name="heading_7" w:id="7"/>
      <w:r>
        <w:rPr>
          <w:rFonts w:eastAsia="等线" w:ascii="Arial" w:cs="Arial" w:hAnsi="Arial"/>
          <w:b w:val="true"/>
          <w:sz w:val="30"/>
        </w:rPr>
        <w:t>第5条 法律合规方（律师事务所）</w:t>
      </w:r>
      <w:bookmarkEnd w:id="7"/>
    </w:p>
    <w:p>
      <w:pPr>
        <w:numPr>
          <w:numId w:val="13"/>
        </w:numPr>
        <w:spacing w:before="120" w:after="120" w:line="288" w:lineRule="auto"/>
        <w:ind w:left="0"/>
        <w:jc w:val="left"/>
      </w:pPr>
      <w:r>
        <w:rPr>
          <w:rFonts w:eastAsia="等线" w:ascii="Arial" w:cs="Arial" w:hAnsi="Arial"/>
          <w:sz w:val="22"/>
        </w:rPr>
        <w:t>对资产权属的合法性、清晰性及上链方案的合规性出具法律意见书。</w:t>
      </w:r>
    </w:p>
    <w:p>
      <w:pPr>
        <w:numPr>
          <w:numId w:val="14"/>
        </w:numPr>
        <w:spacing w:before="120" w:after="120" w:line="288" w:lineRule="auto"/>
        <w:ind w:left="0"/>
        <w:jc w:val="left"/>
      </w:pPr>
      <w:r>
        <w:rPr>
          <w:rFonts w:eastAsia="等线" w:ascii="Arial" w:cs="Arial" w:hAnsi="Arial"/>
          <w:sz w:val="22"/>
        </w:rPr>
        <w:t>协助起草和审定与智能合约条款相匹配的法律文件（如《资产服务协议》、《代币发行说明书》）。</w:t>
      </w:r>
    </w:p>
    <w:p>
      <w:pPr>
        <w:numPr>
          <w:numId w:val="15"/>
        </w:numPr>
        <w:spacing w:before="120" w:after="120" w:line="288" w:lineRule="auto"/>
        <w:ind w:left="0"/>
        <w:jc w:val="left"/>
      </w:pPr>
      <w:r>
        <w:rPr>
          <w:rFonts w:eastAsia="等线" w:ascii="Arial" w:cs="Arial" w:hAnsi="Arial"/>
          <w:sz w:val="22"/>
        </w:rPr>
        <w:t>审核GNACS编码中“主权法律”、“监管合规”等字段的准确性。</w:t>
      </w:r>
    </w:p>
    <w:p>
      <w:pPr>
        <w:pStyle w:val="3"/>
        <w:spacing w:before="300" w:after="120" w:line="288" w:lineRule="auto"/>
        <w:ind w:left="0"/>
        <w:jc w:val="left"/>
        <w:outlineLvl w:val="2"/>
      </w:pPr>
      <w:bookmarkStart w:name="heading_8" w:id="8"/>
      <w:r>
        <w:rPr>
          <w:rFonts w:eastAsia="等线" w:ascii="Arial" w:cs="Arial" w:hAnsi="Arial"/>
          <w:b w:val="true"/>
          <w:sz w:val="30"/>
        </w:rPr>
        <w:t>第6条 技术实施方（开发者/服务商）</w:t>
      </w:r>
      <w:bookmarkEnd w:id="8"/>
    </w:p>
    <w:p>
      <w:pPr>
        <w:numPr>
          <w:numId w:val="16"/>
        </w:numPr>
        <w:spacing w:before="120" w:after="120" w:line="288" w:lineRule="auto"/>
        <w:ind w:left="0"/>
        <w:jc w:val="left"/>
      </w:pPr>
      <w:r>
        <w:rPr>
          <w:rFonts w:eastAsia="等线" w:ascii="Arial" w:cs="Arial" w:hAnsi="Arial"/>
          <w:sz w:val="22"/>
        </w:rPr>
        <w:t>依据本指引和经审定的法律文件，配置并部署标准化的智能合约。</w:t>
      </w:r>
    </w:p>
    <w:p>
      <w:pPr>
        <w:numPr>
          <w:numId w:val="17"/>
        </w:numPr>
        <w:spacing w:before="120" w:after="120" w:line="288" w:lineRule="auto"/>
        <w:ind w:left="0"/>
        <w:jc w:val="left"/>
      </w:pPr>
      <w:r>
        <w:rPr>
          <w:rFonts w:eastAsia="等线" w:ascii="Arial" w:cs="Arial" w:hAnsi="Arial"/>
          <w:sz w:val="22"/>
        </w:rPr>
        <w:t>确保合约正确集成GNACS注册库和相应的主权规则库。</w:t>
      </w:r>
    </w:p>
    <w:p>
      <w:pPr>
        <w:numPr>
          <w:numId w:val="18"/>
        </w:numPr>
        <w:spacing w:before="120" w:after="120" w:line="288" w:lineRule="auto"/>
        <w:ind w:left="0"/>
        <w:jc w:val="left"/>
      </w:pPr>
      <w:r>
        <w:rPr>
          <w:rFonts w:eastAsia="等线" w:ascii="Arial" w:cs="Arial" w:hAnsi="Arial"/>
          <w:sz w:val="22"/>
        </w:rPr>
        <w:t>提供资产上链后的基础技术运维支持。</w:t>
      </w:r>
    </w:p>
    <w:p>
      <w:pPr>
        <w:pStyle w:val="3"/>
        <w:spacing w:before="300" w:after="120" w:line="288" w:lineRule="auto"/>
        <w:ind w:left="0"/>
        <w:jc w:val="left"/>
        <w:outlineLvl w:val="2"/>
      </w:pPr>
      <w:bookmarkStart w:name="heading_9" w:id="9"/>
      <w:r>
        <w:rPr>
          <w:rFonts w:eastAsia="等线" w:ascii="Arial" w:cs="Arial" w:hAnsi="Arial"/>
          <w:b w:val="true"/>
          <w:sz w:val="30"/>
        </w:rPr>
        <w:t>第7条 资产托管方（持牌机构）</w:t>
      </w:r>
      <w:bookmarkEnd w:id="9"/>
    </w:p>
    <w:p>
      <w:pPr>
        <w:numPr>
          <w:numId w:val="19"/>
        </w:numPr>
        <w:spacing w:before="120" w:after="120" w:line="288" w:lineRule="auto"/>
        <w:ind w:left="0"/>
        <w:jc w:val="left"/>
      </w:pPr>
      <w:r>
        <w:rPr>
          <w:rFonts w:eastAsia="等线" w:ascii="Arial" w:cs="Arial" w:hAnsi="Arial"/>
          <w:sz w:val="22"/>
        </w:rPr>
        <w:t>对线下资产进行实质管理、维护，并负责现金流（如租金）的归集。</w:t>
      </w:r>
    </w:p>
    <w:p>
      <w:pPr>
        <w:numPr>
          <w:numId w:val="20"/>
        </w:numPr>
        <w:spacing w:before="120" w:after="120" w:line="288" w:lineRule="auto"/>
        <w:ind w:left="0"/>
        <w:jc w:val="left"/>
      </w:pPr>
      <w:r>
        <w:rPr>
          <w:rFonts w:eastAsia="等线" w:ascii="Arial" w:cs="Arial" w:hAnsi="Arial"/>
          <w:sz w:val="22"/>
        </w:rPr>
        <w:t>作为链下行为的执行者，根据智能合约的指令或授权持有人的链上投票结果，执行资金划转、资产处置等关键操作。</w:t>
      </w:r>
    </w:p>
    <w:p>
      <w:pPr>
        <w:numPr>
          <w:numId w:val="21"/>
        </w:numPr>
        <w:spacing w:before="120" w:after="120" w:line="288" w:lineRule="auto"/>
        <w:ind w:left="0"/>
        <w:jc w:val="left"/>
      </w:pPr>
      <w:r>
        <w:rPr>
          <w:rFonts w:eastAsia="等线" w:ascii="Arial" w:cs="Arial" w:hAnsi="Arial"/>
          <w:sz w:val="22"/>
        </w:rPr>
        <w:t>其公钥地址必须在相关智能合约中列为“托管方”或“执行代理人”。</w:t>
      </w:r>
    </w:p>
    <w:p>
      <w:pPr>
        <w:pStyle w:val="3"/>
        <w:spacing w:before="300" w:after="120" w:line="288" w:lineRule="auto"/>
        <w:ind w:left="0"/>
        <w:jc w:val="left"/>
        <w:outlineLvl w:val="2"/>
      </w:pPr>
      <w:bookmarkStart w:name="heading_10" w:id="10"/>
      <w:r>
        <w:rPr>
          <w:rFonts w:eastAsia="等线" w:ascii="Arial" w:cs="Arial" w:hAnsi="Arial"/>
          <w:b w:val="true"/>
          <w:sz w:val="30"/>
        </w:rPr>
        <w:t>第8条 区块链网络（NAC公链）</w:t>
      </w:r>
      <w:bookmarkEnd w:id="10"/>
    </w:p>
    <w:p>
      <w:pPr>
        <w:numPr>
          <w:numId w:val="22"/>
        </w:numPr>
        <w:spacing w:before="120" w:after="120" w:line="288" w:lineRule="auto"/>
        <w:ind w:left="0"/>
        <w:jc w:val="left"/>
      </w:pPr>
      <w:r>
        <w:rPr>
          <w:rFonts w:eastAsia="等线" w:ascii="Arial" w:cs="Arial" w:hAnsi="Arial"/>
          <w:sz w:val="22"/>
        </w:rPr>
        <w:t>提供安全、稳定的底层基础设施。</w:t>
      </w:r>
    </w:p>
    <w:p>
      <w:pPr>
        <w:numPr>
          <w:numId w:val="23"/>
        </w:numPr>
        <w:spacing w:before="120" w:after="120" w:line="288" w:lineRule="auto"/>
        <w:ind w:left="0"/>
        <w:jc w:val="left"/>
      </w:pPr>
      <w:r>
        <w:rPr>
          <w:rFonts w:eastAsia="等线" w:ascii="Arial" w:cs="Arial" w:hAnsi="Arial"/>
          <w:sz w:val="22"/>
        </w:rPr>
        <w:t>通过GNACS注册合约维护资产分类标准。</w:t>
      </w:r>
    </w:p>
    <w:p>
      <w:pPr>
        <w:numPr>
          <w:numId w:val="24"/>
        </w:numPr>
        <w:spacing w:before="120" w:after="120" w:line="288" w:lineRule="auto"/>
        <w:ind w:left="0"/>
        <w:jc w:val="left"/>
      </w:pPr>
      <w:r>
        <w:rPr>
          <w:rFonts w:eastAsia="等线" w:ascii="Arial" w:cs="Arial" w:hAnsi="Arial"/>
          <w:sz w:val="22"/>
        </w:rPr>
        <w:t>通过主权规则库提供标准化的权利逻辑组件。</w:t>
      </w:r>
    </w:p>
    <w:p>
      <w:pPr>
        <w:numPr>
          <w:numId w:val="25"/>
        </w:numPr>
        <w:spacing w:before="120" w:after="120" w:line="288" w:lineRule="auto"/>
        <w:ind w:left="0"/>
        <w:jc w:val="left"/>
      </w:pPr>
      <w:r>
        <w:rPr>
          <w:rFonts w:eastAsia="等线" w:ascii="Arial" w:cs="Arial" w:hAnsi="Arial"/>
          <w:sz w:val="22"/>
        </w:rPr>
        <w:t>记录所有不可篡改的链上交易与状态变更。</w:t>
      </w:r>
    </w:p>
    <w:p>
      <w:pPr>
        <w:pBdr>
          <w:bottom w:val="single" w:color="dee0e3"/>
          <w:between w:val="single" w:color="dee0e3"/>
        </w:pBdr>
        <w:spacing w:before="120" w:after="120" w:line="288" w:lineRule="auto"/>
        <w:ind w:left="0"/>
      </w:pPr>
    </w:p>
    <w:p>
      <w:pPr>
        <w:pStyle w:val="2"/>
        <w:spacing w:before="320" w:after="120" w:line="288" w:lineRule="auto"/>
        <w:ind w:left="0"/>
        <w:jc w:val="left"/>
        <w:outlineLvl w:val="1"/>
      </w:pPr>
      <w:bookmarkStart w:name="heading_11" w:id="11"/>
      <w:r>
        <w:rPr>
          <w:rFonts w:eastAsia="等线" w:ascii="Arial" w:cs="Arial" w:hAnsi="Arial"/>
          <w:b w:val="true"/>
          <w:sz w:val="32"/>
        </w:rPr>
        <w:t>第三章：标准化操作流程</w:t>
      </w:r>
      <w:bookmarkEnd w:id="11"/>
    </w:p>
    <w:p>
      <w:pPr>
        <w:pStyle w:val="3"/>
        <w:spacing w:before="300" w:after="120" w:line="288" w:lineRule="auto"/>
        <w:ind w:left="0"/>
        <w:jc w:val="left"/>
        <w:outlineLvl w:val="2"/>
      </w:pPr>
      <w:bookmarkStart w:name="heading_12" w:id="12"/>
      <w:r>
        <w:rPr>
          <w:rFonts w:eastAsia="等线" w:ascii="Arial" w:cs="Arial" w:hAnsi="Arial"/>
          <w:b w:val="true"/>
          <w:sz w:val="30"/>
        </w:rPr>
        <w:t>第9条 全流程概览</w:t>
      </w:r>
      <w:bookmarkEnd w:id="12"/>
    </w:p>
    <w:p>
      <w:pPr>
        <w:spacing w:before="120" w:after="120" w:line="288" w:lineRule="auto"/>
        <w:ind w:left="0"/>
        <w:jc w:val="left"/>
      </w:pPr>
      <w:r>
        <w:rPr>
          <w:rFonts w:eastAsia="等线" w:ascii="Arial" w:cs="Arial" w:hAnsi="Arial"/>
          <w:sz w:val="22"/>
        </w:rPr>
        <w:t>以下流程图清晰展示了不动产上链从准备到持续管理的六个核心阶段及其关键产出：</w:t>
      </w:r>
    </w:p>
    <w:p>
      <w:pPr>
        <w:spacing w:before="120" w:after="120" w:line="288" w:lineRule="auto"/>
        <w:ind w:left="0"/>
        <w:jc w:val="left"/>
      </w:pPr>
      <w:r>
        <w:rPr>
          <w:rFonts w:eastAsia="等线" w:ascii="Arial" w:cs="Arial" w:hAnsi="Arial"/>
          <w:b w:val="true"/>
          <w:sz w:val="22"/>
          <w:shd w:fill="dee0e3"/>
        </w:rPr>
        <w:t>[流程图暂不支持下载]</w:t>
      </w:r>
    </w:p>
    <w:p>
      <w:pPr>
        <w:pStyle w:val="3"/>
        <w:spacing w:before="300" w:after="120" w:line="288" w:lineRule="auto"/>
        <w:ind w:left="0"/>
        <w:jc w:val="left"/>
        <w:outlineLvl w:val="2"/>
      </w:pPr>
      <w:bookmarkStart w:name="heading_13" w:id="13"/>
      <w:r>
        <w:rPr>
          <w:rFonts w:eastAsia="等线" w:ascii="Arial" w:cs="Arial" w:hAnsi="Arial"/>
          <w:b w:val="true"/>
          <w:sz w:val="30"/>
        </w:rPr>
        <w:t>第10条 第一阶段：准备与尽调</w:t>
      </w:r>
      <w:bookmarkEnd w:id="13"/>
    </w:p>
    <w:p>
      <w:pPr>
        <w:numPr>
          <w:numId w:val="26"/>
        </w:numPr>
        <w:spacing w:before="120" w:after="120" w:line="288" w:lineRule="auto"/>
        <w:ind w:left="0"/>
        <w:jc w:val="left"/>
      </w:pPr>
      <w:r>
        <w:rPr>
          <w:rFonts w:eastAsia="等线" w:ascii="Arial" w:cs="Arial" w:hAnsi="Arial"/>
          <w:b w:val="true"/>
          <w:sz w:val="22"/>
        </w:rPr>
        <w:t>法律尽调</w:t>
      </w:r>
      <w:r>
        <w:rPr>
          <w:rFonts w:eastAsia="等线" w:ascii="Arial" w:cs="Arial" w:hAnsi="Arial"/>
          <w:sz w:val="22"/>
        </w:rPr>
        <w:t>：由法律合规方完成，确保资产权属清晰、无隐性负担、可合法进行权益拆分与转让。形成《法律尽调报告》。</w:t>
      </w:r>
    </w:p>
    <w:p>
      <w:pPr>
        <w:numPr>
          <w:numId w:val="27"/>
        </w:numPr>
        <w:spacing w:before="120" w:after="120" w:line="288" w:lineRule="auto"/>
        <w:ind w:left="0"/>
        <w:jc w:val="left"/>
      </w:pPr>
      <w:r>
        <w:rPr>
          <w:rFonts w:eastAsia="等线" w:ascii="Arial" w:cs="Arial" w:hAnsi="Arial"/>
          <w:b w:val="true"/>
          <w:sz w:val="22"/>
        </w:rPr>
        <w:t>财务评估</w:t>
      </w:r>
      <w:r>
        <w:rPr>
          <w:rFonts w:eastAsia="等线" w:ascii="Arial" w:cs="Arial" w:hAnsi="Arial"/>
          <w:sz w:val="22"/>
        </w:rPr>
        <w:t>：委托有资质的评估机构出具《资产评估报告》，确定上链资产的基准价值。</w:t>
      </w:r>
    </w:p>
    <w:p>
      <w:pPr>
        <w:numPr>
          <w:numId w:val="28"/>
        </w:numPr>
        <w:spacing w:before="120" w:after="120" w:line="288" w:lineRule="auto"/>
        <w:ind w:left="0"/>
        <w:jc w:val="left"/>
      </w:pPr>
      <w:r>
        <w:rPr>
          <w:rFonts w:eastAsia="等线" w:ascii="Arial" w:cs="Arial" w:hAnsi="Arial"/>
          <w:b w:val="true"/>
          <w:sz w:val="22"/>
        </w:rPr>
        <w:t>技术评估</w:t>
      </w:r>
      <w:r>
        <w:rPr>
          <w:rFonts w:eastAsia="等线" w:ascii="Arial" w:cs="Arial" w:hAnsi="Arial"/>
          <w:sz w:val="22"/>
        </w:rPr>
        <w:t>：技术实施方评估资产现金流模式、托管安排等，确认其可被智能合约模型化。</w:t>
      </w:r>
    </w:p>
    <w:p>
      <w:pPr>
        <w:pStyle w:val="3"/>
        <w:spacing w:before="300" w:after="120" w:line="288" w:lineRule="auto"/>
        <w:ind w:left="0"/>
        <w:jc w:val="left"/>
        <w:outlineLvl w:val="2"/>
      </w:pPr>
      <w:bookmarkStart w:name="heading_14" w:id="14"/>
      <w:r>
        <w:rPr>
          <w:rFonts w:eastAsia="等线" w:ascii="Arial" w:cs="Arial" w:hAnsi="Arial"/>
          <w:b w:val="true"/>
          <w:sz w:val="30"/>
        </w:rPr>
        <w:t>第11条 第二阶段：GNACS编码生成与主权映射</w:t>
      </w:r>
      <w:bookmarkEnd w:id="14"/>
    </w:p>
    <w:p>
      <w:pPr>
        <w:numPr>
          <w:numId w:val="29"/>
        </w:numPr>
        <w:spacing w:before="120" w:after="120" w:line="288" w:lineRule="auto"/>
        <w:ind w:left="0"/>
        <w:jc w:val="left"/>
      </w:pPr>
      <w:r>
        <w:rPr>
          <w:rFonts w:eastAsia="等线" w:ascii="Arial" w:cs="Arial" w:hAnsi="Arial"/>
          <w:b w:val="true"/>
          <w:sz w:val="22"/>
        </w:rPr>
        <w:t>信息填报</w:t>
      </w:r>
      <w:r>
        <w:rPr>
          <w:rFonts w:eastAsia="等线" w:ascii="Arial" w:cs="Arial" w:hAnsi="Arial"/>
          <w:sz w:val="22"/>
        </w:rPr>
        <w:t>：资产发起方在“GNACS配置工具”中，根据《资产评估报告》和《法律尽调报告》，逐项填写资产属性。</w:t>
      </w:r>
    </w:p>
    <w:p>
      <w:pPr>
        <w:numPr>
          <w:numId w:val="30"/>
        </w:numPr>
        <w:spacing w:before="120" w:after="120" w:line="288" w:lineRule="auto"/>
        <w:ind w:left="0"/>
        <w:jc w:val="left"/>
      </w:pPr>
      <w:r>
        <w:rPr>
          <w:rFonts w:eastAsia="等线" w:ascii="Arial" w:cs="Arial" w:hAnsi="Arial"/>
          <w:b w:val="true"/>
          <w:sz w:val="22"/>
        </w:rPr>
        <w:t>编码生成</w:t>
      </w:r>
      <w:r>
        <w:rPr>
          <w:rFonts w:eastAsia="等线" w:ascii="Arial" w:cs="Arial" w:hAnsi="Arial"/>
          <w:sz w:val="22"/>
        </w:rPr>
        <w:t>：系统自动生成30位GNACS编码。关键字段必须由法律合规方确认：</w:t>
        <w:br/>
        <w:t xml:space="preserve">        </w:t>
      </w:r>
    </w:p>
    <w:p>
      <w:pPr>
        <w:numPr>
          <w:numId w:val="31"/>
        </w:numPr>
        <w:spacing w:before="120" w:after="120" w:line="288" w:lineRule="auto"/>
        <w:ind w:left="453"/>
        <w:jc w:val="left"/>
      </w:pPr>
      <w:r>
        <w:rPr>
          <w:rFonts w:eastAsia="等线" w:ascii="Arial" w:cs="Arial" w:hAnsi="Arial"/>
          <w:b w:val="true"/>
          <w:sz w:val="22"/>
        </w:rPr>
        <w:t>第9-10位（会计属性）</w:t>
      </w:r>
      <w:r>
        <w:rPr>
          <w:rFonts w:eastAsia="等线" w:ascii="Arial" w:cs="Arial" w:hAnsi="Arial"/>
          <w:sz w:val="22"/>
        </w:rPr>
        <w:t>：根据资产法律形式确定（如“01金融资产”）。</w:t>
      </w:r>
    </w:p>
    <w:p>
      <w:pPr>
        <w:numPr>
          <w:numId w:val="32"/>
        </w:numPr>
        <w:spacing w:before="120" w:after="120" w:line="288" w:lineRule="auto"/>
        <w:ind w:left="453"/>
        <w:jc w:val="left"/>
      </w:pPr>
      <w:r>
        <w:rPr>
          <w:rFonts w:eastAsia="等线" w:ascii="Arial" w:cs="Arial" w:hAnsi="Arial"/>
          <w:b w:val="true"/>
          <w:sz w:val="22"/>
        </w:rPr>
        <w:t>第11-12位（监管合规）</w:t>
      </w:r>
      <w:r>
        <w:rPr>
          <w:rFonts w:eastAsia="等线" w:ascii="Arial" w:cs="Arial" w:hAnsi="Arial"/>
          <w:sz w:val="22"/>
        </w:rPr>
        <w:t>：根据项目所在地和投资者范围确定。</w:t>
      </w:r>
    </w:p>
    <w:p>
      <w:pPr>
        <w:numPr>
          <w:numId w:val="33"/>
        </w:numPr>
        <w:spacing w:before="120" w:after="120" w:line="288" w:lineRule="auto"/>
        <w:ind w:left="453"/>
        <w:jc w:val="left"/>
      </w:pPr>
      <w:r>
        <w:rPr>
          <w:rFonts w:eastAsia="等线" w:ascii="Arial" w:cs="Arial" w:hAnsi="Arial"/>
          <w:b w:val="true"/>
          <w:sz w:val="22"/>
        </w:rPr>
        <w:t>第17-18位（主权法律）</w:t>
      </w:r>
      <w:r>
        <w:rPr>
          <w:rFonts w:eastAsia="等线" w:ascii="Arial" w:cs="Arial" w:hAnsi="Arial"/>
          <w:sz w:val="22"/>
        </w:rPr>
        <w:t>：明确适用的司法管辖区。</w:t>
      </w:r>
    </w:p>
    <w:p>
      <w:pPr>
        <w:numPr>
          <w:numId w:val="34"/>
        </w:numPr>
        <w:spacing w:before="120" w:after="120" w:line="288" w:lineRule="auto"/>
        <w:ind w:left="453"/>
        <w:jc w:val="left"/>
      </w:pPr>
      <w:r>
        <w:rPr>
          <w:rFonts w:eastAsia="等线" w:ascii="Arial" w:cs="Arial" w:hAnsi="Arial"/>
          <w:b w:val="true"/>
          <w:sz w:val="22"/>
        </w:rPr>
        <w:t>第21-22位（时间属性）</w:t>
      </w:r>
      <w:r>
        <w:rPr>
          <w:rFonts w:eastAsia="等线" w:ascii="Arial" w:cs="Arial" w:hAnsi="Arial"/>
          <w:sz w:val="22"/>
        </w:rPr>
        <w:t>：与收益权期限匹配。</w:t>
      </w:r>
    </w:p>
    <w:p>
      <w:pPr>
        <w:numPr>
          <w:numId w:val="35"/>
        </w:numPr>
        <w:spacing w:before="120" w:after="120" w:line="288" w:lineRule="auto"/>
        <w:ind w:left="0"/>
        <w:jc w:val="left"/>
      </w:pPr>
      <w:r>
        <w:rPr>
          <w:rFonts w:eastAsia="等线" w:ascii="Arial" w:cs="Arial" w:hAnsi="Arial"/>
          <w:b w:val="true"/>
          <w:sz w:val="22"/>
        </w:rPr>
        <w:t>主权规则映射</w:t>
      </w:r>
      <w:r>
        <w:rPr>
          <w:rFonts w:eastAsia="等线" w:ascii="Arial" w:cs="Arial" w:hAnsi="Arial"/>
          <w:sz w:val="22"/>
        </w:rPr>
        <w:t>：明确该资产上链后所涉及的权利对应《主权规则法典》中的类型，例如：</w:t>
        <w:br/>
        <w:t xml:space="preserve">        </w:t>
      </w:r>
    </w:p>
    <w:p>
      <w:pPr>
        <w:numPr>
          <w:numId w:val="36"/>
        </w:numPr>
        <w:spacing w:before="120" w:after="120" w:line="288" w:lineRule="auto"/>
        <w:ind w:left="453"/>
        <w:jc w:val="left"/>
      </w:pPr>
      <w:r>
        <w:rPr>
          <w:rFonts w:eastAsia="等线" w:ascii="Arial" w:cs="Arial" w:hAnsi="Arial"/>
          <w:sz w:val="22"/>
        </w:rPr>
        <w:t>基础资产所有权：`A0` (绝对所有权) 或 `C2` (按份共有)</w:t>
      </w:r>
    </w:p>
    <w:p>
      <w:pPr>
        <w:numPr>
          <w:numId w:val="37"/>
        </w:numPr>
        <w:spacing w:before="120" w:after="120" w:line="288" w:lineRule="auto"/>
        <w:ind w:left="453"/>
        <w:jc w:val="left"/>
      </w:pPr>
      <w:r>
        <w:rPr>
          <w:rFonts w:eastAsia="等线" w:ascii="Arial" w:cs="Arial" w:hAnsi="Arial"/>
          <w:sz w:val="22"/>
        </w:rPr>
        <w:t>收益权：`B1` (收益权主权)</w:t>
      </w:r>
    </w:p>
    <w:p>
      <w:pPr>
        <w:numPr>
          <w:numId w:val="38"/>
        </w:numPr>
        <w:spacing w:before="120" w:after="120" w:line="288" w:lineRule="auto"/>
        <w:ind w:left="453"/>
        <w:jc w:val="left"/>
      </w:pPr>
      <w:r>
        <w:rPr>
          <w:rFonts w:eastAsia="等线" w:ascii="Arial" w:cs="Arial" w:hAnsi="Arial"/>
          <w:sz w:val="22"/>
        </w:rPr>
        <w:t>担保权：`D0` (担保主权)</w:t>
      </w:r>
    </w:p>
    <w:p>
      <w:pPr>
        <w:numPr>
          <w:numId w:val="39"/>
        </w:numPr>
        <w:spacing w:before="120" w:after="120" w:line="288" w:lineRule="auto"/>
        <w:ind w:left="453"/>
        <w:jc w:val="left"/>
      </w:pPr>
      <w:r>
        <w:rPr>
          <w:rFonts w:eastAsia="等线" w:ascii="Arial" w:cs="Arial" w:hAnsi="Arial"/>
          <w:sz w:val="22"/>
        </w:rPr>
        <w:t>管理权：`B3` (管理权主权)</w:t>
      </w:r>
    </w:p>
    <w:p>
      <w:pPr>
        <w:pStyle w:val="3"/>
        <w:spacing w:before="300" w:after="120" w:line="288" w:lineRule="auto"/>
        <w:ind w:left="0"/>
        <w:jc w:val="left"/>
        <w:outlineLvl w:val="2"/>
      </w:pPr>
      <w:bookmarkStart w:name="heading_15" w:id="15"/>
      <w:r>
        <w:rPr>
          <w:rFonts w:eastAsia="等线" w:ascii="Arial" w:cs="Arial" w:hAnsi="Arial"/>
          <w:b w:val="true"/>
          <w:sz w:val="30"/>
        </w:rPr>
        <w:t>第12条 第三阶段：智能合约部署</w:t>
      </w:r>
      <w:bookmarkEnd w:id="15"/>
    </w:p>
    <w:p>
      <w:pPr>
        <w:numPr>
          <w:numId w:val="40"/>
        </w:numPr>
        <w:spacing w:before="120" w:after="120" w:line="288" w:lineRule="auto"/>
        <w:ind w:left="0"/>
        <w:jc w:val="left"/>
      </w:pPr>
      <w:r>
        <w:rPr>
          <w:rFonts w:eastAsia="等线" w:ascii="Arial" w:cs="Arial" w:hAnsi="Arial"/>
          <w:b w:val="true"/>
          <w:sz w:val="22"/>
        </w:rPr>
        <w:t>模板选择</w:t>
      </w:r>
      <w:r>
        <w:rPr>
          <w:rFonts w:eastAsia="等线" w:ascii="Arial" w:cs="Arial" w:hAnsi="Arial"/>
          <w:sz w:val="22"/>
        </w:rPr>
        <w:t>：技术实施方选择对应的标准合约模板（如 `RWARealEstateShareV1.sol`）。</w:t>
      </w:r>
    </w:p>
    <w:p>
      <w:pPr>
        <w:numPr>
          <w:numId w:val="41"/>
        </w:numPr>
        <w:spacing w:before="120" w:after="120" w:line="288" w:lineRule="auto"/>
        <w:ind w:left="0"/>
        <w:jc w:val="left"/>
      </w:pPr>
      <w:r>
        <w:rPr>
          <w:rFonts w:eastAsia="等线" w:ascii="Arial" w:cs="Arial" w:hAnsi="Arial"/>
          <w:b w:val="true"/>
          <w:sz w:val="22"/>
        </w:rPr>
        <w:t>参数配置</w:t>
      </w:r>
      <w:r>
        <w:rPr>
          <w:rFonts w:eastAsia="等线" w:ascii="Arial" w:cs="Arial" w:hAnsi="Arial"/>
          <w:sz w:val="22"/>
        </w:rPr>
        <w:t>：在模板中注入GNACS编码、资产详情（哈希值）、估值、份额总量、托管方地址等参数。</w:t>
      </w:r>
    </w:p>
    <w:p>
      <w:pPr>
        <w:numPr>
          <w:numId w:val="42"/>
        </w:numPr>
        <w:spacing w:before="120" w:after="120" w:line="288" w:lineRule="auto"/>
        <w:ind w:left="0"/>
        <w:jc w:val="left"/>
      </w:pPr>
      <w:r>
        <w:rPr>
          <w:rFonts w:eastAsia="等线" w:ascii="Arial" w:cs="Arial" w:hAnsi="Arial"/>
          <w:b w:val="true"/>
          <w:sz w:val="22"/>
        </w:rPr>
        <w:t>合约部署与注册</w:t>
      </w:r>
      <w:r>
        <w:rPr>
          <w:rFonts w:eastAsia="等线" w:ascii="Arial" w:cs="Arial" w:hAnsi="Arial"/>
          <w:sz w:val="22"/>
        </w:rPr>
        <w:t>：</w:t>
        <w:br/>
        <w:t xml:space="preserve">        </w:t>
      </w:r>
    </w:p>
    <w:p>
      <w:pPr>
        <w:numPr>
          <w:numId w:val="43"/>
        </w:numPr>
        <w:spacing w:before="120" w:after="120" w:line="288" w:lineRule="auto"/>
        <w:ind w:left="453"/>
        <w:jc w:val="left"/>
      </w:pPr>
      <w:r>
        <w:rPr>
          <w:rFonts w:eastAsia="等线" w:ascii="Arial" w:cs="Arial" w:hAnsi="Arial"/>
          <w:sz w:val="22"/>
        </w:rPr>
        <w:t>将配置好的合约部署至NAC公链。</w:t>
      </w:r>
    </w:p>
    <w:p>
      <w:pPr>
        <w:numPr>
          <w:numId w:val="44"/>
        </w:numPr>
        <w:spacing w:before="120" w:after="120" w:line="288" w:lineRule="auto"/>
        <w:ind w:left="453"/>
        <w:jc w:val="left"/>
      </w:pPr>
      <w:r>
        <w:rPr>
          <w:rFonts w:eastAsia="等线" w:ascii="Arial" w:cs="Arial" w:hAnsi="Arial"/>
          <w:sz w:val="22"/>
        </w:rPr>
        <w:t xml:space="preserve">调用 `GNACSRegistry` 合约的 `registerAsset` 函数，提交GNACS编码与合约地址，生成全局唯一的 </w:t>
      </w:r>
      <w:r>
        <w:rPr>
          <w:rFonts w:eastAsia="等线" w:ascii="Arial" w:cs="Arial" w:hAnsi="Arial"/>
          <w:b w:val="true"/>
          <w:sz w:val="22"/>
        </w:rPr>
        <w:t>48位资产实例ID</w:t>
      </w:r>
      <w:r>
        <w:rPr>
          <w:rFonts w:eastAsia="等线" w:ascii="Arial" w:cs="Arial" w:hAnsi="Arial"/>
          <w:sz w:val="22"/>
        </w:rPr>
        <w:t>。</w:t>
      </w:r>
    </w:p>
    <w:p>
      <w:pPr>
        <w:numPr>
          <w:numId w:val="45"/>
        </w:numPr>
        <w:spacing w:before="120" w:after="120" w:line="288" w:lineRule="auto"/>
        <w:ind w:left="453"/>
        <w:jc w:val="left"/>
      </w:pPr>
      <w:r>
        <w:rPr>
          <w:rFonts w:eastAsia="等线" w:ascii="Arial" w:cs="Arial" w:hAnsi="Arial"/>
          <w:sz w:val="22"/>
        </w:rPr>
        <w:t>该资产实例ID将被永久记录在链上注册表中。</w:t>
      </w:r>
    </w:p>
    <w:p>
      <w:pPr>
        <w:pStyle w:val="3"/>
        <w:spacing w:before="300" w:after="120" w:line="288" w:lineRule="auto"/>
        <w:ind w:left="0"/>
        <w:jc w:val="left"/>
        <w:outlineLvl w:val="2"/>
      </w:pPr>
      <w:bookmarkStart w:name="heading_16" w:id="16"/>
      <w:r>
        <w:rPr>
          <w:rFonts w:eastAsia="等线" w:ascii="Arial" w:cs="Arial" w:hAnsi="Arial"/>
          <w:b w:val="true"/>
          <w:sz w:val="30"/>
        </w:rPr>
        <w:t>第13条 第四阶段：资产代币化发行</w:t>
      </w:r>
      <w:bookmarkEnd w:id="16"/>
    </w:p>
    <w:p>
      <w:pPr>
        <w:numPr>
          <w:numId w:val="46"/>
        </w:numPr>
        <w:spacing w:before="120" w:after="120" w:line="288" w:lineRule="auto"/>
        <w:ind w:left="0"/>
        <w:jc w:val="left"/>
      </w:pPr>
      <w:r>
        <w:rPr>
          <w:rFonts w:eastAsia="等线" w:ascii="Arial" w:cs="Arial" w:hAnsi="Arial"/>
          <w:b w:val="true"/>
          <w:sz w:val="22"/>
        </w:rPr>
        <w:t>投资者合规检查</w:t>
      </w:r>
      <w:r>
        <w:rPr>
          <w:rFonts w:eastAsia="等线" w:ascii="Arial" w:cs="Arial" w:hAnsi="Arial"/>
          <w:sz w:val="22"/>
        </w:rPr>
        <w:t>：所有认购地址必须通过链上KYC/AML验证合约的筛查。</w:t>
      </w:r>
    </w:p>
    <w:p>
      <w:pPr>
        <w:numPr>
          <w:numId w:val="47"/>
        </w:numPr>
        <w:spacing w:before="120" w:after="120" w:line="288" w:lineRule="auto"/>
        <w:ind w:left="0"/>
        <w:jc w:val="left"/>
      </w:pPr>
      <w:r>
        <w:rPr>
          <w:rFonts w:eastAsia="等线" w:ascii="Arial" w:cs="Arial" w:hAnsi="Arial"/>
          <w:b w:val="true"/>
          <w:sz w:val="22"/>
        </w:rPr>
        <w:t>代币发行</w:t>
      </w:r>
      <w:r>
        <w:rPr>
          <w:rFonts w:eastAsia="等线" w:ascii="Arial" w:cs="Arial" w:hAnsi="Arial"/>
          <w:sz w:val="22"/>
        </w:rPr>
        <w:t>：资产发起方（或经授权的发行代理）调用智能合约的发行函数，向通过验证的地址发行代表权益的代币。</w:t>
      </w:r>
    </w:p>
    <w:p>
      <w:pPr>
        <w:numPr>
          <w:numId w:val="48"/>
        </w:numPr>
        <w:spacing w:before="120" w:after="120" w:line="288" w:lineRule="auto"/>
        <w:ind w:left="0"/>
        <w:jc w:val="left"/>
      </w:pPr>
      <w:r>
        <w:rPr>
          <w:rFonts w:eastAsia="等线" w:ascii="Arial" w:cs="Arial" w:hAnsi="Arial"/>
          <w:b w:val="true"/>
          <w:sz w:val="22"/>
        </w:rPr>
        <w:t>法律文件签署</w:t>
      </w:r>
      <w:r>
        <w:rPr>
          <w:rFonts w:eastAsia="等线" w:ascii="Arial" w:cs="Arial" w:hAnsi="Arial"/>
          <w:sz w:val="22"/>
        </w:rPr>
        <w:t>：投资者需线下签署与智能合约条款一致的认购协议。协议中应明确引用链上资产实例ID及合约地址。</w:t>
      </w:r>
    </w:p>
    <w:p>
      <w:pPr>
        <w:pStyle w:val="3"/>
        <w:spacing w:before="300" w:after="120" w:line="288" w:lineRule="auto"/>
        <w:ind w:left="0"/>
        <w:jc w:val="left"/>
        <w:outlineLvl w:val="2"/>
      </w:pPr>
      <w:bookmarkStart w:name="heading_17" w:id="17"/>
      <w:r>
        <w:rPr>
          <w:rFonts w:eastAsia="等线" w:ascii="Arial" w:cs="Arial" w:hAnsi="Arial"/>
          <w:b w:val="true"/>
          <w:sz w:val="30"/>
        </w:rPr>
        <w:t>第14条 第五阶段：现金流管理与分配</w:t>
      </w:r>
      <w:bookmarkEnd w:id="17"/>
    </w:p>
    <w:p>
      <w:pPr>
        <w:numPr>
          <w:numId w:val="49"/>
        </w:numPr>
        <w:spacing w:before="120" w:after="120" w:line="288" w:lineRule="auto"/>
        <w:ind w:left="0"/>
        <w:jc w:val="left"/>
      </w:pPr>
      <w:r>
        <w:rPr>
          <w:rFonts w:eastAsia="等线" w:ascii="Arial" w:cs="Arial" w:hAnsi="Arial"/>
          <w:b w:val="true"/>
          <w:sz w:val="22"/>
        </w:rPr>
        <w:t>现金流归集</w:t>
      </w:r>
      <w:r>
        <w:rPr>
          <w:rFonts w:eastAsia="等线" w:ascii="Arial" w:cs="Arial" w:hAnsi="Arial"/>
          <w:sz w:val="22"/>
        </w:rPr>
        <w:t>：资产托管方按约定将租金等现金流打入智能合约指定的收款地址或专门监管账户。</w:t>
      </w:r>
    </w:p>
    <w:p>
      <w:pPr>
        <w:numPr>
          <w:numId w:val="50"/>
        </w:numPr>
        <w:spacing w:before="120" w:after="120" w:line="288" w:lineRule="auto"/>
        <w:ind w:left="0"/>
        <w:jc w:val="left"/>
      </w:pPr>
      <w:r>
        <w:rPr>
          <w:rFonts w:eastAsia="等线" w:ascii="Arial" w:cs="Arial" w:hAnsi="Arial"/>
          <w:b w:val="true"/>
          <w:sz w:val="22"/>
        </w:rPr>
        <w:t>触发分配</w:t>
      </w:r>
      <w:r>
        <w:rPr>
          <w:rFonts w:eastAsia="等线" w:ascii="Arial" w:cs="Arial" w:hAnsi="Arial"/>
          <w:sz w:val="22"/>
        </w:rPr>
        <w:t>：托管方调用智能合约的 `distributeIncome` 函数，或合约在满足条件时自动执行，按照持有人份额比例进行分配。</w:t>
      </w:r>
    </w:p>
    <w:p>
      <w:pPr>
        <w:numPr>
          <w:numId w:val="51"/>
        </w:numPr>
        <w:spacing w:before="120" w:after="120" w:line="288" w:lineRule="auto"/>
        <w:ind w:left="0"/>
        <w:jc w:val="left"/>
      </w:pPr>
      <w:r>
        <w:rPr>
          <w:rFonts w:eastAsia="等线" w:ascii="Arial" w:cs="Arial" w:hAnsi="Arial"/>
          <w:b w:val="true"/>
          <w:sz w:val="22"/>
        </w:rPr>
        <w:t>链上记录</w:t>
      </w:r>
      <w:r>
        <w:rPr>
          <w:rFonts w:eastAsia="等线" w:ascii="Arial" w:cs="Arial" w:hAnsi="Arial"/>
          <w:sz w:val="22"/>
        </w:rPr>
        <w:t>：每一笔分配作为一次链上交易，公开可查，自动生成可审计的收益分配记录。</w:t>
      </w:r>
    </w:p>
    <w:p>
      <w:pPr>
        <w:pStyle w:val="3"/>
        <w:spacing w:before="300" w:after="120" w:line="288" w:lineRule="auto"/>
        <w:ind w:left="0"/>
        <w:jc w:val="left"/>
        <w:outlineLvl w:val="2"/>
      </w:pPr>
      <w:bookmarkStart w:name="heading_18" w:id="18"/>
      <w:r>
        <w:rPr>
          <w:rFonts w:eastAsia="等线" w:ascii="Arial" w:cs="Arial" w:hAnsi="Arial"/>
          <w:b w:val="true"/>
          <w:sz w:val="30"/>
        </w:rPr>
        <w:t>第15条 第六阶段：持续治理与信息披露</w:t>
      </w:r>
      <w:bookmarkEnd w:id="18"/>
    </w:p>
    <w:p>
      <w:pPr>
        <w:numPr>
          <w:numId w:val="52"/>
        </w:numPr>
        <w:spacing w:before="120" w:after="120" w:line="288" w:lineRule="auto"/>
        <w:ind w:left="0"/>
        <w:jc w:val="left"/>
      </w:pPr>
      <w:r>
        <w:rPr>
          <w:rFonts w:eastAsia="等线" w:ascii="Arial" w:cs="Arial" w:hAnsi="Arial"/>
          <w:b w:val="true"/>
          <w:sz w:val="22"/>
        </w:rPr>
        <w:t>链上治理</w:t>
      </w:r>
      <w:r>
        <w:rPr>
          <w:rFonts w:eastAsia="等线" w:ascii="Arial" w:cs="Arial" w:hAnsi="Arial"/>
          <w:sz w:val="22"/>
        </w:rPr>
        <w:t>：对于资产重大决策（如更换托管方、资产重大维修、提前终止），通过智能合约内置的投票模块，由代币持有人进行链上投票。</w:t>
      </w:r>
    </w:p>
    <w:p>
      <w:pPr>
        <w:numPr>
          <w:numId w:val="53"/>
        </w:numPr>
        <w:spacing w:before="120" w:after="120" w:line="288" w:lineRule="auto"/>
        <w:ind w:left="0"/>
        <w:jc w:val="left"/>
      </w:pPr>
      <w:r>
        <w:rPr>
          <w:rFonts w:eastAsia="等线" w:ascii="Arial" w:cs="Arial" w:hAnsi="Arial"/>
          <w:b w:val="true"/>
          <w:sz w:val="22"/>
        </w:rPr>
        <w:t>信息披露</w:t>
      </w:r>
      <w:r>
        <w:rPr>
          <w:rFonts w:eastAsia="等线" w:ascii="Arial" w:cs="Arial" w:hAnsi="Arial"/>
          <w:sz w:val="22"/>
        </w:rPr>
        <w:t>：资产发起方或托管方应定期（如每季度）将经审计的财务报告、运营报告哈希值更新至智能合约元数据或指定的去中心化存储（如IPFS），并确保持有人可查。</w:t>
      </w:r>
    </w:p>
    <w:p>
      <w:pPr>
        <w:pBdr>
          <w:bottom w:val="single" w:color="dee0e3"/>
          <w:between w:val="single" w:color="dee0e3"/>
        </w:pBdr>
        <w:spacing w:before="120" w:after="120" w:line="288" w:lineRule="auto"/>
        <w:ind w:left="0"/>
      </w:pPr>
    </w:p>
    <w:p>
      <w:pPr>
        <w:pStyle w:val="2"/>
        <w:spacing w:before="320" w:after="120" w:line="288" w:lineRule="auto"/>
        <w:ind w:left="0"/>
        <w:jc w:val="left"/>
        <w:outlineLvl w:val="1"/>
      </w:pPr>
      <w:bookmarkStart w:name="heading_19" w:id="19"/>
      <w:r>
        <w:rPr>
          <w:rFonts w:eastAsia="等线" w:ascii="Arial" w:cs="Arial" w:hAnsi="Arial"/>
          <w:b w:val="true"/>
          <w:sz w:val="32"/>
        </w:rPr>
        <w:t>第四章：关键风险提示</w:t>
      </w:r>
      <w:bookmarkEnd w:id="19"/>
    </w:p>
    <w:p>
      <w:pPr>
        <w:pStyle w:val="3"/>
        <w:spacing w:before="300" w:after="120" w:line="288" w:lineRule="auto"/>
        <w:ind w:left="0"/>
        <w:jc w:val="left"/>
        <w:outlineLvl w:val="2"/>
      </w:pPr>
      <w:bookmarkStart w:name="heading_20" w:id="20"/>
      <w:r>
        <w:rPr>
          <w:rFonts w:eastAsia="等线" w:ascii="Arial" w:cs="Arial" w:hAnsi="Arial"/>
          <w:b w:val="true"/>
          <w:sz w:val="30"/>
        </w:rPr>
        <w:t>第16条 法律与监管风险</w:t>
      </w:r>
      <w:bookmarkEnd w:id="20"/>
    </w:p>
    <w:p>
      <w:pPr>
        <w:spacing w:before="120" w:after="120" w:line="288" w:lineRule="auto"/>
        <w:ind w:left="0"/>
        <w:jc w:val="left"/>
      </w:pPr>
      <w:r>
        <w:rPr>
          <w:rFonts w:eastAsia="等线" w:ascii="Arial" w:cs="Arial" w:hAnsi="Arial"/>
          <w:sz w:val="22"/>
        </w:rPr>
        <w:t>上链不改变资产在现行法律下的属性。若链上操作与当地法律法规冲突，可能导致相关行为无效甚至面临处罚。必须由当地专业律师全程参与。</w:t>
      </w:r>
    </w:p>
    <w:p>
      <w:pPr>
        <w:pStyle w:val="3"/>
        <w:spacing w:before="300" w:after="120" w:line="288" w:lineRule="auto"/>
        <w:ind w:left="0"/>
        <w:jc w:val="left"/>
        <w:outlineLvl w:val="2"/>
      </w:pPr>
      <w:bookmarkStart w:name="heading_21" w:id="21"/>
      <w:r>
        <w:rPr>
          <w:rFonts w:eastAsia="等线" w:ascii="Arial" w:cs="Arial" w:hAnsi="Arial"/>
          <w:b w:val="true"/>
          <w:sz w:val="30"/>
        </w:rPr>
        <w:t>第17条 技术风险</w:t>
      </w:r>
      <w:bookmarkEnd w:id="21"/>
    </w:p>
    <w:p>
      <w:pPr>
        <w:spacing w:before="120" w:after="120" w:line="288" w:lineRule="auto"/>
        <w:ind w:left="0"/>
        <w:jc w:val="left"/>
      </w:pPr>
      <w:r>
        <w:rPr>
          <w:rFonts w:eastAsia="等线" w:ascii="Arial" w:cs="Arial" w:hAnsi="Arial"/>
          <w:sz w:val="22"/>
        </w:rPr>
        <w:t>智能合约存在漏洞风险、私钥丢失风险、底层区块链网络风险等。必须采用经过严格审计的标准合约，并做好私钥安全管理。</w:t>
      </w:r>
    </w:p>
    <w:p>
      <w:pPr>
        <w:pStyle w:val="3"/>
        <w:spacing w:before="300" w:after="120" w:line="288" w:lineRule="auto"/>
        <w:ind w:left="0"/>
        <w:jc w:val="left"/>
        <w:outlineLvl w:val="2"/>
      </w:pPr>
      <w:bookmarkStart w:name="heading_22" w:id="22"/>
      <w:r>
        <w:rPr>
          <w:rFonts w:eastAsia="等线" w:ascii="Arial" w:cs="Arial" w:hAnsi="Arial"/>
          <w:b w:val="true"/>
          <w:sz w:val="30"/>
        </w:rPr>
        <w:t>第18条 运营风险</w:t>
      </w:r>
      <w:bookmarkEnd w:id="22"/>
    </w:p>
    <w:p>
      <w:pPr>
        <w:spacing w:before="120" w:after="120" w:line="288" w:lineRule="auto"/>
        <w:ind w:left="0"/>
        <w:jc w:val="left"/>
      </w:pPr>
      <w:r>
        <w:rPr>
          <w:rFonts w:eastAsia="等线" w:ascii="Arial" w:cs="Arial" w:hAnsi="Arial"/>
          <w:sz w:val="22"/>
        </w:rPr>
        <w:t>现金流不及预期、托管方失职、线下资产发生损毁等，均会影响链上权益的实现。应通过线下保险、担保合约及严格的托管协议进行风险缓释。</w:t>
      </w:r>
    </w:p>
    <w:p>
      <w:pPr>
        <w:pBdr>
          <w:bottom w:val="single" w:color="dee0e3"/>
          <w:between w:val="single" w:color="dee0e3"/>
        </w:pBdr>
        <w:spacing w:before="120" w:after="120" w:line="288" w:lineRule="auto"/>
        <w:ind w:left="0"/>
      </w:pPr>
    </w:p>
    <w:p>
      <w:pPr>
        <w:pStyle w:val="2"/>
        <w:spacing w:before="320" w:after="120" w:line="288" w:lineRule="auto"/>
        <w:ind w:left="0"/>
        <w:jc w:val="left"/>
        <w:outlineLvl w:val="1"/>
      </w:pPr>
      <w:bookmarkStart w:name="heading_23" w:id="23"/>
      <w:r>
        <w:rPr>
          <w:rFonts w:eastAsia="等线" w:ascii="Arial" w:cs="Arial" w:hAnsi="Arial"/>
          <w:b w:val="true"/>
          <w:sz w:val="32"/>
        </w:rPr>
        <w:t>附录</w:t>
      </w:r>
      <w:bookmarkEnd w:id="23"/>
    </w:p>
    <w:p>
      <w:pPr>
        <w:numPr>
          <w:numId w:val="54"/>
        </w:numPr>
        <w:spacing w:before="120" w:after="120" w:line="288" w:lineRule="auto"/>
        <w:ind w:left="0"/>
        <w:jc w:val="left"/>
      </w:pPr>
      <w:r>
        <w:rPr>
          <w:rFonts w:eastAsia="等线" w:ascii="Arial" w:cs="Arial" w:hAnsi="Arial"/>
          <w:b w:val="true"/>
          <w:sz w:val="22"/>
        </w:rPr>
        <w:t>附录A：不动产RWA GNACS编码字段填写详解</w:t>
      </w:r>
    </w:p>
    <w:p>
      <w:pPr>
        <w:numPr>
          <w:numId w:val="55"/>
        </w:numPr>
        <w:spacing w:before="120" w:after="120" w:line="288" w:lineRule="auto"/>
        <w:ind w:left="0"/>
        <w:jc w:val="left"/>
      </w:pPr>
      <w:r>
        <w:rPr>
          <w:rFonts w:eastAsia="等线" w:ascii="Arial" w:cs="Arial" w:hAnsi="Arial"/>
          <w:b w:val="true"/>
          <w:sz w:val="22"/>
        </w:rPr>
        <w:t>附录B：标准智能合约模板（RWARealEstateShareV1.sol）接口说明</w:t>
      </w:r>
    </w:p>
    <w:p>
      <w:pPr>
        <w:numPr>
          <w:numId w:val="56"/>
        </w:numPr>
        <w:spacing w:before="120" w:after="120" w:line="288" w:lineRule="auto"/>
        <w:ind w:left="0"/>
        <w:jc w:val="left"/>
      </w:pPr>
      <w:r>
        <w:rPr>
          <w:rFonts w:eastAsia="等线" w:ascii="Arial" w:cs="Arial" w:hAnsi="Arial"/>
          <w:b w:val="true"/>
          <w:sz w:val="22"/>
        </w:rPr>
        <w:t>附录C：法律文件（《代币发行说明书》）核心条款指引</w:t>
      </w:r>
    </w:p>
    <w:p>
      <w:pPr>
        <w:numPr>
          <w:numId w:val="57"/>
        </w:numPr>
        <w:spacing w:before="120" w:after="120" w:line="288" w:lineRule="auto"/>
        <w:ind w:left="0"/>
        <w:jc w:val="left"/>
      </w:pPr>
      <w:r>
        <w:rPr>
          <w:rFonts w:eastAsia="等线" w:ascii="Arial" w:cs="Arial" w:hAnsi="Arial"/>
          <w:b w:val="true"/>
          <w:sz w:val="22"/>
        </w:rPr>
        <w:t>附录D：上链全流程检查清单（Checklist）</w:t>
      </w:r>
    </w:p>
    <w:p>
      <w:pPr>
        <w:pBdr>
          <w:bottom w:val="single" w:color="dee0e3"/>
          <w:between w:val="single" w:color="dee0e3"/>
        </w:pBdr>
        <w:spacing w:before="120" w:after="120" w:line="288" w:lineRule="auto"/>
        <w:ind w:left="0"/>
      </w:pPr>
    </w:p>
    <w:p>
      <w:pPr>
        <w:spacing w:before="120" w:after="120" w:line="288" w:lineRule="auto"/>
        <w:ind w:left="0"/>
        <w:jc w:val="left"/>
      </w:pPr>
      <w:r>
        <w:rPr>
          <w:rFonts w:eastAsia="等线" w:ascii="Arial" w:cs="Arial" w:hAnsi="Arial"/>
          <w:b w:val="true"/>
          <w:sz w:val="22"/>
        </w:rPr>
        <w:t>指引制定方</w:t>
      </w:r>
      <w:r>
        <w:rPr>
          <w:rFonts w:eastAsia="等线" w:ascii="Arial" w:cs="Arial" w:hAnsi="Arial"/>
          <w:sz w:val="22"/>
        </w:rPr>
        <w:t>：NAC生态发展委员会</w:t>
      </w:r>
    </w:p>
    <w:p>
      <w:pPr>
        <w:spacing w:before="120" w:after="120" w:line="288" w:lineRule="auto"/>
        <w:ind w:left="0"/>
        <w:jc w:val="left"/>
      </w:pPr>
      <w:r>
        <w:rPr>
          <w:rFonts w:eastAsia="等线" w:ascii="Arial" w:cs="Arial" w:hAnsi="Arial"/>
          <w:b w:val="true"/>
          <w:sz w:val="22"/>
        </w:rPr>
        <w:t>版本日期</w:t>
      </w:r>
      <w:r>
        <w:rPr>
          <w:rFonts w:eastAsia="等线" w:ascii="Arial" w:cs="Arial" w:hAnsi="Arial"/>
          <w:sz w:val="22"/>
        </w:rPr>
        <w:t>：2026年2月2日</w:t>
      </w:r>
    </w:p>
    <w:p>
      <w:pPr>
        <w:spacing w:before="120" w:after="120" w:line="288" w:lineRule="auto"/>
        <w:ind w:left="0"/>
        <w:jc w:val="left"/>
      </w:pPr>
      <w:r>
        <w:rPr>
          <w:rFonts w:eastAsia="等线" w:ascii="Arial" w:cs="Arial" w:hAnsi="Arial"/>
          <w:b w:val="true"/>
          <w:sz w:val="22"/>
        </w:rPr>
        <w:t>备注</w:t>
      </w:r>
      <w:r>
        <w:rPr>
          <w:rFonts w:eastAsia="等线" w:ascii="Arial" w:cs="Arial" w:hAnsi="Arial"/>
          <w:sz w:val="22"/>
        </w:rPr>
        <w:t>：本指引将随技术、法律及监管环境的变化而持续更新，请参与者务必使用最新版本。</w:t>
      </w:r>
    </w:p>
    <w:p>
      <w:pPr>
        <w:spacing w:before="120" w:after="120" w:line="288" w:lineRule="auto"/>
        <w:ind w:left="0"/>
        <w:jc w:val="left"/>
      </w:pPr>
      <w:r>
        <w:rPr>
          <w:rFonts w:eastAsia="等线" w:ascii="Arial" w:cs="Arial" w:hAnsi="Arial"/>
          <w:sz w:val="22"/>
        </w:rPr>
        <w:t>|（注：文档部分内容可能由 AI 生成)</w:t>
      </w:r>
    </w:p>
    <w:sectPr>
      <w:footerReference w:type="default" r:id="rId3"/>
      <w:headerReference w:type="default" r:id="rId5"/>
      <w:pgSz w:orient="portrait" w:h="16840" w:w="11905"/>
    </w:sectPr>
  </w:body>
</w:document>
</file>

<file path=word/footer1.xml><?xml version="1.0" encoding="utf-8"?>
<w:ftr xmlns:w="http://schemas.openxmlformats.org/wordprocessingml/2006/main">
  <w:p/>
</w:ftr>
</file>

<file path=word/header1.xml><?xml version="1.0" encoding="utf-8"?>
<w:hdr xmlns:w="http://schemas.openxmlformats.org/wordprocessingml/2006/main">
  <w:p/>
</w:hdr>
</file>

<file path=word/numbering.xml><?xml version="1.0" encoding="utf-8"?>
<w:numbering xmlns:w="http://schemas.openxmlformats.org/wordprocessingml/2006/main">
  <w:abstractNum w:abstractNumId="3950282">
    <w:lvl>
      <w:numFmt w:val="bullet"/>
      <w:suff w:val="tab"/>
      <w:lvlText w:val="•"/>
      <w:rPr>
        <w:color w:val="3370ff"/>
      </w:rPr>
    </w:lvl>
  </w:abstractNum>
  <w:abstractNum w:abstractNumId="3950283">
    <w:lvl>
      <w:numFmt w:val="bullet"/>
      <w:suff w:val="tab"/>
      <w:lvlText w:val="•"/>
      <w:rPr>
        <w:color w:val="3370ff"/>
      </w:rPr>
    </w:lvl>
  </w:abstractNum>
  <w:abstractNum w:abstractNumId="3950284">
    <w:lvl>
      <w:numFmt w:val="bullet"/>
      <w:suff w:val="tab"/>
      <w:lvlText w:val="•"/>
      <w:rPr>
        <w:color w:val="3370ff"/>
      </w:rPr>
    </w:lvl>
  </w:abstractNum>
  <w:abstractNum w:abstractNumId="3950285">
    <w:lvl>
      <w:numFmt w:val="bullet"/>
      <w:suff w:val="tab"/>
      <w:lvlText w:val="•"/>
      <w:rPr>
        <w:color w:val="3370ff"/>
      </w:rPr>
    </w:lvl>
  </w:abstractNum>
  <w:abstractNum w:abstractNumId="3950286">
    <w:lvl>
      <w:start w:val="1"/>
      <w:numFmt w:val="decimal"/>
      <w:suff w:val="tab"/>
      <w:lvlText w:val="%1."/>
      <w:rPr>
        <w:color w:val="3370ff"/>
      </w:rPr>
    </w:lvl>
  </w:abstractNum>
  <w:abstractNum w:abstractNumId="3950287">
    <w:lvl>
      <w:start w:val="2"/>
      <w:numFmt w:val="decimal"/>
      <w:suff w:val="tab"/>
      <w:lvlText w:val="%1."/>
      <w:rPr>
        <w:color w:val="3370ff"/>
      </w:rPr>
    </w:lvl>
  </w:abstractNum>
  <w:abstractNum w:abstractNumId="3950288">
    <w:lvl>
      <w:start w:val="3"/>
      <w:numFmt w:val="decimal"/>
      <w:suff w:val="tab"/>
      <w:lvlText w:val="%1."/>
      <w:rPr>
        <w:color w:val="3370ff"/>
      </w:rPr>
    </w:lvl>
  </w:abstractNum>
  <w:abstractNum w:abstractNumId="3950289">
    <w:lvl>
      <w:start w:val="4"/>
      <w:numFmt w:val="decimal"/>
      <w:suff w:val="tab"/>
      <w:lvlText w:val="%1."/>
      <w:rPr>
        <w:color w:val="3370ff"/>
      </w:rPr>
    </w:lvl>
  </w:abstractNum>
  <w:abstractNum w:abstractNumId="3950290">
    <w:lvl>
      <w:numFmt w:val="bullet"/>
      <w:suff w:val="tab"/>
      <w:lvlText w:val="•"/>
      <w:rPr>
        <w:color w:val="3370ff"/>
      </w:rPr>
    </w:lvl>
  </w:abstractNum>
  <w:abstractNum w:abstractNumId="3950291">
    <w:lvl>
      <w:numFmt w:val="bullet"/>
      <w:suff w:val="tab"/>
      <w:lvlText w:val="•"/>
      <w:rPr>
        <w:color w:val="3370ff"/>
      </w:rPr>
    </w:lvl>
  </w:abstractNum>
  <w:abstractNum w:abstractNumId="3950292">
    <w:lvl>
      <w:numFmt w:val="bullet"/>
      <w:suff w:val="tab"/>
      <w:lvlText w:val="•"/>
      <w:rPr>
        <w:color w:val="3370ff"/>
      </w:rPr>
    </w:lvl>
  </w:abstractNum>
  <w:abstractNum w:abstractNumId="3950293">
    <w:lvl>
      <w:numFmt w:val="bullet"/>
      <w:suff w:val="tab"/>
      <w:lvlText w:val="•"/>
      <w:rPr>
        <w:color w:val="3370ff"/>
      </w:rPr>
    </w:lvl>
  </w:abstractNum>
  <w:abstractNum w:abstractNumId="3950294">
    <w:lvl>
      <w:numFmt w:val="bullet"/>
      <w:suff w:val="tab"/>
      <w:lvlText w:val="•"/>
      <w:rPr>
        <w:color w:val="3370ff"/>
      </w:rPr>
    </w:lvl>
  </w:abstractNum>
  <w:abstractNum w:abstractNumId="3950295">
    <w:lvl>
      <w:numFmt w:val="bullet"/>
      <w:suff w:val="tab"/>
      <w:lvlText w:val="•"/>
      <w:rPr>
        <w:color w:val="3370ff"/>
      </w:rPr>
    </w:lvl>
  </w:abstractNum>
  <w:abstractNum w:abstractNumId="3950296">
    <w:lvl>
      <w:numFmt w:val="bullet"/>
      <w:suff w:val="tab"/>
      <w:lvlText w:val="•"/>
      <w:rPr>
        <w:color w:val="3370ff"/>
      </w:rPr>
    </w:lvl>
  </w:abstractNum>
  <w:abstractNum w:abstractNumId="3950297">
    <w:lvl>
      <w:numFmt w:val="bullet"/>
      <w:suff w:val="tab"/>
      <w:lvlText w:val="•"/>
      <w:rPr>
        <w:color w:val="3370ff"/>
      </w:rPr>
    </w:lvl>
  </w:abstractNum>
  <w:abstractNum w:abstractNumId="3950298">
    <w:lvl>
      <w:numFmt w:val="bullet"/>
      <w:suff w:val="tab"/>
      <w:lvlText w:val="•"/>
      <w:rPr>
        <w:color w:val="3370ff"/>
      </w:rPr>
    </w:lvl>
  </w:abstractNum>
  <w:abstractNum w:abstractNumId="3950299">
    <w:lvl>
      <w:numFmt w:val="bullet"/>
      <w:suff w:val="tab"/>
      <w:lvlText w:val="•"/>
      <w:rPr>
        <w:color w:val="3370ff"/>
      </w:rPr>
    </w:lvl>
  </w:abstractNum>
  <w:abstractNum w:abstractNumId="3950300">
    <w:lvl>
      <w:numFmt w:val="bullet"/>
      <w:suff w:val="tab"/>
      <w:lvlText w:val="•"/>
      <w:rPr>
        <w:color w:val="3370ff"/>
      </w:rPr>
    </w:lvl>
  </w:abstractNum>
  <w:abstractNum w:abstractNumId="3950301">
    <w:lvl>
      <w:numFmt w:val="bullet"/>
      <w:suff w:val="tab"/>
      <w:lvlText w:val="•"/>
      <w:rPr>
        <w:color w:val="3370ff"/>
      </w:rPr>
    </w:lvl>
  </w:abstractNum>
  <w:abstractNum w:abstractNumId="3950302">
    <w:lvl>
      <w:numFmt w:val="bullet"/>
      <w:suff w:val="tab"/>
      <w:lvlText w:val="•"/>
      <w:rPr>
        <w:color w:val="3370ff"/>
      </w:rPr>
    </w:lvl>
  </w:abstractNum>
  <w:abstractNum w:abstractNumId="3950303">
    <w:lvl>
      <w:numFmt w:val="bullet"/>
      <w:suff w:val="tab"/>
      <w:lvlText w:val="•"/>
      <w:rPr>
        <w:color w:val="3370ff"/>
      </w:rPr>
    </w:lvl>
  </w:abstractNum>
  <w:abstractNum w:abstractNumId="3950304">
    <w:lvl>
      <w:numFmt w:val="bullet"/>
      <w:suff w:val="tab"/>
      <w:lvlText w:val="•"/>
      <w:rPr>
        <w:color w:val="3370ff"/>
      </w:rPr>
    </w:lvl>
  </w:abstractNum>
  <w:abstractNum w:abstractNumId="3950305">
    <w:lvl>
      <w:numFmt w:val="bullet"/>
      <w:suff w:val="tab"/>
      <w:lvlText w:val="•"/>
      <w:rPr>
        <w:color w:val="3370ff"/>
      </w:rPr>
    </w:lvl>
  </w:abstractNum>
  <w:abstractNum w:abstractNumId="3950306">
    <w:lvl>
      <w:numFmt w:val="bullet"/>
      <w:suff w:val="tab"/>
      <w:lvlText w:val="•"/>
      <w:rPr>
        <w:color w:val="3370ff"/>
      </w:rPr>
    </w:lvl>
  </w:abstractNum>
  <w:abstractNum w:abstractNumId="3950307">
    <w:lvl>
      <w:start w:val="1"/>
      <w:numFmt w:val="decimal"/>
      <w:suff w:val="tab"/>
      <w:lvlText w:val="%1."/>
      <w:rPr>
        <w:color w:val="3370ff"/>
      </w:rPr>
    </w:lvl>
  </w:abstractNum>
  <w:abstractNum w:abstractNumId="3950308">
    <w:lvl>
      <w:start w:val="2"/>
      <w:numFmt w:val="decimal"/>
      <w:suff w:val="tab"/>
      <w:lvlText w:val="%1."/>
      <w:rPr>
        <w:color w:val="3370ff"/>
      </w:rPr>
    </w:lvl>
  </w:abstractNum>
  <w:abstractNum w:abstractNumId="3950309">
    <w:lvl>
      <w:start w:val="3"/>
      <w:numFmt w:val="decimal"/>
      <w:suff w:val="tab"/>
      <w:lvlText w:val="%1."/>
      <w:rPr>
        <w:color w:val="3370ff"/>
      </w:rPr>
    </w:lvl>
  </w:abstractNum>
  <w:abstractNum w:abstractNumId="3950310">
    <w:lvl>
      <w:start w:val="1"/>
      <w:numFmt w:val="decimal"/>
      <w:suff w:val="tab"/>
      <w:lvlText w:val="%1."/>
      <w:rPr>
        <w:color w:val="3370ff"/>
      </w:rPr>
    </w:lvl>
  </w:abstractNum>
  <w:abstractNum w:abstractNumId="3950311">
    <w:lvl>
      <w:start w:val="2"/>
      <w:numFmt w:val="decimal"/>
      <w:suff w:val="tab"/>
      <w:lvlText w:val="%1."/>
      <w:rPr>
        <w:color w:val="3370ff"/>
      </w:rPr>
    </w:lvl>
  </w:abstractNum>
  <w:abstractNum w:abstractNumId="3950312">
    <w:lvl>
      <w:numFmt w:val="bullet"/>
      <w:suff w:val="tab"/>
      <w:lvlText w:val="￮"/>
      <w:rPr>
        <w:color w:val="3370ff"/>
      </w:rPr>
    </w:lvl>
  </w:abstractNum>
  <w:abstractNum w:abstractNumId="3950313">
    <w:lvl>
      <w:numFmt w:val="bullet"/>
      <w:suff w:val="tab"/>
      <w:lvlText w:val="￮"/>
      <w:rPr>
        <w:color w:val="3370ff"/>
      </w:rPr>
    </w:lvl>
  </w:abstractNum>
  <w:abstractNum w:abstractNumId="3950314">
    <w:lvl>
      <w:numFmt w:val="bullet"/>
      <w:suff w:val="tab"/>
      <w:lvlText w:val="￮"/>
      <w:rPr>
        <w:color w:val="3370ff"/>
      </w:rPr>
    </w:lvl>
  </w:abstractNum>
  <w:abstractNum w:abstractNumId="3950315">
    <w:lvl>
      <w:numFmt w:val="bullet"/>
      <w:suff w:val="tab"/>
      <w:lvlText w:val="￮"/>
      <w:rPr>
        <w:color w:val="3370ff"/>
      </w:rPr>
    </w:lvl>
  </w:abstractNum>
  <w:abstractNum w:abstractNumId="3950316">
    <w:lvl>
      <w:start w:val="3"/>
      <w:numFmt w:val="decimal"/>
      <w:suff w:val="tab"/>
      <w:lvlText w:val="%1."/>
      <w:rPr>
        <w:color w:val="3370ff"/>
      </w:rPr>
    </w:lvl>
  </w:abstractNum>
  <w:abstractNum w:abstractNumId="3950317">
    <w:lvl>
      <w:numFmt w:val="bullet"/>
      <w:suff w:val="tab"/>
      <w:lvlText w:val="￮"/>
      <w:rPr>
        <w:color w:val="3370ff"/>
      </w:rPr>
    </w:lvl>
  </w:abstractNum>
  <w:abstractNum w:abstractNumId="3950318">
    <w:lvl>
      <w:numFmt w:val="bullet"/>
      <w:suff w:val="tab"/>
      <w:lvlText w:val="￮"/>
      <w:rPr>
        <w:color w:val="3370ff"/>
      </w:rPr>
    </w:lvl>
  </w:abstractNum>
  <w:abstractNum w:abstractNumId="3950319">
    <w:lvl>
      <w:numFmt w:val="bullet"/>
      <w:suff w:val="tab"/>
      <w:lvlText w:val="￮"/>
      <w:rPr>
        <w:color w:val="3370ff"/>
      </w:rPr>
    </w:lvl>
  </w:abstractNum>
  <w:abstractNum w:abstractNumId="3950320">
    <w:lvl>
      <w:numFmt w:val="bullet"/>
      <w:suff w:val="tab"/>
      <w:lvlText w:val="￮"/>
      <w:rPr>
        <w:color w:val="3370ff"/>
      </w:rPr>
    </w:lvl>
  </w:abstractNum>
  <w:abstractNum w:abstractNumId="3950321">
    <w:lvl>
      <w:start w:val="1"/>
      <w:numFmt w:val="decimal"/>
      <w:suff w:val="tab"/>
      <w:lvlText w:val="%1."/>
      <w:rPr>
        <w:color w:val="3370ff"/>
      </w:rPr>
    </w:lvl>
  </w:abstractNum>
  <w:abstractNum w:abstractNumId="3950322">
    <w:lvl>
      <w:start w:val="2"/>
      <w:numFmt w:val="decimal"/>
      <w:suff w:val="tab"/>
      <w:lvlText w:val="%1."/>
      <w:rPr>
        <w:color w:val="3370ff"/>
      </w:rPr>
    </w:lvl>
  </w:abstractNum>
  <w:abstractNum w:abstractNumId="3950323">
    <w:lvl>
      <w:start w:val="3"/>
      <w:numFmt w:val="decimal"/>
      <w:suff w:val="tab"/>
      <w:lvlText w:val="%1."/>
      <w:rPr>
        <w:color w:val="3370ff"/>
      </w:rPr>
    </w:lvl>
  </w:abstractNum>
  <w:abstractNum w:abstractNumId="3950324">
    <w:lvl>
      <w:numFmt w:val="bullet"/>
      <w:suff w:val="tab"/>
      <w:lvlText w:val="￮"/>
      <w:rPr>
        <w:color w:val="3370ff"/>
      </w:rPr>
    </w:lvl>
  </w:abstractNum>
  <w:abstractNum w:abstractNumId="3950325">
    <w:lvl>
      <w:numFmt w:val="bullet"/>
      <w:suff w:val="tab"/>
      <w:lvlText w:val="￮"/>
      <w:rPr>
        <w:color w:val="3370ff"/>
      </w:rPr>
    </w:lvl>
  </w:abstractNum>
  <w:abstractNum w:abstractNumId="3950326">
    <w:lvl>
      <w:numFmt w:val="bullet"/>
      <w:suff w:val="tab"/>
      <w:lvlText w:val="￮"/>
      <w:rPr>
        <w:color w:val="3370ff"/>
      </w:rPr>
    </w:lvl>
  </w:abstractNum>
  <w:abstractNum w:abstractNumId="3950327">
    <w:lvl>
      <w:start w:val="1"/>
      <w:numFmt w:val="decimal"/>
      <w:suff w:val="tab"/>
      <w:lvlText w:val="%1."/>
      <w:rPr>
        <w:color w:val="3370ff"/>
      </w:rPr>
    </w:lvl>
  </w:abstractNum>
  <w:abstractNum w:abstractNumId="3950328">
    <w:lvl>
      <w:start w:val="2"/>
      <w:numFmt w:val="decimal"/>
      <w:suff w:val="tab"/>
      <w:lvlText w:val="%1."/>
      <w:rPr>
        <w:color w:val="3370ff"/>
      </w:rPr>
    </w:lvl>
  </w:abstractNum>
  <w:abstractNum w:abstractNumId="3950329">
    <w:lvl>
      <w:start w:val="3"/>
      <w:numFmt w:val="decimal"/>
      <w:suff w:val="tab"/>
      <w:lvlText w:val="%1."/>
      <w:rPr>
        <w:color w:val="3370ff"/>
      </w:rPr>
    </w:lvl>
  </w:abstractNum>
  <w:abstractNum w:abstractNumId="3950330">
    <w:lvl>
      <w:start w:val="1"/>
      <w:numFmt w:val="decimal"/>
      <w:suff w:val="tab"/>
      <w:lvlText w:val="%1."/>
      <w:rPr>
        <w:color w:val="3370ff"/>
      </w:rPr>
    </w:lvl>
  </w:abstractNum>
  <w:abstractNum w:abstractNumId="3950331">
    <w:lvl>
      <w:start w:val="2"/>
      <w:numFmt w:val="decimal"/>
      <w:suff w:val="tab"/>
      <w:lvlText w:val="%1."/>
      <w:rPr>
        <w:color w:val="3370ff"/>
      </w:rPr>
    </w:lvl>
  </w:abstractNum>
  <w:abstractNum w:abstractNumId="3950332">
    <w:lvl>
      <w:start w:val="3"/>
      <w:numFmt w:val="decimal"/>
      <w:suff w:val="tab"/>
      <w:lvlText w:val="%1."/>
      <w:rPr>
        <w:color w:val="3370ff"/>
      </w:rPr>
    </w:lvl>
  </w:abstractNum>
  <w:abstractNum w:abstractNumId="3950333">
    <w:lvl>
      <w:start w:val="1"/>
      <w:numFmt w:val="decimal"/>
      <w:suff w:val="tab"/>
      <w:lvlText w:val="%1."/>
      <w:rPr>
        <w:color w:val="3370ff"/>
      </w:rPr>
    </w:lvl>
  </w:abstractNum>
  <w:abstractNum w:abstractNumId="3950334">
    <w:lvl>
      <w:start w:val="2"/>
      <w:numFmt w:val="decimal"/>
      <w:suff w:val="tab"/>
      <w:lvlText w:val="%1."/>
      <w:rPr>
        <w:color w:val="3370ff"/>
      </w:rPr>
    </w:lvl>
  </w:abstractNum>
  <w:abstractNum w:abstractNumId="3950335">
    <w:lvl>
      <w:numFmt w:val="bullet"/>
      <w:suff w:val="tab"/>
      <w:lvlText w:val="•"/>
      <w:rPr>
        <w:color w:val="3370ff"/>
      </w:rPr>
    </w:lvl>
  </w:abstractNum>
  <w:abstractNum w:abstractNumId="3950336">
    <w:lvl>
      <w:numFmt w:val="bullet"/>
      <w:suff w:val="tab"/>
      <w:lvlText w:val="•"/>
      <w:rPr>
        <w:color w:val="3370ff"/>
      </w:rPr>
    </w:lvl>
  </w:abstractNum>
  <w:abstractNum w:abstractNumId="3950337">
    <w:lvl>
      <w:numFmt w:val="bullet"/>
      <w:suff w:val="tab"/>
      <w:lvlText w:val="•"/>
      <w:rPr>
        <w:color w:val="3370ff"/>
      </w:rPr>
    </w:lvl>
  </w:abstractNum>
  <w:abstractNum w:abstractNumId="3950338">
    <w:lvl>
      <w:numFmt w:val="bullet"/>
      <w:suff w:val="tab"/>
      <w:lvlText w:val="•"/>
      <w:rPr>
        <w:color w:val="3370ff"/>
      </w:rPr>
    </w:lvl>
  </w:abstractNum>
  <w:num w:numId="1">
    <w:abstractNumId w:val="3950282"/>
  </w:num>
  <w:num w:numId="2">
    <w:abstractNumId w:val="3950283"/>
  </w:num>
  <w:num w:numId="3">
    <w:abstractNumId w:val="3950284"/>
  </w:num>
  <w:num w:numId="4">
    <w:abstractNumId w:val="3950285"/>
  </w:num>
  <w:num w:numId="5">
    <w:abstractNumId w:val="3950286"/>
  </w:num>
  <w:num w:numId="6">
    <w:abstractNumId w:val="3950287"/>
  </w:num>
  <w:num w:numId="7">
    <w:abstractNumId w:val="3950288"/>
  </w:num>
  <w:num w:numId="8">
    <w:abstractNumId w:val="3950289"/>
  </w:num>
  <w:num w:numId="9">
    <w:abstractNumId w:val="3950290"/>
  </w:num>
  <w:num w:numId="10">
    <w:abstractNumId w:val="3950291"/>
  </w:num>
  <w:num w:numId="11">
    <w:abstractNumId w:val="3950292"/>
  </w:num>
  <w:num w:numId="12">
    <w:abstractNumId w:val="3950293"/>
  </w:num>
  <w:num w:numId="13">
    <w:abstractNumId w:val="3950294"/>
  </w:num>
  <w:num w:numId="14">
    <w:abstractNumId w:val="3950295"/>
  </w:num>
  <w:num w:numId="15">
    <w:abstractNumId w:val="3950296"/>
  </w:num>
  <w:num w:numId="16">
    <w:abstractNumId w:val="3950297"/>
  </w:num>
  <w:num w:numId="17">
    <w:abstractNumId w:val="3950298"/>
  </w:num>
  <w:num w:numId="18">
    <w:abstractNumId w:val="3950299"/>
  </w:num>
  <w:num w:numId="19">
    <w:abstractNumId w:val="3950300"/>
  </w:num>
  <w:num w:numId="20">
    <w:abstractNumId w:val="3950301"/>
  </w:num>
  <w:num w:numId="21">
    <w:abstractNumId w:val="3950302"/>
  </w:num>
  <w:num w:numId="22">
    <w:abstractNumId w:val="3950303"/>
  </w:num>
  <w:num w:numId="23">
    <w:abstractNumId w:val="3950304"/>
  </w:num>
  <w:num w:numId="24">
    <w:abstractNumId w:val="3950305"/>
  </w:num>
  <w:num w:numId="25">
    <w:abstractNumId w:val="3950306"/>
  </w:num>
  <w:num w:numId="26">
    <w:abstractNumId w:val="3950307"/>
  </w:num>
  <w:num w:numId="27">
    <w:abstractNumId w:val="3950308"/>
  </w:num>
  <w:num w:numId="28">
    <w:abstractNumId w:val="3950309"/>
  </w:num>
  <w:num w:numId="29">
    <w:abstractNumId w:val="3950310"/>
  </w:num>
  <w:num w:numId="30">
    <w:abstractNumId w:val="3950311"/>
  </w:num>
  <w:num w:numId="31">
    <w:abstractNumId w:val="3950312"/>
  </w:num>
  <w:num w:numId="32">
    <w:abstractNumId w:val="3950313"/>
  </w:num>
  <w:num w:numId="33">
    <w:abstractNumId w:val="3950314"/>
  </w:num>
  <w:num w:numId="34">
    <w:abstractNumId w:val="3950315"/>
  </w:num>
  <w:num w:numId="35">
    <w:abstractNumId w:val="3950316"/>
  </w:num>
  <w:num w:numId="36">
    <w:abstractNumId w:val="3950317"/>
  </w:num>
  <w:num w:numId="37">
    <w:abstractNumId w:val="3950318"/>
  </w:num>
  <w:num w:numId="38">
    <w:abstractNumId w:val="3950319"/>
  </w:num>
  <w:num w:numId="39">
    <w:abstractNumId w:val="3950320"/>
  </w:num>
  <w:num w:numId="40">
    <w:abstractNumId w:val="3950321"/>
  </w:num>
  <w:num w:numId="41">
    <w:abstractNumId w:val="3950322"/>
  </w:num>
  <w:num w:numId="42">
    <w:abstractNumId w:val="3950323"/>
  </w:num>
  <w:num w:numId="43">
    <w:abstractNumId w:val="3950324"/>
  </w:num>
  <w:num w:numId="44">
    <w:abstractNumId w:val="3950325"/>
  </w:num>
  <w:num w:numId="45">
    <w:abstractNumId w:val="3950326"/>
  </w:num>
  <w:num w:numId="46">
    <w:abstractNumId w:val="3950327"/>
  </w:num>
  <w:num w:numId="47">
    <w:abstractNumId w:val="3950328"/>
  </w:num>
  <w:num w:numId="48">
    <w:abstractNumId w:val="3950329"/>
  </w:num>
  <w:num w:numId="49">
    <w:abstractNumId w:val="3950330"/>
  </w:num>
  <w:num w:numId="50">
    <w:abstractNumId w:val="3950331"/>
  </w:num>
  <w:num w:numId="51">
    <w:abstractNumId w:val="3950332"/>
  </w:num>
  <w:num w:numId="52">
    <w:abstractNumId w:val="3950333"/>
  </w:num>
  <w:num w:numId="53">
    <w:abstractNumId w:val="3950334"/>
  </w:num>
  <w:num w:numId="54">
    <w:abstractNumId w:val="3950335"/>
  </w:num>
  <w:num w:numId="55">
    <w:abstractNumId w:val="3950336"/>
  </w:num>
  <w:num w:numId="56">
    <w:abstractNumId w:val="3950337"/>
  </w:num>
  <w:num w:numId="57">
    <w:abstractNumId w:val="3950338"/>
  </w:num>
</w:numbering>
</file>

<file path=word/settings.xml><?xml version="1.0" encoding="utf-8"?>
<w:settings xmlns:w="http://schemas.openxmlformats.org/wordprocessingml/2006/main"/>
</file>

<file path=word/styles.xml><?xml version="1.0" encoding="utf-8"?>
<w:styles xmlns:w="http://schemas.openxmlformats.org/wordprocessingml/2006/main"/>
</file>

<file path=word/_rels/document.xml.rels><?xml version="1.0" encoding="UTF-8" standalone="yes"?><Relationships xmlns="http://schemas.openxmlformats.org/package/2006/relationships"><Relationship Id="rId1" Target="settings.xml" Type="http://schemas.openxmlformats.org/officeDocument/2006/relationships/settings"/><Relationship Id="rId2" Target="styles.xml" Type="http://schemas.openxmlformats.org/officeDocument/2006/relationships/styles"/><Relationship Id="rId3" Target="footer1.xml" Type="http://schemas.openxmlformats.org/officeDocument/2006/relationships/footer"/><Relationship Id="rId4" Target="numbering.xml" Type="http://schemas.openxmlformats.org/officeDocument/2006/relationships/numbering"/><Relationship Id="rId5" Target="header1.xml" Type="http://schemas.openxmlformats.org/officeDocument/2006/relationships/header"/></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2026-02-02T14:03:33Z</dcterms:created>
  <dc:creator>Apache POI</dc:creator>
</cp:coreProperties>
</file>