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不动产上链指引（NAC原生公链合规版）V1.0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指引说明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本指引基于NAC公链</w:t>
      </w:r>
      <w:r>
        <w:rPr>
          <w:rFonts w:eastAsia="等线" w:ascii="Arial" w:cs="Arial" w:hAnsi="Arial"/>
          <w:b w:val="true"/>
          <w:sz w:val="22"/>
        </w:rPr>
        <w:t>原生技术栈、治理模型与经济机制</w:t>
      </w:r>
      <w:r>
        <w:rPr>
          <w:rFonts w:eastAsia="等线" w:ascii="Arial" w:cs="Arial" w:hAnsi="Arial"/>
          <w:sz w:val="22"/>
        </w:rPr>
        <w:t>，为不动产资产上链提供从链下确权到链上治理的端到端标准。它并非通用方案，而是深度依赖NAC公链的</w:t>
      </w:r>
      <w:r>
        <w:rPr>
          <w:rFonts w:eastAsia="等线" w:ascii="Arial" w:cs="Arial" w:hAnsi="Arial"/>
          <w:b w:val="true"/>
          <w:sz w:val="22"/>
        </w:rPr>
        <w:t>XTZH质押、ACC原生协议、链上GNACS注册与主权规则库</w:t>
      </w:r>
      <w:r>
        <w:rPr>
          <w:rFonts w:eastAsia="等线" w:ascii="Arial" w:cs="Arial" w:hAnsi="Arial"/>
          <w:sz w:val="22"/>
        </w:rPr>
        <w:t>等核心设施。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第一章：NAC原生框架下的上链总则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第1条 上链本质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在NAC公链上进行不动产资产上链，本质上是将资产的法律与经济主权，通过 </w:t>
      </w:r>
      <w:r>
        <w:rPr>
          <w:rFonts w:eastAsia="等线" w:ascii="Arial" w:cs="Arial" w:hAnsi="Arial"/>
          <w:b w:val="true"/>
          <w:sz w:val="22"/>
        </w:rPr>
        <w:t>NAC原生智能合约</w:t>
      </w:r>
      <w:r>
        <w:rPr>
          <w:rFonts w:eastAsia="等线" w:ascii="Arial" w:cs="Arial" w:hAnsi="Arial"/>
          <w:sz w:val="22"/>
        </w:rPr>
        <w:t xml:space="preserve">，转化为一个由 </w:t>
      </w:r>
      <w:r>
        <w:rPr>
          <w:rFonts w:eastAsia="等线" w:ascii="Arial" w:cs="Arial" w:hAnsi="Arial"/>
          <w:b w:val="true"/>
          <w:sz w:val="22"/>
        </w:rPr>
        <w:t>XTZH质押</w:t>
      </w:r>
      <w:r>
        <w:rPr>
          <w:rFonts w:eastAsia="等线" w:ascii="Arial" w:cs="Arial" w:hAnsi="Arial"/>
          <w:sz w:val="22"/>
        </w:rPr>
        <w:t xml:space="preserve"> 作为经济背书、由 </w:t>
      </w:r>
      <w:r>
        <w:rPr>
          <w:rFonts w:eastAsia="等线" w:ascii="Arial" w:cs="Arial" w:hAnsi="Arial"/>
          <w:b w:val="true"/>
          <w:sz w:val="22"/>
        </w:rPr>
        <w:t>链上治理</w:t>
      </w:r>
      <w:r>
        <w:rPr>
          <w:rFonts w:eastAsia="等线" w:ascii="Arial" w:cs="Arial" w:hAnsi="Arial"/>
          <w:sz w:val="22"/>
        </w:rPr>
        <w:t xml:space="preserve"> 作为冲突解决机制、并受</w:t>
      </w:r>
      <w:r>
        <w:rPr>
          <w:rFonts w:eastAsia="等线" w:ascii="Arial" w:cs="Arial" w:hAnsi="Arial"/>
          <w:b w:val="true"/>
          <w:sz w:val="22"/>
        </w:rPr>
        <w:t>主权规则库</w:t>
      </w:r>
      <w:r>
        <w:rPr>
          <w:rFonts w:eastAsia="等线" w:ascii="Arial" w:cs="Arial" w:hAnsi="Arial"/>
          <w:sz w:val="22"/>
        </w:rPr>
        <w:t xml:space="preserve"> 约束的“链上原生数字主权客体”。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第2条 核心支柱</w:t>
      </w:r>
      <w:bookmarkEnd w:id="3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GNACS链上注册中心</w:t>
      </w:r>
      <w:r>
        <w:rPr>
          <w:rFonts w:eastAsia="等线" w:ascii="Arial" w:cs="Arial" w:hAnsi="Arial"/>
          <w:sz w:val="22"/>
        </w:rPr>
        <w:t xml:space="preserve">：GNACS编码的生成、验证与全局查询，由部署在NAC主网的、经过治理投票的官方合约 </w:t>
      </w:r>
      <w:r>
        <w:rPr>
          <w:rFonts w:eastAsia="Consolas" w:ascii="Consolas" w:cs="Consolas" w:hAnsi="Consolas"/>
          <w:sz w:val="22"/>
          <w:shd w:fill="EFF0F1"/>
        </w:rPr>
        <w:t>GNACSRegistry.sol</w:t>
      </w:r>
      <w:r>
        <w:rPr>
          <w:rFonts w:eastAsia="等线" w:ascii="Arial" w:cs="Arial" w:hAnsi="Arial"/>
          <w:sz w:val="22"/>
        </w:rPr>
        <w:t xml:space="preserve"> 提供，编码本身即是一种链上资产标准。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主权规则库作为公链基础设施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SovereigntyA0.sol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SovereigntyC2.sol</w:t>
      </w:r>
      <w:r>
        <w:rPr>
          <w:rFonts w:eastAsia="等线" w:ascii="Arial" w:cs="Arial" w:hAnsi="Arial"/>
          <w:sz w:val="22"/>
        </w:rPr>
        <w:t xml:space="preserve"> 等核心规则库由NAC基金会部署并维护，其升级需通过NAC治理提案。它们是所有RWA合约必须引用的</w:t>
      </w:r>
      <w:r>
        <w:rPr>
          <w:rFonts w:eastAsia="等线" w:ascii="Arial" w:cs="Arial" w:hAnsi="Arial"/>
          <w:b w:val="true"/>
          <w:sz w:val="22"/>
        </w:rPr>
        <w:t>法律逻辑基础设施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ACC协议作为发行层</w:t>
      </w:r>
      <w:r>
        <w:rPr>
          <w:rFonts w:eastAsia="等线" w:ascii="Arial" w:cs="Arial" w:hAnsi="Arial"/>
          <w:sz w:val="22"/>
        </w:rPr>
        <w:t xml:space="preserve">：所有不动产权益的代币化，必须使用NAC原生的 </w:t>
      </w:r>
      <w:r>
        <w:rPr>
          <w:rFonts w:eastAsia="Consolas" w:ascii="Consolas" w:cs="Consolas" w:hAnsi="Consolas"/>
          <w:sz w:val="22"/>
          <w:shd w:fill="EFF0F1"/>
        </w:rPr>
        <w:t>ACC-20</w:t>
      </w:r>
      <w:r>
        <w:rPr>
          <w:rFonts w:eastAsia="等线" w:ascii="Arial" w:cs="Arial" w:hAnsi="Arial"/>
          <w:sz w:val="22"/>
        </w:rPr>
        <w:t xml:space="preserve">（同质化）或 </w:t>
      </w:r>
      <w:r>
        <w:rPr>
          <w:rFonts w:eastAsia="Consolas" w:ascii="Consolas" w:cs="Consolas" w:hAnsi="Consolas"/>
          <w:sz w:val="22"/>
          <w:shd w:fill="EFF0F1"/>
        </w:rPr>
        <w:t>ACC-721</w:t>
      </w:r>
      <w:r>
        <w:rPr>
          <w:rFonts w:eastAsia="等线" w:ascii="Arial" w:cs="Arial" w:hAnsi="Arial"/>
          <w:sz w:val="22"/>
        </w:rPr>
        <w:t>（非同质化）协议标准，确保与NAC钱包、区块浏览器及跨链桥的天然兼容。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XTZH作为合规与安全质押物</w:t>
      </w:r>
      <w:r>
        <w:rPr>
          <w:rFonts w:eastAsia="等线" w:ascii="Arial" w:cs="Arial" w:hAnsi="Arial"/>
          <w:sz w:val="22"/>
        </w:rPr>
        <w:t xml:space="preserve">：资产发行方必须质押与资产风险权重（GNACS第7-8位）相匹配的 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，该质押被锁定在合约中，作为履行义务和吸收风险的第一道资本缓冲。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第3条 参与方在NAC链上的角色映射</w:t>
      </w:r>
      <w:bookmarkEnd w:id="4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资产发起方</w:t>
      </w:r>
      <w:r>
        <w:rPr>
          <w:rFonts w:eastAsia="等线" w:ascii="Arial" w:cs="Arial" w:hAnsi="Arial"/>
          <w:sz w:val="22"/>
        </w:rPr>
        <w:t xml:space="preserve">：必须是 </w:t>
      </w:r>
      <w:r>
        <w:rPr>
          <w:rFonts w:eastAsia="等线" w:ascii="Arial" w:cs="Arial" w:hAnsi="Arial"/>
          <w:b w:val="true"/>
          <w:sz w:val="22"/>
        </w:rPr>
        <w:t>XTZH的质押方</w:t>
      </w:r>
      <w:r>
        <w:rPr>
          <w:rFonts w:eastAsia="等线" w:ascii="Arial" w:cs="Arial" w:hAnsi="Arial"/>
          <w:sz w:val="22"/>
        </w:rPr>
        <w:t xml:space="preserve"> 和链上合约的部署者。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法律合规方</w:t>
      </w:r>
      <w:r>
        <w:rPr>
          <w:rFonts w:eastAsia="等线" w:ascii="Arial" w:cs="Arial" w:hAnsi="Arial"/>
          <w:sz w:val="22"/>
        </w:rPr>
        <w:t>：其法律意见的关键结论（如合规等级、法律辖区）需由该方使用其NAC身份私钥签名，并上链存证，作为生成GNACS编码的</w:t>
      </w:r>
      <w:r>
        <w:rPr>
          <w:rFonts w:eastAsia="等线" w:ascii="Arial" w:cs="Arial" w:hAnsi="Arial"/>
          <w:b w:val="true"/>
          <w:sz w:val="22"/>
        </w:rPr>
        <w:t>权威输入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资产托管方</w:t>
      </w:r>
      <w:r>
        <w:rPr>
          <w:rFonts w:eastAsia="等线" w:ascii="Arial" w:cs="Arial" w:hAnsi="Arial"/>
          <w:sz w:val="22"/>
        </w:rPr>
        <w:t xml:space="preserve">：必须在链上合约中被设置为具备特定函数调用权限（如 </w:t>
      </w:r>
      <w:r>
        <w:rPr>
          <w:rFonts w:eastAsia="Consolas" w:ascii="Consolas" w:cs="Consolas" w:hAnsi="Consolas"/>
          <w:sz w:val="22"/>
          <w:shd w:fill="EFF0F1"/>
        </w:rPr>
        <w:t>distributeIncome</w:t>
      </w:r>
      <w:r>
        <w:rPr>
          <w:rFonts w:eastAsia="等线" w:ascii="Arial" w:cs="Arial" w:hAnsi="Arial"/>
          <w:sz w:val="22"/>
        </w:rPr>
        <w:t xml:space="preserve">）的 </w:t>
      </w:r>
      <w:r>
        <w:rPr>
          <w:rFonts w:eastAsia="Consolas" w:ascii="Consolas" w:cs="Consolas" w:hAnsi="Consolas"/>
          <w:b w:val="true"/>
          <w:sz w:val="22"/>
          <w:shd w:fill="EFF0F1"/>
        </w:rPr>
        <w:t>B3</w:t>
      </w:r>
      <w:r>
        <w:rPr>
          <w:rFonts w:eastAsia="等线" w:ascii="Arial" w:cs="Arial" w:hAnsi="Arial"/>
          <w:b w:val="true"/>
          <w:sz w:val="22"/>
        </w:rPr>
        <w:t>管理权角色地址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NAC验证节点</w:t>
      </w:r>
      <w:r>
        <w:rPr>
          <w:rFonts w:eastAsia="等线" w:ascii="Arial" w:cs="Arial" w:hAnsi="Arial"/>
          <w:sz w:val="22"/>
        </w:rPr>
        <w:t>：为整个流程提供安全结算，并通过参与治理间接影响GNACS标准与主权规则的演进。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第二章：基于NAC原生技术的操作流程</w:t>
      </w:r>
      <w:bookmarkEnd w:id="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第4条 流程总览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第5条 GNACS编码的链上生成（核心）</w:t>
      </w:r>
      <w:bookmarkEnd w:id="7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输入</w:t>
      </w:r>
      <w:r>
        <w:rPr>
          <w:rFonts w:eastAsia="等线" w:ascii="Arial" w:cs="Arial" w:hAnsi="Arial"/>
          <w:sz w:val="22"/>
        </w:rPr>
        <w:t xml:space="preserve">：法律合规方与资产发起方，通过一个由NAC基金会验证的“数据提交DApp”，将结构化尽调数据（JSON格式）提交至 </w:t>
      </w:r>
      <w:r>
        <w:rPr>
          <w:rFonts w:eastAsia="Consolas" w:ascii="Consolas" w:cs="Consolas" w:hAnsi="Consolas"/>
          <w:sz w:val="22"/>
          <w:shd w:fill="EFF0F1"/>
        </w:rPr>
        <w:t>GNACSRegistry</w:t>
      </w:r>
      <w:r>
        <w:rPr>
          <w:rFonts w:eastAsia="等线" w:ascii="Arial" w:cs="Arial" w:hAnsi="Arial"/>
          <w:sz w:val="22"/>
        </w:rPr>
        <w:t xml:space="preserve"> 合约。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生成与锚定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  <w:r>
        <w:rPr>
          <w:rFonts w:eastAsia="Consolas" w:ascii="Consolas" w:cs="Consolas" w:hAnsi="Consolas"/>
          <w:sz w:val="22"/>
          <w:shd w:fill="EFF0F1"/>
        </w:rPr>
        <w:t>// 伪代码逻辑</w:t>
        <w:br/>
        <w:t>bytes30 gnacsCode = GNACSRegistry.calculateCode(legalJurisdiction, assetType, riskProfile...);</w:t>
        <w:br/>
        <w:t>bytes48 instanceId = GNACSRegistry.mintAssetInstance(gnacsCode, issuerAddress);</w:t>
        <w:br/>
        <w:t>// 此时，`instanceId` 已与发行方地址及时间戳永久绑定在NAC链上。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 xml:space="preserve">：获得全局唯一的 </w:t>
      </w:r>
      <w:r>
        <w:rPr>
          <w:rFonts w:eastAsia="等线" w:ascii="Arial" w:cs="Arial" w:hAnsi="Arial"/>
          <w:b w:val="true"/>
          <w:sz w:val="22"/>
        </w:rPr>
        <w:t>资产实例ID（48位）</w:t>
      </w:r>
      <w:r>
        <w:rPr>
          <w:rFonts w:eastAsia="等线" w:ascii="Arial" w:cs="Arial" w:hAnsi="Arial"/>
          <w:sz w:val="22"/>
        </w:rPr>
        <w:t xml:space="preserve"> ，该ID将成为该资产在NAC宇宙中的“主权HASH”。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第6条 智能合约：NAC原生模板的实例化</w:t>
      </w:r>
      <w:bookmarkEnd w:id="8"/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模板来源</w:t>
      </w:r>
      <w:r>
        <w:rPr>
          <w:rFonts w:eastAsia="等线" w:ascii="Arial" w:cs="Arial" w:hAnsi="Arial"/>
          <w:sz w:val="22"/>
        </w:rPr>
        <w:t xml:space="preserve">：必须从NAC官方GitHub仓库获取经审计的 </w:t>
      </w:r>
      <w:r>
        <w:rPr>
          <w:rFonts w:eastAsia="Consolas" w:ascii="Consolas" w:cs="Consolas" w:hAnsi="Consolas"/>
          <w:sz w:val="22"/>
          <w:shd w:fill="EFF0F1"/>
        </w:rPr>
        <w:t>RWARealEstateShareV1.sol</w:t>
      </w:r>
      <w:r>
        <w:rPr>
          <w:rFonts w:eastAsia="等线" w:ascii="Arial" w:cs="Arial" w:hAnsi="Arial"/>
          <w:sz w:val="22"/>
        </w:rPr>
        <w:t xml:space="preserve"> 模板。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关键集成</w:t>
      </w:r>
      <w:r>
        <w:rPr>
          <w:rFonts w:eastAsia="等线" w:ascii="Arial" w:cs="Arial" w:hAnsi="Arial"/>
          <w:sz w:val="22"/>
        </w:rPr>
        <w:t>：模板已预置：</w:t>
        <w:br/>
        <w:t xml:space="preserve">        </w:t>
      </w:r>
    </w:p>
    <w:p>
      <w:pPr>
        <w:numPr>
          <w:numId w:val="1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对 </w:t>
      </w:r>
      <w:r>
        <w:rPr>
          <w:rFonts w:eastAsia="Consolas" w:ascii="Consolas" w:cs="Consolas" w:hAnsi="Consolas"/>
          <w:sz w:val="22"/>
          <w:shd w:fill="EFF0F1"/>
        </w:rPr>
        <w:t>GNACSRegistry</w:t>
      </w:r>
      <w:r>
        <w:rPr>
          <w:rFonts w:eastAsia="等线" w:ascii="Arial" w:cs="Arial" w:hAnsi="Arial"/>
          <w:sz w:val="22"/>
        </w:rPr>
        <w:t xml:space="preserve"> 的引用，以验证编码。</w:t>
      </w:r>
    </w:p>
    <w:p>
      <w:pPr>
        <w:numPr>
          <w:numId w:val="1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对 </w:t>
      </w:r>
      <w:r>
        <w:rPr>
          <w:rFonts w:eastAsia="Consolas" w:ascii="Consolas" w:cs="Consolas" w:hAnsi="Consolas"/>
          <w:sz w:val="22"/>
          <w:shd w:fill="EFF0F1"/>
        </w:rPr>
        <w:t>SovereigntyC2</w:t>
      </w:r>
      <w:r>
        <w:rPr>
          <w:rFonts w:eastAsia="等线" w:ascii="Arial" w:cs="Arial" w:hAnsi="Arial"/>
          <w:sz w:val="22"/>
        </w:rPr>
        <w:t xml:space="preserve"> 等规则库的继承。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对 </w:t>
      </w:r>
      <w:r>
        <w:rPr>
          <w:rFonts w:eastAsia="Consolas" w:ascii="Consolas" w:cs="Consolas" w:hAnsi="Consolas"/>
          <w:sz w:val="22"/>
          <w:shd w:fill="EFF0F1"/>
        </w:rPr>
        <w:t>ACC20</w:t>
      </w:r>
      <w:r>
        <w:rPr>
          <w:rFonts w:eastAsia="等线" w:ascii="Arial" w:cs="Arial" w:hAnsi="Arial"/>
          <w:sz w:val="22"/>
        </w:rPr>
        <w:t xml:space="preserve"> 标准接口的实现。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部署即质押</w:t>
      </w:r>
      <w:r>
        <w:rPr>
          <w:rFonts w:eastAsia="等线" w:ascii="Arial" w:cs="Arial" w:hAnsi="Arial"/>
          <w:sz w:val="22"/>
        </w:rPr>
        <w:t>：部署初始化函数会</w:t>
      </w:r>
      <w:r>
        <w:rPr>
          <w:rFonts w:eastAsia="等线" w:ascii="Arial" w:cs="Arial" w:hAnsi="Arial"/>
          <w:b w:val="true"/>
          <w:sz w:val="22"/>
        </w:rPr>
        <w:t>自动计算并锁定</w:t>
      </w:r>
      <w:r>
        <w:rPr>
          <w:rFonts w:eastAsia="等线" w:ascii="Arial" w:cs="Arial" w:hAnsi="Arial"/>
          <w:sz w:val="22"/>
        </w:rPr>
        <w:t xml:space="preserve">发行方地址中对应的XTZH，锁定量由 </w:t>
      </w:r>
      <w:r>
        <w:rPr>
          <w:rFonts w:eastAsia="Consolas" w:ascii="Consolas" w:cs="Consolas" w:hAnsi="Consolas"/>
          <w:sz w:val="22"/>
          <w:shd w:fill="EFF0F1"/>
        </w:rPr>
        <w:t>gnacsCode</w:t>
      </w:r>
      <w:r>
        <w:rPr>
          <w:rFonts w:eastAsia="等线" w:ascii="Arial" w:cs="Arial" w:hAnsi="Arial"/>
          <w:sz w:val="22"/>
        </w:rPr>
        <w:t xml:space="preserve"> 中的风险权重字段通过链上预言机或固定公式决定。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第7条 发行与流转：深度整合ACC与合规层</w:t>
      </w:r>
      <w:bookmarkEnd w:id="9"/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发行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mint</w:t>
      </w:r>
      <w:r>
        <w:rPr>
          <w:rFonts w:eastAsia="等线" w:ascii="Arial" w:cs="Arial" w:hAnsi="Arial"/>
          <w:sz w:val="22"/>
        </w:rPr>
        <w:t xml:space="preserve"> 函数将调用 </w:t>
      </w:r>
      <w:r>
        <w:rPr>
          <w:rFonts w:eastAsia="Consolas" w:ascii="Consolas" w:cs="Consolas" w:hAnsi="Consolas"/>
          <w:sz w:val="22"/>
          <w:shd w:fill="EFF0F1"/>
        </w:rPr>
        <w:t>NAC合规预言机</w:t>
      </w:r>
      <w:r>
        <w:rPr>
          <w:rFonts w:eastAsia="等线" w:ascii="Arial" w:cs="Arial" w:hAnsi="Arial"/>
          <w:sz w:val="22"/>
        </w:rPr>
        <w:t xml:space="preserve"> 合约，验证接收地址的KYC状态。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转账</w:t>
      </w:r>
      <w:r>
        <w:rPr>
          <w:rFonts w:eastAsia="等线" w:ascii="Arial" w:cs="Arial" w:hAnsi="Arial"/>
          <w:sz w:val="22"/>
        </w:rPr>
        <w:t xml:space="preserve">：所有 </w:t>
      </w:r>
      <w:r>
        <w:rPr>
          <w:rFonts w:eastAsia="Consolas" w:ascii="Consolas" w:cs="Consolas" w:hAnsi="Consolas"/>
          <w:sz w:val="22"/>
          <w:shd w:fill="EFF0F1"/>
        </w:rPr>
        <w:t>transfer</w:t>
      </w:r>
      <w:r>
        <w:rPr>
          <w:rFonts w:eastAsia="等线" w:ascii="Arial" w:cs="Arial" w:hAnsi="Arial"/>
          <w:sz w:val="22"/>
        </w:rPr>
        <w:t xml:space="preserve"> 操作均会触发 </w:t>
      </w:r>
      <w:r>
        <w:rPr>
          <w:rFonts w:eastAsia="Consolas" w:ascii="Consolas" w:cs="Consolas" w:hAnsi="Consolas"/>
          <w:sz w:val="22"/>
          <w:shd w:fill="EFF0F1"/>
        </w:rPr>
        <w:t>SovereigntyC2</w:t>
      </w:r>
      <w:r>
        <w:rPr>
          <w:rFonts w:eastAsia="等线" w:ascii="Arial" w:cs="Arial" w:hAnsi="Arial"/>
          <w:sz w:val="22"/>
        </w:rPr>
        <w:t xml:space="preserve"> 库的检查，并再次进行KYC验证。违反规则的转账将失败。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凭证</w:t>
      </w:r>
      <w:r>
        <w:rPr>
          <w:rFonts w:eastAsia="等线" w:ascii="Arial" w:cs="Arial" w:hAnsi="Arial"/>
          <w:sz w:val="22"/>
        </w:rPr>
        <w:t xml:space="preserve">：持有人持有的，是符合 </w:t>
      </w:r>
      <w:r>
        <w:rPr>
          <w:rFonts w:eastAsia="Consolas" w:ascii="Consolas" w:cs="Consolas" w:hAnsi="Consolas"/>
          <w:sz w:val="22"/>
          <w:shd w:fill="EFF0F1"/>
        </w:rPr>
        <w:t>ACC-20</w:t>
      </w:r>
      <w:r>
        <w:rPr>
          <w:rFonts w:eastAsia="等线" w:ascii="Arial" w:cs="Arial" w:hAnsi="Arial"/>
          <w:sz w:val="22"/>
        </w:rPr>
        <w:t xml:space="preserve"> 标准的代币，可在任何支持NAC的钱包中显示、保管和交易。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第8条 现金流分配：自动化与可验证</w:t>
      </w:r>
      <w:bookmarkEnd w:id="10"/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托管方调用合约的 </w:t>
      </w:r>
      <w:r>
        <w:rPr>
          <w:rFonts w:eastAsia="Consolas" w:ascii="Consolas" w:cs="Consolas" w:hAnsi="Consolas"/>
          <w:sz w:val="22"/>
          <w:shd w:fill="EFF0F1"/>
        </w:rPr>
        <w:t>distributeIncome</w:t>
      </w:r>
      <w:r>
        <w:rPr>
          <w:rFonts w:eastAsia="等线" w:ascii="Arial" w:cs="Arial" w:hAnsi="Arial"/>
          <w:sz w:val="22"/>
        </w:rPr>
        <w:t xml:space="preserve"> 函数，必须使用其被授权的 </w:t>
      </w:r>
      <w:r>
        <w:rPr>
          <w:rFonts w:eastAsia="Consolas" w:ascii="Consolas" w:cs="Consolas" w:hAnsi="Consolas"/>
          <w:sz w:val="22"/>
          <w:shd w:fill="EFF0F1"/>
        </w:rPr>
        <w:t>B3</w:t>
      </w:r>
      <w:r>
        <w:rPr>
          <w:rFonts w:eastAsia="等线" w:ascii="Arial" w:cs="Arial" w:hAnsi="Arial"/>
          <w:sz w:val="22"/>
        </w:rPr>
        <w:t xml:space="preserve"> 角色私钥签名。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分配逻辑以 </w:t>
      </w:r>
      <w:r>
        <w:rPr>
          <w:rFonts w:eastAsia="Consolas" w:ascii="Consolas" w:cs="Consolas" w:hAnsi="Consolas"/>
          <w:sz w:val="22"/>
          <w:shd w:fill="EFF0F1"/>
        </w:rPr>
        <w:t>ACC-20</w:t>
      </w:r>
      <w:r>
        <w:rPr>
          <w:rFonts w:eastAsia="等线" w:ascii="Arial" w:cs="Arial" w:hAnsi="Arial"/>
          <w:sz w:val="22"/>
        </w:rPr>
        <w:t xml:space="preserve"> 的 </w:t>
      </w:r>
      <w:r>
        <w:rPr>
          <w:rFonts w:eastAsia="Consolas" w:ascii="Consolas" w:cs="Consolas" w:hAnsi="Consolas"/>
          <w:sz w:val="22"/>
          <w:shd w:fill="EFF0F1"/>
        </w:rPr>
        <w:t>balanceOf</w:t>
      </w:r>
      <w:r>
        <w:rPr>
          <w:rFonts w:eastAsia="等线" w:ascii="Arial" w:cs="Arial" w:hAnsi="Arial"/>
          <w:sz w:val="22"/>
        </w:rPr>
        <w:t xml:space="preserve"> 为唯一依据，通过一次链上调用，自动、按比例地向所有持有人地址转账稳定币（如NAC生态内的合规稳定币）。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整个过程是一个公开的链上事件，不可抵赖。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第9条 治理与争议：诉诸NAC链上治理</w:t>
      </w:r>
      <w:bookmarkEnd w:id="11"/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任何关于资产管理的重大争议或升级提案（如更换托管方），均可通过合约内置的提案模块发起。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投票权重直接与 </w:t>
      </w:r>
      <w:r>
        <w:rPr>
          <w:rFonts w:eastAsia="Consolas" w:ascii="Consolas" w:cs="Consolas" w:hAnsi="Consolas"/>
          <w:sz w:val="22"/>
          <w:shd w:fill="EFF0F1"/>
        </w:rPr>
        <w:t>ACC-20</w:t>
      </w:r>
      <w:r>
        <w:rPr>
          <w:rFonts w:eastAsia="等线" w:ascii="Arial" w:cs="Arial" w:hAnsi="Arial"/>
          <w:sz w:val="22"/>
        </w:rPr>
        <w:t xml:space="preserve"> 代币余额挂钩。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投票结果由智能合约自动执行，或作为具有约束力的链下裁决执行依据。在极端情况下，可升级至NAC全网治理进行裁决。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第三章：NAC原生优势与风险提示</w:t>
      </w:r>
      <w:bookmarkEnd w:id="1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第10条 原生优势</w:t>
      </w:r>
      <w:bookmarkEnd w:id="13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信任最小化</w:t>
      </w:r>
      <w:r>
        <w:rPr>
          <w:rFonts w:eastAsia="等线" w:ascii="Arial" w:cs="Arial" w:hAnsi="Arial"/>
          <w:sz w:val="22"/>
        </w:rPr>
        <w:t>：规则由代码执行，且关键代码（GNACS注册、主权库）是NAC公链基础设施的一部分。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全局流动性</w:t>
      </w:r>
      <w:r>
        <w:rPr>
          <w:rFonts w:eastAsia="等线" w:ascii="Arial" w:cs="Arial" w:hAnsi="Arial"/>
          <w:sz w:val="22"/>
        </w:rPr>
        <w:t>：基于</w:t>
      </w:r>
      <w:r>
        <w:rPr>
          <w:rFonts w:eastAsia="Consolas" w:ascii="Consolas" w:cs="Consolas" w:hAnsi="Consolas"/>
          <w:sz w:val="22"/>
          <w:shd w:fill="EFF0F1"/>
        </w:rPr>
        <w:t>ACC-20</w:t>
      </w:r>
      <w:r>
        <w:rPr>
          <w:rFonts w:eastAsia="等线" w:ascii="Arial" w:cs="Arial" w:hAnsi="Arial"/>
          <w:sz w:val="22"/>
        </w:rPr>
        <w:t xml:space="preserve"> 的代币可无缝接入NAC未来的原生DEX和跨链桥。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成本与效率</w:t>
      </w:r>
      <w:r>
        <w:rPr>
          <w:rFonts w:eastAsia="等线" w:ascii="Arial" w:cs="Arial" w:hAnsi="Arial"/>
          <w:sz w:val="22"/>
        </w:rPr>
        <w:t>：一次性质押、自动化分配，极大降低中间环节和摩擦成本。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可审计性</w:t>
      </w:r>
      <w:r>
        <w:rPr>
          <w:rFonts w:eastAsia="等线" w:ascii="Arial" w:cs="Arial" w:hAnsi="Arial"/>
          <w:sz w:val="22"/>
        </w:rPr>
        <w:t>：从资产创建到每一次收益分配，全生命周期在NAC区块链上留有完整、不可篡改的审计轨迹。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第11条 特有风险提示</w:t>
      </w:r>
      <w:bookmarkEnd w:id="14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NAC公链系统性风险</w:t>
      </w:r>
      <w:r>
        <w:rPr>
          <w:rFonts w:eastAsia="等线" w:ascii="Arial" w:cs="Arial" w:hAnsi="Arial"/>
          <w:sz w:val="22"/>
        </w:rPr>
        <w:t>：包括但不限于XTZH价格剧烈波动影响质押品价值、NAC网络共识故障、底层密码学被破解等。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智能合约基础设施风险</w:t>
      </w:r>
      <w:r>
        <w:rPr>
          <w:rFonts w:eastAsia="等线" w:ascii="Arial" w:cs="Arial" w:hAnsi="Arial"/>
          <w:sz w:val="22"/>
        </w:rPr>
        <w:t xml:space="preserve">：尽管经过审计，但NAC官方的 </w:t>
      </w:r>
      <w:r>
        <w:rPr>
          <w:rFonts w:eastAsia="Consolas" w:ascii="Consolas" w:cs="Consolas" w:hAnsi="Consolas"/>
          <w:sz w:val="22"/>
          <w:shd w:fill="EFF0F1"/>
        </w:rPr>
        <w:t>GNACSRegistry</w:t>
      </w:r>
      <w:r>
        <w:rPr>
          <w:rFonts w:eastAsia="等线" w:ascii="Arial" w:cs="Arial" w:hAnsi="Arial"/>
          <w:sz w:val="22"/>
        </w:rPr>
        <w:t xml:space="preserve"> 或 </w:t>
      </w:r>
      <w:r>
        <w:rPr>
          <w:rFonts w:eastAsia="Consolas" w:ascii="Consolas" w:cs="Consolas" w:hAnsi="Consolas"/>
          <w:sz w:val="22"/>
          <w:shd w:fill="EFF0F1"/>
        </w:rPr>
        <w:t>Sovereignty</w:t>
      </w:r>
      <w:r>
        <w:rPr>
          <w:rFonts w:eastAsia="等线" w:ascii="Arial" w:cs="Arial" w:hAnsi="Arial"/>
          <w:sz w:val="22"/>
        </w:rPr>
        <w:t xml:space="preserve"> 规则库若存在漏洞，可能影响所有依赖它的资产。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治理中心化风险</w:t>
      </w:r>
      <w:r>
        <w:rPr>
          <w:rFonts w:eastAsia="等线" w:ascii="Arial" w:cs="Arial" w:hAnsi="Arial"/>
          <w:sz w:val="22"/>
        </w:rPr>
        <w:t>：NAC治理若被少数实体控制，可能对GNACS标准或主权规则做出不利于特定资产持有人的修改。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技术过时风险</w:t>
      </w:r>
      <w:r>
        <w:rPr>
          <w:rFonts w:eastAsia="等线" w:ascii="Arial" w:cs="Arial" w:hAnsi="Arial"/>
          <w:sz w:val="22"/>
        </w:rPr>
        <w:t>：NAC公链的技术迭代可能导致现有合约需要迁移或升级。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结语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本指引描绘了一个深度植根于NAC公链原生能力的、端到端的RWA上链未来。它要求所有参与者——从律师到开发商——都必须以 </w:t>
      </w:r>
      <w:r>
        <w:rPr>
          <w:rFonts w:eastAsia="等线" w:ascii="Arial" w:cs="Arial" w:hAnsi="Arial"/>
          <w:b w:val="true"/>
          <w:sz w:val="22"/>
        </w:rPr>
        <w:t>“NAC作为主权执行层”</w:t>
      </w:r>
      <w:r>
        <w:rPr>
          <w:rFonts w:eastAsia="等线" w:ascii="Arial" w:cs="Arial" w:hAnsi="Arial"/>
          <w:sz w:val="22"/>
        </w:rPr>
        <w:t xml:space="preserve"> 为前提来思考和行动。下一步，是依据此指引，在NAC测试网上启动第一个 </w:t>
      </w:r>
      <w:r>
        <w:rPr>
          <w:rFonts w:eastAsia="等线" w:ascii="Arial" w:cs="Arial" w:hAnsi="Arial"/>
          <w:b w:val="true"/>
          <w:sz w:val="22"/>
        </w:rPr>
        <w:t>“GNACS编码生成DApp”</w:t>
      </w:r>
      <w:r>
        <w:rPr>
          <w:rFonts w:eastAsia="等线" w:ascii="Arial" w:cs="Arial" w:hAnsi="Arial"/>
          <w:sz w:val="22"/>
        </w:rPr>
        <w:t xml:space="preserve"> 和 </w:t>
      </w:r>
      <w:r>
        <w:rPr>
          <w:rFonts w:eastAsia="等线" w:ascii="Arial" w:cs="Arial" w:hAnsi="Arial"/>
          <w:b w:val="true"/>
          <w:sz w:val="22"/>
        </w:rPr>
        <w:t>“带XTZH自动质押功能的房产模板”</w:t>
      </w:r>
      <w:r>
        <w:rPr>
          <w:rFonts w:eastAsia="等线" w:ascii="Arial" w:cs="Arial" w:hAnsi="Arial"/>
          <w:sz w:val="22"/>
        </w:rPr>
        <w:t xml:space="preserve"> 的开发和概念验证。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指引制定方</w:t>
      </w:r>
      <w:r>
        <w:rPr>
          <w:rFonts w:eastAsia="等线" w:ascii="Arial" w:cs="Arial" w:hAnsi="Arial"/>
          <w:sz w:val="22"/>
        </w:rPr>
        <w:t>：NAC核心协议委员会 与 NAC生态发展联盟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：V1.0 (原生公链版)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964477">
    <w:lvl>
      <w:start w:val="1"/>
      <w:numFmt w:val="decimal"/>
      <w:suff w:val="tab"/>
      <w:lvlText w:val="%1."/>
      <w:rPr>
        <w:color w:val="3370ff"/>
      </w:rPr>
    </w:lvl>
  </w:abstractNum>
  <w:abstractNum w:abstractNumId="964478">
    <w:lvl>
      <w:start w:val="2"/>
      <w:numFmt w:val="decimal"/>
      <w:suff w:val="tab"/>
      <w:lvlText w:val="%1."/>
      <w:rPr>
        <w:color w:val="3370ff"/>
      </w:rPr>
    </w:lvl>
  </w:abstractNum>
  <w:abstractNum w:abstractNumId="964479">
    <w:lvl>
      <w:start w:val="3"/>
      <w:numFmt w:val="decimal"/>
      <w:suff w:val="tab"/>
      <w:lvlText w:val="%1."/>
      <w:rPr>
        <w:color w:val="3370ff"/>
      </w:rPr>
    </w:lvl>
  </w:abstractNum>
  <w:abstractNum w:abstractNumId="964480">
    <w:lvl>
      <w:start w:val="4"/>
      <w:numFmt w:val="decimal"/>
      <w:suff w:val="tab"/>
      <w:lvlText w:val="%1."/>
      <w:rPr>
        <w:color w:val="3370ff"/>
      </w:rPr>
    </w:lvl>
  </w:abstractNum>
  <w:abstractNum w:abstractNumId="964481">
    <w:lvl>
      <w:numFmt w:val="bullet"/>
      <w:suff w:val="tab"/>
      <w:lvlText w:val="•"/>
      <w:rPr>
        <w:color w:val="3370ff"/>
      </w:rPr>
    </w:lvl>
  </w:abstractNum>
  <w:abstractNum w:abstractNumId="964482">
    <w:lvl>
      <w:numFmt w:val="bullet"/>
      <w:suff w:val="tab"/>
      <w:lvlText w:val="•"/>
      <w:rPr>
        <w:color w:val="3370ff"/>
      </w:rPr>
    </w:lvl>
  </w:abstractNum>
  <w:abstractNum w:abstractNumId="964483">
    <w:lvl>
      <w:numFmt w:val="bullet"/>
      <w:suff w:val="tab"/>
      <w:lvlText w:val="•"/>
      <w:rPr>
        <w:color w:val="3370ff"/>
      </w:rPr>
    </w:lvl>
  </w:abstractNum>
  <w:abstractNum w:abstractNumId="964484">
    <w:lvl>
      <w:numFmt w:val="bullet"/>
      <w:suff w:val="tab"/>
      <w:lvlText w:val="•"/>
      <w:rPr>
        <w:color w:val="3370ff"/>
      </w:rPr>
    </w:lvl>
  </w:abstractNum>
  <w:abstractNum w:abstractNumId="964485">
    <w:lvl>
      <w:start w:val="1"/>
      <w:numFmt w:val="decimal"/>
      <w:suff w:val="tab"/>
      <w:lvlText w:val="%1."/>
      <w:rPr>
        <w:color w:val="3370ff"/>
      </w:rPr>
    </w:lvl>
  </w:abstractNum>
  <w:abstractNum w:abstractNumId="964486">
    <w:lvl>
      <w:start w:val="2"/>
      <w:numFmt w:val="decimal"/>
      <w:suff w:val="tab"/>
      <w:lvlText w:val="%1."/>
      <w:rPr>
        <w:color w:val="3370ff"/>
      </w:rPr>
    </w:lvl>
  </w:abstractNum>
  <w:abstractNum w:abstractNumId="964487">
    <w:lvl>
      <w:start w:val="3"/>
      <w:numFmt w:val="decimal"/>
      <w:suff w:val="tab"/>
      <w:lvlText w:val="%1."/>
      <w:rPr>
        <w:color w:val="3370ff"/>
      </w:rPr>
    </w:lvl>
  </w:abstractNum>
  <w:abstractNum w:abstractNumId="964488">
    <w:lvl>
      <w:start w:val="1"/>
      <w:numFmt w:val="decimal"/>
      <w:suff w:val="tab"/>
      <w:lvlText w:val="%1."/>
      <w:rPr>
        <w:color w:val="3370ff"/>
      </w:rPr>
    </w:lvl>
  </w:abstractNum>
  <w:abstractNum w:abstractNumId="964489">
    <w:lvl>
      <w:start w:val="2"/>
      <w:numFmt w:val="decimal"/>
      <w:suff w:val="tab"/>
      <w:lvlText w:val="%1."/>
      <w:rPr>
        <w:color w:val="3370ff"/>
      </w:rPr>
    </w:lvl>
  </w:abstractNum>
  <w:abstractNum w:abstractNumId="964490">
    <w:lvl>
      <w:numFmt w:val="bullet"/>
      <w:suff w:val="tab"/>
      <w:lvlText w:val="￮"/>
      <w:rPr>
        <w:color w:val="3370ff"/>
      </w:rPr>
    </w:lvl>
  </w:abstractNum>
  <w:abstractNum w:abstractNumId="964491">
    <w:lvl>
      <w:numFmt w:val="bullet"/>
      <w:suff w:val="tab"/>
      <w:lvlText w:val="￮"/>
      <w:rPr>
        <w:color w:val="3370ff"/>
      </w:rPr>
    </w:lvl>
  </w:abstractNum>
  <w:abstractNum w:abstractNumId="964492">
    <w:lvl>
      <w:numFmt w:val="bullet"/>
      <w:suff w:val="tab"/>
      <w:lvlText w:val="￮"/>
      <w:rPr>
        <w:color w:val="3370ff"/>
      </w:rPr>
    </w:lvl>
  </w:abstractNum>
  <w:abstractNum w:abstractNumId="964493">
    <w:lvl>
      <w:start w:val="3"/>
      <w:numFmt w:val="decimal"/>
      <w:suff w:val="tab"/>
      <w:lvlText w:val="%1."/>
      <w:rPr>
        <w:color w:val="3370ff"/>
      </w:rPr>
    </w:lvl>
  </w:abstractNum>
  <w:abstractNum w:abstractNumId="964494">
    <w:lvl>
      <w:start w:val="1"/>
      <w:numFmt w:val="decimal"/>
      <w:suff w:val="tab"/>
      <w:lvlText w:val="%1."/>
      <w:rPr>
        <w:color w:val="3370ff"/>
      </w:rPr>
    </w:lvl>
  </w:abstractNum>
  <w:abstractNum w:abstractNumId="964495">
    <w:lvl>
      <w:start w:val="2"/>
      <w:numFmt w:val="decimal"/>
      <w:suff w:val="tab"/>
      <w:lvlText w:val="%1."/>
      <w:rPr>
        <w:color w:val="3370ff"/>
      </w:rPr>
    </w:lvl>
  </w:abstractNum>
  <w:abstractNum w:abstractNumId="964496">
    <w:lvl>
      <w:start w:val="3"/>
      <w:numFmt w:val="decimal"/>
      <w:suff w:val="tab"/>
      <w:lvlText w:val="%1."/>
      <w:rPr>
        <w:color w:val="3370ff"/>
      </w:rPr>
    </w:lvl>
  </w:abstractNum>
  <w:abstractNum w:abstractNumId="964497">
    <w:lvl>
      <w:numFmt w:val="bullet"/>
      <w:suff w:val="tab"/>
      <w:lvlText w:val="•"/>
      <w:rPr>
        <w:color w:val="3370ff"/>
      </w:rPr>
    </w:lvl>
  </w:abstractNum>
  <w:abstractNum w:abstractNumId="964498">
    <w:lvl>
      <w:numFmt w:val="bullet"/>
      <w:suff w:val="tab"/>
      <w:lvlText w:val="•"/>
      <w:rPr>
        <w:color w:val="3370ff"/>
      </w:rPr>
    </w:lvl>
  </w:abstractNum>
  <w:abstractNum w:abstractNumId="964499">
    <w:lvl>
      <w:numFmt w:val="bullet"/>
      <w:suff w:val="tab"/>
      <w:lvlText w:val="•"/>
      <w:rPr>
        <w:color w:val="3370ff"/>
      </w:rPr>
    </w:lvl>
  </w:abstractNum>
  <w:abstractNum w:abstractNumId="964500">
    <w:lvl>
      <w:numFmt w:val="bullet"/>
      <w:suff w:val="tab"/>
      <w:lvlText w:val="•"/>
      <w:rPr>
        <w:color w:val="3370ff"/>
      </w:rPr>
    </w:lvl>
  </w:abstractNum>
  <w:abstractNum w:abstractNumId="964501">
    <w:lvl>
      <w:numFmt w:val="bullet"/>
      <w:suff w:val="tab"/>
      <w:lvlText w:val="•"/>
      <w:rPr>
        <w:color w:val="3370ff"/>
      </w:rPr>
    </w:lvl>
  </w:abstractNum>
  <w:abstractNum w:abstractNumId="964502">
    <w:lvl>
      <w:numFmt w:val="bullet"/>
      <w:suff w:val="tab"/>
      <w:lvlText w:val="•"/>
      <w:rPr>
        <w:color w:val="3370ff"/>
      </w:rPr>
    </w:lvl>
  </w:abstractNum>
  <w:abstractNum w:abstractNumId="964503">
    <w:lvl>
      <w:start w:val="1"/>
      <w:numFmt w:val="decimal"/>
      <w:suff w:val="tab"/>
      <w:lvlText w:val="%1."/>
      <w:rPr>
        <w:color w:val="3370ff"/>
      </w:rPr>
    </w:lvl>
  </w:abstractNum>
  <w:abstractNum w:abstractNumId="964504">
    <w:lvl>
      <w:start w:val="2"/>
      <w:numFmt w:val="decimal"/>
      <w:suff w:val="tab"/>
      <w:lvlText w:val="%1."/>
      <w:rPr>
        <w:color w:val="3370ff"/>
      </w:rPr>
    </w:lvl>
  </w:abstractNum>
  <w:abstractNum w:abstractNumId="964505">
    <w:lvl>
      <w:start w:val="3"/>
      <w:numFmt w:val="decimal"/>
      <w:suff w:val="tab"/>
      <w:lvlText w:val="%1."/>
      <w:rPr>
        <w:color w:val="3370ff"/>
      </w:rPr>
    </w:lvl>
  </w:abstractNum>
  <w:abstractNum w:abstractNumId="964506">
    <w:lvl>
      <w:start w:val="4"/>
      <w:numFmt w:val="decimal"/>
      <w:suff w:val="tab"/>
      <w:lvlText w:val="%1."/>
      <w:rPr>
        <w:color w:val="3370ff"/>
      </w:rPr>
    </w:lvl>
  </w:abstractNum>
  <w:abstractNum w:abstractNumId="964507">
    <w:lvl>
      <w:start w:val="1"/>
      <w:numFmt w:val="decimal"/>
      <w:suff w:val="tab"/>
      <w:lvlText w:val="%1."/>
      <w:rPr>
        <w:color w:val="3370ff"/>
      </w:rPr>
    </w:lvl>
  </w:abstractNum>
  <w:abstractNum w:abstractNumId="964508">
    <w:lvl>
      <w:start w:val="2"/>
      <w:numFmt w:val="decimal"/>
      <w:suff w:val="tab"/>
      <w:lvlText w:val="%1."/>
      <w:rPr>
        <w:color w:val="3370ff"/>
      </w:rPr>
    </w:lvl>
  </w:abstractNum>
  <w:abstractNum w:abstractNumId="964509">
    <w:lvl>
      <w:start w:val="3"/>
      <w:numFmt w:val="decimal"/>
      <w:suff w:val="tab"/>
      <w:lvlText w:val="%1."/>
      <w:rPr>
        <w:color w:val="3370ff"/>
      </w:rPr>
    </w:lvl>
  </w:abstractNum>
  <w:abstractNum w:abstractNumId="964510">
    <w:lvl>
      <w:start w:val="4"/>
      <w:numFmt w:val="decimal"/>
      <w:suff w:val="tab"/>
      <w:lvlText w:val="%1."/>
      <w:rPr>
        <w:color w:val="3370ff"/>
      </w:rPr>
    </w:lvl>
  </w:abstractNum>
  <w:num w:numId="1">
    <w:abstractNumId w:val="964477"/>
  </w:num>
  <w:num w:numId="2">
    <w:abstractNumId w:val="964478"/>
  </w:num>
  <w:num w:numId="3">
    <w:abstractNumId w:val="964479"/>
  </w:num>
  <w:num w:numId="4">
    <w:abstractNumId w:val="964480"/>
  </w:num>
  <w:num w:numId="5">
    <w:abstractNumId w:val="964481"/>
  </w:num>
  <w:num w:numId="6">
    <w:abstractNumId w:val="964482"/>
  </w:num>
  <w:num w:numId="7">
    <w:abstractNumId w:val="964483"/>
  </w:num>
  <w:num w:numId="8">
    <w:abstractNumId w:val="964484"/>
  </w:num>
  <w:num w:numId="9">
    <w:abstractNumId w:val="964485"/>
  </w:num>
  <w:num w:numId="10">
    <w:abstractNumId w:val="964486"/>
  </w:num>
  <w:num w:numId="11">
    <w:abstractNumId w:val="964487"/>
  </w:num>
  <w:num w:numId="12">
    <w:abstractNumId w:val="964488"/>
  </w:num>
  <w:num w:numId="13">
    <w:abstractNumId w:val="964489"/>
  </w:num>
  <w:num w:numId="14">
    <w:abstractNumId w:val="964490"/>
  </w:num>
  <w:num w:numId="15">
    <w:abstractNumId w:val="964491"/>
  </w:num>
  <w:num w:numId="16">
    <w:abstractNumId w:val="964492"/>
  </w:num>
  <w:num w:numId="17">
    <w:abstractNumId w:val="964493"/>
  </w:num>
  <w:num w:numId="18">
    <w:abstractNumId w:val="964494"/>
  </w:num>
  <w:num w:numId="19">
    <w:abstractNumId w:val="964495"/>
  </w:num>
  <w:num w:numId="20">
    <w:abstractNumId w:val="964496"/>
  </w:num>
  <w:num w:numId="21">
    <w:abstractNumId w:val="964497"/>
  </w:num>
  <w:num w:numId="22">
    <w:abstractNumId w:val="964498"/>
  </w:num>
  <w:num w:numId="23">
    <w:abstractNumId w:val="964499"/>
  </w:num>
  <w:num w:numId="24">
    <w:abstractNumId w:val="964500"/>
  </w:num>
  <w:num w:numId="25">
    <w:abstractNumId w:val="964501"/>
  </w:num>
  <w:num w:numId="26">
    <w:abstractNumId w:val="964502"/>
  </w:num>
  <w:num w:numId="27">
    <w:abstractNumId w:val="964503"/>
  </w:num>
  <w:num w:numId="28">
    <w:abstractNumId w:val="964504"/>
  </w:num>
  <w:num w:numId="29">
    <w:abstractNumId w:val="964505"/>
  </w:num>
  <w:num w:numId="30">
    <w:abstractNumId w:val="964506"/>
  </w:num>
  <w:num w:numId="31">
    <w:abstractNumId w:val="964507"/>
  </w:num>
  <w:num w:numId="32">
    <w:abstractNumId w:val="964508"/>
  </w:num>
  <w:num w:numId="33">
    <w:abstractNumId w:val="964509"/>
  </w:num>
  <w:num w:numId="34">
    <w:abstractNumId w:val="964510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2026-02-02T14:22:00Z</dcterms:created>
  <dc:creator>Apache POI</dc:creator>
</cp:coreProperties>
</file>