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大宗商品上链指引（NAC原生公链合规版）V1.0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指引说明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本指引旨在为基于 </w:t>
      </w:r>
      <w:r>
        <w:rPr>
          <w:rFonts w:eastAsia="等线" w:ascii="Arial" w:cs="Arial" w:hAnsi="Arial"/>
          <w:b w:val="true"/>
          <w:sz w:val="22"/>
        </w:rPr>
        <w:t>NAC公链原生技术栈</w:t>
      </w:r>
      <w:r>
        <w:rPr>
          <w:rFonts w:eastAsia="等线" w:ascii="Arial" w:cs="Arial" w:hAnsi="Arial"/>
          <w:sz w:val="22"/>
        </w:rPr>
        <w:t xml:space="preserve"> 的大宗商品（如农产品、金属、能源产品）资产化与金融化，提供一套标准化、可编程、合规透明的操作框架。核心目标是将物理商品的 </w:t>
      </w:r>
      <w:r>
        <w:rPr>
          <w:rFonts w:eastAsia="等线" w:ascii="Arial" w:cs="Arial" w:hAnsi="Arial"/>
          <w:b w:val="true"/>
          <w:sz w:val="22"/>
        </w:rPr>
        <w:t>货权、物流状态与质量信息</w:t>
      </w:r>
      <w:r>
        <w:rPr>
          <w:rFonts w:eastAsia="等线" w:ascii="Arial" w:cs="Arial" w:hAnsi="Arial"/>
          <w:sz w:val="22"/>
        </w:rPr>
        <w:t xml:space="preserve">，通过物联网（IoT）与区块链的融合，转化为受 </w:t>
      </w:r>
      <w:r>
        <w:rPr>
          <w:rFonts w:eastAsia="等线" w:ascii="Arial" w:cs="Arial" w:hAnsi="Arial"/>
          <w:b w:val="true"/>
          <w:sz w:val="22"/>
        </w:rPr>
        <w:t>XTZH经济模型</w:t>
      </w:r>
      <w:r>
        <w:rPr>
          <w:rFonts w:eastAsia="等线" w:ascii="Arial" w:cs="Arial" w:hAnsi="Arial"/>
          <w:sz w:val="22"/>
        </w:rPr>
        <w:t xml:space="preserve"> 与 </w:t>
      </w:r>
      <w:r>
        <w:rPr>
          <w:rFonts w:eastAsia="等线" w:ascii="Arial" w:cs="Arial" w:hAnsi="Arial"/>
          <w:b w:val="true"/>
          <w:sz w:val="22"/>
        </w:rPr>
        <w:t>主权规则</w:t>
      </w:r>
      <w:r>
        <w:rPr>
          <w:rFonts w:eastAsia="等线" w:ascii="Arial" w:cs="Arial" w:hAnsi="Arial"/>
          <w:sz w:val="22"/>
        </w:rPr>
        <w:t xml:space="preserve"> 约束的链上原生数字资产，并支持仓单质押、贸易融资等场景。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第一章：NAC原生框架下的大宗商品上链总则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第1条 上链核心范式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在NAC公链上，大宗商品上链的本质是创建其 </w:t>
      </w:r>
      <w:r>
        <w:rPr>
          <w:rFonts w:eastAsia="等线" w:ascii="Arial" w:cs="Arial" w:hAnsi="Arial"/>
          <w:b w:val="true"/>
          <w:sz w:val="22"/>
        </w:rPr>
        <w:t>“数字孪生仓单”</w:t>
      </w:r>
      <w:r>
        <w:rPr>
          <w:rFonts w:eastAsia="等线" w:ascii="Arial" w:cs="Arial" w:hAnsi="Arial"/>
          <w:sz w:val="22"/>
        </w:rPr>
        <w:t xml:space="preserve">。该仓单并非简单的所有权凭证，而是一个 </w:t>
      </w:r>
      <w:r>
        <w:rPr>
          <w:rFonts w:eastAsia="等线" w:ascii="Arial" w:cs="Arial" w:hAnsi="Arial"/>
          <w:b w:val="true"/>
          <w:sz w:val="22"/>
        </w:rPr>
        <w:t>动态的、数据驱动的智能合约综合体</w:t>
      </w:r>
      <w:r>
        <w:rPr>
          <w:rFonts w:eastAsia="等线" w:ascii="Arial" w:cs="Arial" w:hAnsi="Arial"/>
          <w:sz w:val="22"/>
        </w:rPr>
        <w:t>，它：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锚定物理实体</w:t>
      </w:r>
      <w:r>
        <w:rPr>
          <w:rFonts w:eastAsia="等线" w:ascii="Arial" w:cs="Arial" w:hAnsi="Arial"/>
          <w:sz w:val="22"/>
        </w:rPr>
        <w:t>：通过GNACS编码唯一标识商品类别与批次。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绑定实时状态</w:t>
      </w:r>
      <w:r>
        <w:rPr>
          <w:rFonts w:eastAsia="等线" w:ascii="Arial" w:cs="Arial" w:hAnsi="Arial"/>
          <w:sz w:val="22"/>
        </w:rPr>
        <w:t>：通过物联网预言机持续验证仓位、温湿度、位置等物流与状态数据（映射至GNACS第25-28位物流维度）。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承载金融主权</w:t>
      </w:r>
      <w:r>
        <w:rPr>
          <w:rFonts w:eastAsia="等线" w:ascii="Arial" w:cs="Arial" w:hAnsi="Arial"/>
          <w:sz w:val="22"/>
        </w:rPr>
        <w:t xml:space="preserve">：通过集成 </w:t>
      </w:r>
      <w:r>
        <w:rPr>
          <w:rFonts w:eastAsia="Consolas" w:ascii="Consolas" w:cs="Consolas" w:hAnsi="Consolas"/>
          <w:sz w:val="22"/>
          <w:shd w:fill="EFF0F1"/>
        </w:rPr>
        <w:t>D0</w:t>
      </w:r>
      <w:r>
        <w:rPr>
          <w:rFonts w:eastAsia="等线" w:ascii="Arial" w:cs="Arial" w:hAnsi="Arial"/>
          <w:sz w:val="22"/>
        </w:rPr>
        <w:t xml:space="preserve">（担保主权）和 </w:t>
      </w:r>
      <w:r>
        <w:rPr>
          <w:rFonts w:eastAsia="Consolas" w:ascii="Consolas" w:cs="Consolas" w:hAnsi="Consolas"/>
          <w:sz w:val="22"/>
          <w:shd w:fill="EFF0F1"/>
        </w:rPr>
        <w:t>B3</w:t>
      </w:r>
      <w:r>
        <w:rPr>
          <w:rFonts w:eastAsia="等线" w:ascii="Arial" w:cs="Arial" w:hAnsi="Arial"/>
          <w:sz w:val="22"/>
        </w:rPr>
        <w:t>（管理权主权）规则库，支持质押、转让等金融操作。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具备经济担保</w:t>
      </w:r>
      <w:r>
        <w:rPr>
          <w:rFonts w:eastAsia="等线" w:ascii="Arial" w:cs="Arial" w:hAnsi="Arial"/>
          <w:sz w:val="22"/>
        </w:rPr>
        <w:t xml:space="preserve">：通过发行方或仓单持有人质押 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，为仓单所代表的货值提供风险缓冲。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第2条 核心支柱</w:t>
      </w:r>
      <w:bookmarkEnd w:id="3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GNACS物流维度与条件编码</w:t>
      </w:r>
      <w:r>
        <w:rPr>
          <w:rFonts w:eastAsia="等线" w:ascii="Arial" w:cs="Arial" w:hAnsi="Arial"/>
          <w:sz w:val="22"/>
        </w:rPr>
        <w:t>：GNACS编码的第1-6位（物理属性，如HS 1005-玉米）与第25-28位（物流维度，如C001-散装粮食）是核心分类依据。</w:t>
      </w:r>
      <w:r>
        <w:rPr>
          <w:rFonts w:eastAsia="等线" w:ascii="Arial" w:cs="Arial" w:hAnsi="Arial"/>
          <w:b w:val="true"/>
          <w:sz w:val="22"/>
        </w:rPr>
        <w:t>条件编码规则</w:t>
      </w:r>
      <w:r>
        <w:rPr>
          <w:rFonts w:eastAsia="等线" w:ascii="Arial" w:cs="Arial" w:hAnsi="Arial"/>
          <w:sz w:val="22"/>
        </w:rPr>
        <w:t xml:space="preserve"> 将自动判定数字仓单的必填验证字段。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物联网（IoT）预言机网络</w:t>
      </w:r>
      <w:r>
        <w:rPr>
          <w:rFonts w:eastAsia="等线" w:ascii="Arial" w:cs="Arial" w:hAnsi="Arial"/>
          <w:sz w:val="22"/>
        </w:rPr>
        <w:t xml:space="preserve">：由NAC生态认证的物联网数据预言机节点，负责将经过加密签名的传感器数据上链，作为仓单状态变更的 </w:t>
      </w:r>
      <w:r>
        <w:rPr>
          <w:rFonts w:eastAsia="等线" w:ascii="Arial" w:cs="Arial" w:hAnsi="Arial"/>
          <w:b w:val="true"/>
          <w:sz w:val="22"/>
        </w:rPr>
        <w:t>唯一可信源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动态质押智能合约引擎</w:t>
      </w:r>
      <w:r>
        <w:rPr>
          <w:rFonts w:eastAsia="等线" w:ascii="Arial" w:cs="Arial" w:hAnsi="Arial"/>
          <w:sz w:val="22"/>
        </w:rPr>
        <w:t xml:space="preserve">：仓单的价值及可质押融资额度，并非固定不变，而是根据商品市场价格（外部预言机）和实时仓储状态（物联网预言机）通过智能合约公式 </w:t>
      </w:r>
      <w:r>
        <w:rPr>
          <w:rFonts w:eastAsia="等线" w:ascii="Arial" w:cs="Arial" w:hAnsi="Arial"/>
          <w:b w:val="true"/>
          <w:sz w:val="22"/>
        </w:rPr>
        <w:t>动态计算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ACC-1155多代币标准</w:t>
      </w:r>
      <w:r>
        <w:rPr>
          <w:rFonts w:eastAsia="等线" w:ascii="Arial" w:cs="Arial" w:hAnsi="Arial"/>
          <w:sz w:val="22"/>
        </w:rPr>
        <w:t>：适用于同一批次商品可分割为多份标准仓单的场景，支持批量操作和灵活的所有权结构。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第二章：参与方在NAC链上的角色与数据流</w:t>
      </w:r>
      <w:bookmarkEnd w:id="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第3条 角色-数据-链上映射表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第4条 关键参与方职责</w:t>
      </w:r>
      <w:bookmarkEnd w:id="6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仓储方（托管方）</w:t>
      </w:r>
      <w:r>
        <w:rPr>
          <w:rFonts w:eastAsia="等线" w:ascii="Arial" w:cs="Arial" w:hAnsi="Arial"/>
          <w:sz w:val="22"/>
        </w:rPr>
        <w:t xml:space="preserve">：作为 </w:t>
      </w:r>
      <w:r>
        <w:rPr>
          <w:rFonts w:eastAsia="Consolas" w:ascii="Consolas" w:cs="Consolas" w:hAnsi="Consolas"/>
          <w:sz w:val="22"/>
          <w:shd w:fill="EFF0F1"/>
        </w:rPr>
        <w:t>B3</w:t>
      </w:r>
      <w:r>
        <w:rPr>
          <w:rFonts w:eastAsia="等线" w:ascii="Arial" w:cs="Arial" w:hAnsi="Arial"/>
          <w:sz w:val="22"/>
        </w:rPr>
        <w:t>（管理权主权）的行使者，其NAC地址被授权调用仓单合约的 `更新状态` 函数。负责维护物联网设备，并对其上报数据的真实性负法律与经济责任（其部分XTZH可能作为保证金被锁定）。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物联网预言机服务商</w:t>
      </w:r>
      <w:r>
        <w:rPr>
          <w:rFonts w:eastAsia="等线" w:ascii="Arial" w:cs="Arial" w:hAnsi="Arial"/>
          <w:sz w:val="22"/>
        </w:rPr>
        <w:t>：运行NAC认证的预言机节点软件，对仓储方数据进行验签、聚合，并以特定格式和频率写入指定的链上合约，收取XTZH作为服务费。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质检与认证机构</w:t>
      </w:r>
      <w:r>
        <w:rPr>
          <w:rFonts w:eastAsia="等线" w:ascii="Arial" w:cs="Arial" w:hAnsi="Arial"/>
          <w:sz w:val="22"/>
        </w:rPr>
        <w:t>：将线下检验报告的哈希值存证上链，该哈希值与特定仓单ID绑定，作为GNACS编码中质量属性的验证依据。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第三章：基于NAC原生技术的操作流程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第5条 全流程概览</w:t>
      </w:r>
      <w:bookmarkEnd w:id="8"/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商品入库与信息锚定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商品入库时，仓储方通过DApp提交商品信息（品类、数量、产地），系统自动生成或匹配 </w:t>
      </w:r>
      <w:r>
        <w:rPr>
          <w:rFonts w:eastAsia="等线" w:ascii="Arial" w:cs="Arial" w:hAnsi="Arial"/>
          <w:b w:val="true"/>
          <w:sz w:val="22"/>
        </w:rPr>
        <w:t>GNACS编码</w:t>
      </w:r>
      <w:r>
        <w:rPr>
          <w:rFonts w:eastAsia="等线" w:ascii="Arial" w:cs="Arial" w:hAnsi="Arial"/>
          <w:sz w:val="22"/>
        </w:rPr>
        <w:t>（如：`100500xxxxxxxxxC001...`）。</w:t>
      </w:r>
    </w:p>
    <w:p>
      <w:pPr>
        <w:numPr>
          <w:numId w:val="1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将信息提交至</w:t>
      </w:r>
      <w:r>
        <w:rPr>
          <w:rFonts w:eastAsia="Consolas" w:ascii="Consolas" w:cs="Consolas" w:hAnsi="Consolas"/>
          <w:sz w:val="22"/>
          <w:shd w:fill="EFF0F1"/>
        </w:rPr>
        <w:t>GNACSRegistry</w:t>
      </w:r>
      <w:r>
        <w:rPr>
          <w:rFonts w:eastAsia="等线" w:ascii="Arial" w:cs="Arial" w:hAnsi="Arial"/>
          <w:sz w:val="22"/>
        </w:rPr>
        <w:t xml:space="preserve">，生成该批次的 </w:t>
      </w:r>
      <w:r>
        <w:rPr>
          <w:rFonts w:eastAsia="等线" w:ascii="Arial" w:cs="Arial" w:hAnsi="Arial"/>
          <w:b w:val="true"/>
          <w:sz w:val="22"/>
        </w:rPr>
        <w:t>全局唯一资产实例ID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数字仓单合约部署与初始化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部署 </w:t>
      </w:r>
      <w:r>
        <w:rPr>
          <w:rFonts w:eastAsia="Consolas" w:ascii="Consolas" w:cs="Consolas" w:hAnsi="Consolas"/>
          <w:sz w:val="22"/>
          <w:shd w:fill="EFF0F1"/>
        </w:rPr>
        <w:t>RWABulkCommodityV1.sol</w:t>
      </w:r>
      <w:r>
        <w:rPr>
          <w:rFonts w:eastAsia="等线" w:ascii="Arial" w:cs="Arial" w:hAnsi="Arial"/>
          <w:sz w:val="22"/>
        </w:rPr>
        <w:t xml:space="preserve"> 模板合约。</w:t>
      </w:r>
    </w:p>
    <w:p>
      <w:pPr>
        <w:numPr>
          <w:numId w:val="1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初始化时，传入资产实例ID、仓储方地址、物联网预言机地址、价格预言机地址。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合约根据GNACS中的风险权重，要求</w:t>
      </w:r>
      <w:r>
        <w:rPr>
          <w:rFonts w:eastAsia="等线" w:ascii="Arial" w:cs="Arial" w:hAnsi="Arial"/>
          <w:b w:val="true"/>
          <w:sz w:val="22"/>
        </w:rPr>
        <w:t>货主方锁定一定数量的XTZH</w:t>
      </w:r>
      <w:r>
        <w:rPr>
          <w:rFonts w:eastAsia="等线" w:ascii="Arial" w:cs="Arial" w:hAnsi="Arial"/>
          <w:sz w:val="22"/>
        </w:rPr>
        <w:t xml:space="preserve"> 作为初始风险准备金。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数据持续上链与状态同步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物联网预言机按预设频率（如每1小时）将传感器数据签名后发送至合约。</w:t>
      </w:r>
    </w:p>
    <w:p>
      <w:pPr>
        <w:numPr>
          <w:numId w:val="2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合约验证签名，并更新内部状态变量（如 </w:t>
      </w:r>
      <w:r>
        <w:rPr>
          <w:rFonts w:eastAsia="Consolas" w:ascii="Consolas" w:cs="Consolas" w:hAnsi="Consolas"/>
          <w:sz w:val="22"/>
          <w:shd w:fill="EFF0F1"/>
        </w:rPr>
        <w:t>currentTemperature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isInBound</w:t>
      </w:r>
      <w:r>
        <w:rPr>
          <w:rFonts w:eastAsia="等线" w:ascii="Arial" w:cs="Arial" w:hAnsi="Arial"/>
          <w:sz w:val="22"/>
        </w:rPr>
        <w:t>）。</w:t>
      </w:r>
    </w:p>
    <w:p>
      <w:pPr>
        <w:numPr>
          <w:numId w:val="2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若数据超出安全阈值（如温度超标），合约状态自动变更为 </w:t>
      </w:r>
      <w:r>
        <w:rPr>
          <w:rFonts w:eastAsia="等线" w:ascii="Arial" w:cs="Arial" w:hAnsi="Arial"/>
          <w:b w:val="true"/>
          <w:sz w:val="22"/>
        </w:rPr>
        <w:t>“异常”</w:t>
      </w:r>
      <w:r>
        <w:rPr>
          <w:rFonts w:eastAsia="等线" w:ascii="Arial" w:cs="Arial" w:hAnsi="Arial"/>
          <w:sz w:val="22"/>
        </w:rPr>
        <w:t>，并触发警报事件。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仓单金融化（质押融资）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货主可发起质押请求。合约 </w:t>
      </w:r>
      <w:r>
        <w:rPr>
          <w:rFonts w:eastAsia="等线" w:ascii="Arial" w:cs="Arial" w:hAnsi="Arial"/>
          <w:b w:val="true"/>
          <w:sz w:val="22"/>
        </w:rPr>
        <w:t>动态计算当前最大可质押额度</w:t>
      </w:r>
      <w:r>
        <w:rPr>
          <w:rFonts w:eastAsia="等线" w:ascii="Arial" w:cs="Arial" w:hAnsi="Arial"/>
          <w:sz w:val="22"/>
        </w:rPr>
        <w:t>：</w:t>
        <w:br/>
        <w:t xml:space="preserve">            </w:t>
      </w:r>
      <w:r>
        <w:rPr>
          <w:rFonts w:eastAsia="Consolas" w:ascii="Consolas" w:cs="Consolas" w:hAnsi="Consolas"/>
          <w:sz w:val="22"/>
          <w:shd w:fill="EFF0F1"/>
        </w:rPr>
        <w:t>// 伪代码公式</w:t>
        <w:br/>
        <w:t>动态质押率 = 基础质押率 - 风险折减系数；</w:t>
        <w:br/>
        <w:t>当前货值 = 现货价格预言机报价 × 仓单数量；</w:t>
        <w:br/>
        <w:t>最大可贷额度 = 当前货值 × 动态质押率；</w:t>
        <w:br/>
        <w:t>风险折减系数 = f(温度偏离度, 湿度偏离度, 库存时间...)；</w:t>
      </w:r>
    </w:p>
    <w:p>
      <w:pPr>
        <w:numPr>
          <w:numId w:val="2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金融机构放款，同时，货主质押的XTZH或仓单本身的一部分权益被锁定在合约中。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货权转让与清算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仓单作为ACC-1155代币，可在通过KYC的地址间转让，每次转让都受 </w:t>
      </w:r>
      <w:r>
        <w:rPr>
          <w:rFonts w:eastAsia="Consolas" w:ascii="Consolas" w:cs="Consolas" w:hAnsi="Consolas"/>
          <w:sz w:val="22"/>
          <w:shd w:fill="EFF0F1"/>
        </w:rPr>
        <w:t>D0</w:t>
      </w:r>
      <w:r>
        <w:rPr>
          <w:rFonts w:eastAsia="等线" w:ascii="Arial" w:cs="Arial" w:hAnsi="Arial"/>
          <w:sz w:val="22"/>
        </w:rPr>
        <w:t xml:space="preserve"> 担保规则约束（例如，检查是否存在未清偿质押）。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若触发清算条件（如价格暴跌至平仓线），清算模块可被授权方调用，自动处置质押的XTZH或仓单。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第四章：标准智能合约模板核心设计（`RWABulkCommodityV1.sol`）</w:t>
      </w:r>
      <w:bookmarkEnd w:id="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第6条 核心状态变量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contract RWABulkCommodityV1 is IACC1155, SovereigntyD0_Security, SovereigntyB3_Management {</w:t>
              <w:br/>
              <w:t xml:space="preserve">    bytes32 public assetInstanceId;</w:t>
              <w:br/>
              <w:t xml:space="preserve">    bytes30 public gnacsCode;</w:t>
              <w:br/>
              <w:t xml:space="preserve">    </w:t>
              <w:br/>
              <w:t xml:space="preserve">    // 物流状态 (由预言机更新)</w:t>
              <w:br/>
              <w:t xml:space="preserve">    int24 public currentTemperature; // 当前温度</w:t>
              <w:br/>
              <w:t xml:space="preserve">    uint16 public currentHumidity;   // 当前湿度</w:t>
              <w:br/>
              <w:t xml:space="preserve">    bool public isLocationVerified;  // 位置是否在库</w:t>
              <w:br/>
              <w:t xml:space="preserve">    </w:t>
              <w:br/>
              <w:t xml:space="preserve">    // 金融状态</w:t>
              <w:br/>
              <w:t xml:space="preserve">    uint256 public currentSpotPrice; // 来自价格预言机</w:t>
              <w:br/>
              <w:t xml:space="preserve">    uint256 public maxPledgeRatio;   // 动态计算的当前最大质押率</w:t>
              <w:br/>
              <w:t xml:space="preserve">    address public priceOracle;</w:t>
              <w:br/>
              <w:t xml:space="preserve">    address public iotOracle;</w:t>
              <w:br/>
              <w:t xml:space="preserve">    </w:t>
              <w:br/>
              <w:t xml:space="preserve">    // 质押记录</w:t>
              <w:br/>
              <w:t xml:space="preserve">    struct PledgeRecord {</w:t>
              <w:br/>
              <w:t xml:space="preserve">        address lender;</w:t>
              <w:br/>
              <w:t xml:space="preserve">        uint256 loanAmount;</w:t>
              <w:br/>
              <w:t xml:space="preserve">        uint256 pledgedXTZH;</w:t>
              <w:br/>
              <w:t xml:space="preserve">        uint256 liquidationPrice;</w:t>
              <w:br/>
              <w:t xml:space="preserve">    }</w:t>
              <w:br/>
              <w:t xml:space="preserve">    mapping(uint256 tokenId =&gt; PledgeRecord) public pledges;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第7条 关键函数逻辑</w:t>
      </w:r>
      <w:bookmarkEnd w:id="11"/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状态更新函数（仅限物联网预言机调用）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  <w:r>
        <w:rPr>
          <w:rFonts w:eastAsia="Consolas" w:ascii="Consolas" w:cs="Consolas" w:hAnsi="Consolas"/>
          <w:sz w:val="22"/>
          <w:shd w:fill="EFF0F1"/>
        </w:rPr>
        <w:t>function updateWarehouseStatus(</w:t>
        <w:br/>
        <w:t xml:space="preserve">    bytes32 _assetInstanceId,</w:t>
        <w:br/>
        <w:t xml:space="preserve">    int24 _temp,</w:t>
        <w:br/>
        <w:t xml:space="preserve">    uint16 _humidity,</w:t>
        <w:br/>
        <w:t xml:space="preserve">    bytes calldata _sensorSignature</w:t>
        <w:br/>
        <w:t>) external onlyIotOracle {</w:t>
        <w:br/>
        <w:t xml:space="preserve">    require(_verifySensorData(_assetInstanceId, _temp, _humidity, _sensorSignature));</w:t>
        <w:br/>
        <w:t xml:space="preserve">    currentTemperature = _temp;</w:t>
        <w:br/>
        <w:t xml:space="preserve">    currentHumidity = _humidity;</w:t>
        <w:br/>
        <w:t xml:space="preserve">    // 根据更新后的状态，重新计算动态质押率</w:t>
        <w:br/>
        <w:t xml:space="preserve">    maxPledgeRatio = _recalculatePledgeRatio();</w:t>
        <w:br/>
        <w:t xml:space="preserve">    emit StatusUpdated(_temp, _humidity, maxPledgeRatio);</w:t>
        <w:br/>
        <w:t>}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动态质押请求函数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  <w:r>
        <w:rPr>
          <w:rFonts w:eastAsia="Consolas" w:ascii="Consolas" w:cs="Consolas" w:hAnsi="Consolas"/>
          <w:sz w:val="22"/>
          <w:shd w:fill="EFF0F1"/>
        </w:rPr>
        <w:t>function requestPledge(</w:t>
        <w:br/>
        <w:t xml:space="preserve">    uint256 tokenId,</w:t>
        <w:br/>
        <w:t xml:space="preserve">    uint256 requestedLoanAmount</w:t>
        <w:br/>
        <w:t>) external {</w:t>
        <w:br/>
        <w:t xml:space="preserve">    require(balanceOf(msg.sender, tokenId) &gt; 0, "Not owner");</w:t>
        <w:br/>
        <w:t xml:space="preserve">    uint256 currentValue = totalQuantity[tokenId] * currentSpotPrice;</w:t>
        <w:br/>
        <w:t xml:space="preserve">    uint256 maxLoan = currentValue * maxPledgeRatio / 100;</w:t>
        <w:br/>
        <w:t xml:space="preserve">    require(requestedLoanAmount &lt;= maxLoan, "Exceeds max loan");</w:t>
        <w:br/>
        <w:t xml:space="preserve">    </w:t>
        <w:br/>
        <w:t xml:space="preserve">    // 锁定货主的XTZH作为额外担保</w:t>
        <w:br/>
        <w:t xml:space="preserve">    uint256 xtzhToLock = requestedLoanAmount * 10 / 100; // 示例：额外锁定10%</w:t>
        <w:br/>
        <w:t xml:space="preserve">    xtzhToken.transferFrom(msg.sender, address(this), xtzhToLock);</w:t>
        <w:br/>
        <w:t xml:space="preserve">    </w:t>
        <w:br/>
        <w:t xml:space="preserve">    pledges[tokenId] = PledgeRecord({</w:t>
        <w:br/>
        <w:t xml:space="preserve">        lender: msg.sender,</w:t>
        <w:br/>
        <w:t xml:space="preserve">        loanAmount: requestedLoanAmount,</w:t>
        <w:br/>
        <w:t xml:space="preserve">        pledgedXTZH: xtzhToLock,</w:t>
        <w:br/>
        <w:t xml:space="preserve">        liquidationPrice: currentSpotPrice * 80 / 100 // 平仓线设为市价80%</w:t>
        <w:br/>
        <w:t xml:space="preserve">    });</w:t>
        <w:br/>
        <w:t>}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第五章：风险、合规与治理</w:t>
      </w:r>
      <w:bookmarkEnd w:id="1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第8条 特有风险提示</w:t>
      </w:r>
      <w:bookmarkEnd w:id="13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数据源攻击风险</w:t>
      </w:r>
      <w:r>
        <w:rPr>
          <w:rFonts w:eastAsia="等线" w:ascii="Arial" w:cs="Arial" w:hAnsi="Arial"/>
          <w:sz w:val="22"/>
        </w:rPr>
        <w:t>：物联网传感器或预言机被入侵，提供虚假数据，导致链上资产状态失真。需采用多预言机、硬件安全模块（HSM）及声誉机制缓解。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物理资产双重处置风险</w:t>
      </w:r>
      <w:r>
        <w:rPr>
          <w:rFonts w:eastAsia="等线" w:ascii="Arial" w:cs="Arial" w:hAnsi="Arial"/>
          <w:sz w:val="22"/>
        </w:rPr>
        <w:t>：链下商品被非法挪用，同时链上仓单仍在流通。必须结合高强度保险、定期第三方盘库审计及法律责任追究。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流动性风险</w:t>
      </w:r>
      <w:r>
        <w:rPr>
          <w:rFonts w:eastAsia="等线" w:ascii="Arial" w:cs="Arial" w:hAnsi="Arial"/>
          <w:sz w:val="22"/>
        </w:rPr>
        <w:t>：大宗商品价格波动剧烈，动态质押模型可能在极端行情下无法及时平仓，造成穿仓损失。需要设置风险准备金池（由XTZH构成）。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第9条 合规要点</w:t>
      </w:r>
      <w:bookmarkEnd w:id="14"/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仓单的法律效力</w:t>
      </w:r>
      <w:r>
        <w:rPr>
          <w:rFonts w:eastAsia="等线" w:ascii="Arial" w:cs="Arial" w:hAnsi="Arial"/>
          <w:sz w:val="22"/>
        </w:rPr>
        <w:t>：链上数字仓单必须与符合当地《商品交易法》或《电子仓单法》的线下法律文件相映射，明确其可作为融资、交易的有效凭证。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物联网数据作为证据</w:t>
      </w:r>
      <w:r>
        <w:rPr>
          <w:rFonts w:eastAsia="等线" w:ascii="Arial" w:cs="Arial" w:hAnsi="Arial"/>
          <w:sz w:val="22"/>
        </w:rPr>
        <w:t>：与司法机构协作，确立经NAC认证的物联网预言机数据，在纠纷中可作为电子证据的采信标准。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结语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本指引构建了一个将大宗商品物理世界与NAC数字金融原生融合的蓝图。其成功依赖于</w:t>
      </w:r>
      <w:r>
        <w:rPr>
          <w:rFonts w:eastAsia="等线" w:ascii="Arial" w:cs="Arial" w:hAnsi="Arial"/>
          <w:b w:val="true"/>
          <w:sz w:val="22"/>
        </w:rPr>
        <w:t>物联网-区块链基础设施</w:t>
      </w:r>
      <w:r>
        <w:rPr>
          <w:rFonts w:eastAsia="等线" w:ascii="Arial" w:cs="Arial" w:hAnsi="Arial"/>
          <w:sz w:val="22"/>
        </w:rPr>
        <w:t xml:space="preserve"> 的完善与 </w:t>
      </w:r>
      <w:r>
        <w:rPr>
          <w:rFonts w:eastAsia="等线" w:ascii="Arial" w:cs="Arial" w:hAnsi="Arial"/>
          <w:b w:val="true"/>
          <w:sz w:val="22"/>
        </w:rPr>
        <w:t>跨学科（贸易、物流、金融、法律）</w:t>
      </w:r>
      <w:r>
        <w:rPr>
          <w:rFonts w:eastAsia="等线" w:ascii="Arial" w:cs="Arial" w:hAnsi="Arial"/>
          <w:sz w:val="22"/>
        </w:rPr>
        <w:t xml:space="preserve"> 的深度协作。</w:t>
      </w:r>
      <w:r>
        <w:rPr>
          <w:rFonts w:eastAsia="等线" w:ascii="Arial" w:cs="Arial" w:hAnsi="Arial"/>
          <w:b w:val="true"/>
          <w:sz w:val="22"/>
        </w:rPr>
        <w:t>建议的首个概念验证（PoC）</w:t>
      </w:r>
      <w:r>
        <w:rPr>
          <w:rFonts w:eastAsia="等线" w:ascii="Arial" w:cs="Arial" w:hAnsi="Arial"/>
          <w:sz w:val="22"/>
        </w:rPr>
        <w:t xml:space="preserve"> 应选择标准化程度高、仓储条件易于监控的商品（如保税仓库中的铝锭或玉米），在NAC测试网上实现从 </w:t>
      </w:r>
      <w:r>
        <w:rPr>
          <w:rFonts w:eastAsia="等线" w:ascii="Arial" w:cs="Arial" w:hAnsi="Arial"/>
          <w:b w:val="true"/>
          <w:sz w:val="22"/>
        </w:rPr>
        <w:t>“货物入库”</w:t>
      </w:r>
      <w:r>
        <w:rPr>
          <w:rFonts w:eastAsia="等线" w:ascii="Arial" w:cs="Arial" w:hAnsi="Arial"/>
          <w:sz w:val="22"/>
        </w:rPr>
        <w:t xml:space="preserve"> 到 </w:t>
      </w:r>
      <w:r>
        <w:rPr>
          <w:rFonts w:eastAsia="等线" w:ascii="Arial" w:cs="Arial" w:hAnsi="Arial"/>
          <w:b w:val="true"/>
          <w:sz w:val="22"/>
        </w:rPr>
        <w:t>“数据驱动的仓单质押”</w:t>
      </w:r>
      <w:r>
        <w:rPr>
          <w:rFonts w:eastAsia="等线" w:ascii="Arial" w:cs="Arial" w:hAnsi="Arial"/>
          <w:sz w:val="22"/>
        </w:rPr>
        <w:t xml:space="preserve"> 的完整闭环，并生成可审计的 </w:t>
      </w:r>
      <w:r>
        <w:rPr>
          <w:rFonts w:eastAsia="等线" w:ascii="Arial" w:cs="Arial" w:hAnsi="Arial"/>
          <w:b w:val="true"/>
          <w:sz w:val="22"/>
        </w:rPr>
        <w:t>全周期数据记录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指引制定方</w:t>
      </w:r>
      <w:r>
        <w:rPr>
          <w:rFonts w:eastAsia="等线" w:ascii="Arial" w:cs="Arial" w:hAnsi="Arial"/>
          <w:sz w:val="22"/>
        </w:rPr>
        <w:t>：NAC核心协议委员会 与 NAC物联网金融工作组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：V1.0 (大宗商品原生公链版)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547157">
    <w:lvl>
      <w:start w:val="1"/>
      <w:numFmt w:val="decimal"/>
      <w:suff w:val="tab"/>
      <w:lvlText w:val="%1."/>
      <w:rPr>
        <w:color w:val="3370ff"/>
      </w:rPr>
    </w:lvl>
  </w:abstractNum>
  <w:abstractNum w:abstractNumId="1547158">
    <w:lvl>
      <w:start w:val="2"/>
      <w:numFmt w:val="decimal"/>
      <w:suff w:val="tab"/>
      <w:lvlText w:val="%1."/>
      <w:rPr>
        <w:color w:val="3370ff"/>
      </w:rPr>
    </w:lvl>
  </w:abstractNum>
  <w:abstractNum w:abstractNumId="1547159">
    <w:lvl>
      <w:start w:val="3"/>
      <w:numFmt w:val="decimal"/>
      <w:suff w:val="tab"/>
      <w:lvlText w:val="%1."/>
      <w:rPr>
        <w:color w:val="3370ff"/>
      </w:rPr>
    </w:lvl>
  </w:abstractNum>
  <w:abstractNum w:abstractNumId="1547160">
    <w:lvl>
      <w:start w:val="4"/>
      <w:numFmt w:val="decimal"/>
      <w:suff w:val="tab"/>
      <w:lvlText w:val="%1."/>
      <w:rPr>
        <w:color w:val="3370ff"/>
      </w:rPr>
    </w:lvl>
  </w:abstractNum>
  <w:abstractNum w:abstractNumId="1547161">
    <w:lvl>
      <w:start w:val="1"/>
      <w:numFmt w:val="decimal"/>
      <w:suff w:val="tab"/>
      <w:lvlText w:val="%1."/>
      <w:rPr>
        <w:color w:val="3370ff"/>
      </w:rPr>
    </w:lvl>
  </w:abstractNum>
  <w:abstractNum w:abstractNumId="1547162">
    <w:lvl>
      <w:start w:val="2"/>
      <w:numFmt w:val="decimal"/>
      <w:suff w:val="tab"/>
      <w:lvlText w:val="%1."/>
      <w:rPr>
        <w:color w:val="3370ff"/>
      </w:rPr>
    </w:lvl>
  </w:abstractNum>
  <w:abstractNum w:abstractNumId="1547163">
    <w:lvl>
      <w:start w:val="3"/>
      <w:numFmt w:val="decimal"/>
      <w:suff w:val="tab"/>
      <w:lvlText w:val="%1."/>
      <w:rPr>
        <w:color w:val="3370ff"/>
      </w:rPr>
    </w:lvl>
  </w:abstractNum>
  <w:abstractNum w:abstractNumId="1547164">
    <w:lvl>
      <w:start w:val="4"/>
      <w:numFmt w:val="decimal"/>
      <w:suff w:val="tab"/>
      <w:lvlText w:val="%1."/>
      <w:rPr>
        <w:color w:val="3370ff"/>
      </w:rPr>
    </w:lvl>
  </w:abstractNum>
  <w:abstractNum w:abstractNumId="1547165">
    <w:lvl>
      <w:numFmt w:val="bullet"/>
      <w:suff w:val="tab"/>
      <w:lvlText w:val="•"/>
      <w:rPr>
        <w:color w:val="3370ff"/>
      </w:rPr>
    </w:lvl>
  </w:abstractNum>
  <w:abstractNum w:abstractNumId="1547166">
    <w:lvl>
      <w:numFmt w:val="bullet"/>
      <w:suff w:val="tab"/>
      <w:lvlText w:val="•"/>
      <w:rPr>
        <w:color w:val="3370ff"/>
      </w:rPr>
    </w:lvl>
  </w:abstractNum>
  <w:abstractNum w:abstractNumId="1547167">
    <w:lvl>
      <w:numFmt w:val="bullet"/>
      <w:suff w:val="tab"/>
      <w:lvlText w:val="•"/>
      <w:rPr>
        <w:color w:val="3370ff"/>
      </w:rPr>
    </w:lvl>
  </w:abstractNum>
  <w:abstractNum w:abstractNumId="1547168">
    <w:lvl>
      <w:start w:val="1"/>
      <w:numFmt w:val="decimal"/>
      <w:suff w:val="tab"/>
      <w:lvlText w:val="%1."/>
      <w:rPr>
        <w:color w:val="3370ff"/>
      </w:rPr>
    </w:lvl>
  </w:abstractNum>
  <w:abstractNum w:abstractNumId="1547169">
    <w:lvl>
      <w:numFmt w:val="bullet"/>
      <w:suff w:val="tab"/>
      <w:lvlText w:val="￮"/>
      <w:rPr>
        <w:color w:val="3370ff"/>
      </w:rPr>
    </w:lvl>
  </w:abstractNum>
  <w:abstractNum w:abstractNumId="1547170">
    <w:lvl>
      <w:numFmt w:val="bullet"/>
      <w:suff w:val="tab"/>
      <w:lvlText w:val="￮"/>
      <w:rPr>
        <w:color w:val="3370ff"/>
      </w:rPr>
    </w:lvl>
  </w:abstractNum>
  <w:abstractNum w:abstractNumId="1547171">
    <w:lvl>
      <w:start w:val="2"/>
      <w:numFmt w:val="decimal"/>
      <w:suff w:val="tab"/>
      <w:lvlText w:val="%1."/>
      <w:rPr>
        <w:color w:val="3370ff"/>
      </w:rPr>
    </w:lvl>
  </w:abstractNum>
  <w:abstractNum w:abstractNumId="1547172">
    <w:lvl>
      <w:numFmt w:val="bullet"/>
      <w:suff w:val="tab"/>
      <w:lvlText w:val="￮"/>
      <w:rPr>
        <w:color w:val="3370ff"/>
      </w:rPr>
    </w:lvl>
  </w:abstractNum>
  <w:abstractNum w:abstractNumId="1547173">
    <w:lvl>
      <w:numFmt w:val="bullet"/>
      <w:suff w:val="tab"/>
      <w:lvlText w:val="￮"/>
      <w:rPr>
        <w:color w:val="3370ff"/>
      </w:rPr>
    </w:lvl>
  </w:abstractNum>
  <w:abstractNum w:abstractNumId="1547174">
    <w:lvl>
      <w:numFmt w:val="bullet"/>
      <w:suff w:val="tab"/>
      <w:lvlText w:val="￮"/>
      <w:rPr>
        <w:color w:val="3370ff"/>
      </w:rPr>
    </w:lvl>
  </w:abstractNum>
  <w:abstractNum w:abstractNumId="1547175">
    <w:lvl>
      <w:start w:val="3"/>
      <w:numFmt w:val="decimal"/>
      <w:suff w:val="tab"/>
      <w:lvlText w:val="%1."/>
      <w:rPr>
        <w:color w:val="3370ff"/>
      </w:rPr>
    </w:lvl>
  </w:abstractNum>
  <w:abstractNum w:abstractNumId="1547176">
    <w:lvl>
      <w:numFmt w:val="bullet"/>
      <w:suff w:val="tab"/>
      <w:lvlText w:val="￮"/>
      <w:rPr>
        <w:color w:val="3370ff"/>
      </w:rPr>
    </w:lvl>
  </w:abstractNum>
  <w:abstractNum w:abstractNumId="1547177">
    <w:lvl>
      <w:numFmt w:val="bullet"/>
      <w:suff w:val="tab"/>
      <w:lvlText w:val="￮"/>
      <w:rPr>
        <w:color w:val="3370ff"/>
      </w:rPr>
    </w:lvl>
  </w:abstractNum>
  <w:abstractNum w:abstractNumId="1547178">
    <w:lvl>
      <w:numFmt w:val="bullet"/>
      <w:suff w:val="tab"/>
      <w:lvlText w:val="￮"/>
      <w:rPr>
        <w:color w:val="3370ff"/>
      </w:rPr>
    </w:lvl>
  </w:abstractNum>
  <w:abstractNum w:abstractNumId="1547179">
    <w:lvl>
      <w:start w:val="4"/>
      <w:numFmt w:val="decimal"/>
      <w:suff w:val="tab"/>
      <w:lvlText w:val="%1."/>
      <w:rPr>
        <w:color w:val="3370ff"/>
      </w:rPr>
    </w:lvl>
  </w:abstractNum>
  <w:abstractNum w:abstractNumId="1547180">
    <w:lvl>
      <w:numFmt w:val="bullet"/>
      <w:suff w:val="tab"/>
      <w:lvlText w:val="￮"/>
      <w:rPr>
        <w:color w:val="3370ff"/>
      </w:rPr>
    </w:lvl>
  </w:abstractNum>
  <w:abstractNum w:abstractNumId="1547181">
    <w:lvl>
      <w:numFmt w:val="bullet"/>
      <w:suff w:val="tab"/>
      <w:lvlText w:val="￮"/>
      <w:rPr>
        <w:color w:val="3370ff"/>
      </w:rPr>
    </w:lvl>
  </w:abstractNum>
  <w:abstractNum w:abstractNumId="1547182">
    <w:lvl>
      <w:start w:val="5"/>
      <w:numFmt w:val="decimal"/>
      <w:suff w:val="tab"/>
      <w:lvlText w:val="%1."/>
      <w:rPr>
        <w:color w:val="3370ff"/>
      </w:rPr>
    </w:lvl>
  </w:abstractNum>
  <w:abstractNum w:abstractNumId="1547183">
    <w:lvl>
      <w:numFmt w:val="bullet"/>
      <w:suff w:val="tab"/>
      <w:lvlText w:val="￮"/>
      <w:rPr>
        <w:color w:val="3370ff"/>
      </w:rPr>
    </w:lvl>
  </w:abstractNum>
  <w:abstractNum w:abstractNumId="1547184">
    <w:lvl>
      <w:numFmt w:val="bullet"/>
      <w:suff w:val="tab"/>
      <w:lvlText w:val="￮"/>
      <w:rPr>
        <w:color w:val="3370ff"/>
      </w:rPr>
    </w:lvl>
  </w:abstractNum>
  <w:abstractNum w:abstractNumId="1547185">
    <w:lvl>
      <w:start w:val="1"/>
      <w:numFmt w:val="decimal"/>
      <w:suff w:val="tab"/>
      <w:lvlText w:val="%1."/>
      <w:rPr>
        <w:color w:val="3370ff"/>
      </w:rPr>
    </w:lvl>
  </w:abstractNum>
  <w:abstractNum w:abstractNumId="1547186">
    <w:lvl>
      <w:start w:val="2"/>
      <w:numFmt w:val="decimal"/>
      <w:suff w:val="tab"/>
      <w:lvlText w:val="%1."/>
      <w:rPr>
        <w:color w:val="3370ff"/>
      </w:rPr>
    </w:lvl>
  </w:abstractNum>
  <w:abstractNum w:abstractNumId="1547187">
    <w:lvl>
      <w:start w:val="1"/>
      <w:numFmt w:val="decimal"/>
      <w:suff w:val="tab"/>
      <w:lvlText w:val="%1."/>
      <w:rPr>
        <w:color w:val="3370ff"/>
      </w:rPr>
    </w:lvl>
  </w:abstractNum>
  <w:abstractNum w:abstractNumId="1547188">
    <w:lvl>
      <w:start w:val="2"/>
      <w:numFmt w:val="decimal"/>
      <w:suff w:val="tab"/>
      <w:lvlText w:val="%1."/>
      <w:rPr>
        <w:color w:val="3370ff"/>
      </w:rPr>
    </w:lvl>
  </w:abstractNum>
  <w:abstractNum w:abstractNumId="1547189">
    <w:lvl>
      <w:start w:val="3"/>
      <w:numFmt w:val="decimal"/>
      <w:suff w:val="tab"/>
      <w:lvlText w:val="%1."/>
      <w:rPr>
        <w:color w:val="3370ff"/>
      </w:rPr>
    </w:lvl>
  </w:abstractNum>
  <w:abstractNum w:abstractNumId="1547190">
    <w:lvl>
      <w:numFmt w:val="bullet"/>
      <w:suff w:val="tab"/>
      <w:lvlText w:val="•"/>
      <w:rPr>
        <w:color w:val="3370ff"/>
      </w:rPr>
    </w:lvl>
  </w:abstractNum>
  <w:abstractNum w:abstractNumId="1547191">
    <w:lvl>
      <w:numFmt w:val="bullet"/>
      <w:suff w:val="tab"/>
      <w:lvlText w:val="•"/>
      <w:rPr>
        <w:color w:val="3370ff"/>
      </w:rPr>
    </w:lvl>
  </w:abstractNum>
  <w:num w:numId="1">
    <w:abstractNumId w:val="1547157"/>
  </w:num>
  <w:num w:numId="2">
    <w:abstractNumId w:val="1547158"/>
  </w:num>
  <w:num w:numId="3">
    <w:abstractNumId w:val="1547159"/>
  </w:num>
  <w:num w:numId="4">
    <w:abstractNumId w:val="1547160"/>
  </w:num>
  <w:num w:numId="5">
    <w:abstractNumId w:val="1547161"/>
  </w:num>
  <w:num w:numId="6">
    <w:abstractNumId w:val="1547162"/>
  </w:num>
  <w:num w:numId="7">
    <w:abstractNumId w:val="1547163"/>
  </w:num>
  <w:num w:numId="8">
    <w:abstractNumId w:val="1547164"/>
  </w:num>
  <w:num w:numId="9">
    <w:abstractNumId w:val="1547165"/>
  </w:num>
  <w:num w:numId="10">
    <w:abstractNumId w:val="1547166"/>
  </w:num>
  <w:num w:numId="11">
    <w:abstractNumId w:val="1547167"/>
  </w:num>
  <w:num w:numId="12">
    <w:abstractNumId w:val="1547168"/>
  </w:num>
  <w:num w:numId="13">
    <w:abstractNumId w:val="1547169"/>
  </w:num>
  <w:num w:numId="14">
    <w:abstractNumId w:val="1547170"/>
  </w:num>
  <w:num w:numId="15">
    <w:abstractNumId w:val="1547171"/>
  </w:num>
  <w:num w:numId="16">
    <w:abstractNumId w:val="1547172"/>
  </w:num>
  <w:num w:numId="17">
    <w:abstractNumId w:val="1547173"/>
  </w:num>
  <w:num w:numId="18">
    <w:abstractNumId w:val="1547174"/>
  </w:num>
  <w:num w:numId="19">
    <w:abstractNumId w:val="1547175"/>
  </w:num>
  <w:num w:numId="20">
    <w:abstractNumId w:val="1547176"/>
  </w:num>
  <w:num w:numId="21">
    <w:abstractNumId w:val="1547177"/>
  </w:num>
  <w:num w:numId="22">
    <w:abstractNumId w:val="1547178"/>
  </w:num>
  <w:num w:numId="23">
    <w:abstractNumId w:val="1547179"/>
  </w:num>
  <w:num w:numId="24">
    <w:abstractNumId w:val="1547180"/>
  </w:num>
  <w:num w:numId="25">
    <w:abstractNumId w:val="1547181"/>
  </w:num>
  <w:num w:numId="26">
    <w:abstractNumId w:val="1547182"/>
  </w:num>
  <w:num w:numId="27">
    <w:abstractNumId w:val="1547183"/>
  </w:num>
  <w:num w:numId="28">
    <w:abstractNumId w:val="1547184"/>
  </w:num>
  <w:num w:numId="29">
    <w:abstractNumId w:val="1547185"/>
  </w:num>
  <w:num w:numId="30">
    <w:abstractNumId w:val="1547186"/>
  </w:num>
  <w:num w:numId="31">
    <w:abstractNumId w:val="1547187"/>
  </w:num>
  <w:num w:numId="32">
    <w:abstractNumId w:val="1547188"/>
  </w:num>
  <w:num w:numId="33">
    <w:abstractNumId w:val="1547189"/>
  </w:num>
  <w:num w:numId="34">
    <w:abstractNumId w:val="1547190"/>
  </w:num>
  <w:num w:numId="35">
    <w:abstractNumId w:val="1547191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2026-02-02T14:43:35Z</dcterms:created>
  <dc:creator>Apache POI</dc:creator>
</cp:coreProperties>
</file>