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宪政区块生产协议（CBPP）技术白皮书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——基于“宪法即共识”的下一代RWA公链核心架构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摘要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本白皮书阐述宪政区块生产协议（Constitutional Block Production Protocol, CBPP），一种在绝对规则框架下实现完全去中心化区块生产的新型共识范式。CBPP 将 NAC 公链现有的“规则即共识”理念工程化为可执行协议，通过</w:t>
      </w:r>
      <w:r>
        <w:rPr>
          <w:rFonts w:eastAsia="等线" w:ascii="Arial" w:cs="Arial" w:hAnsi="Arial"/>
          <w:b w:val="true"/>
          <w:sz w:val="22"/>
        </w:rPr>
        <w:t>宪法收据机制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开放生产节点网络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流体区块模型</w:t>
      </w:r>
      <w:r>
        <w:rPr>
          <w:rFonts w:eastAsia="等线" w:ascii="Arial" w:cs="Arial" w:hAnsi="Arial"/>
          <w:sz w:val="22"/>
        </w:rPr>
        <w:t>，实现“节点产生区块，参与即是共识，交易扩张区块大小和高度”的愿景。本协议在保持 NAC 公链现有 RWA 资产标准、XTZH 双重背书、黄金储备等核心优势的前提下，彻底重构其共识层，达成抗审查、高吞吐、合规内置且真正去中心化的目标。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第一章：设计哲学与核心创新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从“共识达成”到“规则服从”的范式迁移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传统区块链的共识机制（PoW, PoS, BFT等）核心在于</w:t>
      </w:r>
      <w:r>
        <w:rPr>
          <w:rFonts w:eastAsia="等线" w:ascii="Arial" w:cs="Arial" w:hAnsi="Arial"/>
          <w:b w:val="true"/>
          <w:sz w:val="22"/>
        </w:rPr>
        <w:t>让分布式节点对“什么是下一个有效区块”达成一致</w:t>
      </w:r>
      <w:r>
        <w:rPr>
          <w:rFonts w:eastAsia="等线" w:ascii="Arial" w:cs="Arial" w:hAnsi="Arial"/>
          <w:sz w:val="22"/>
        </w:rPr>
        <w:t>。这是一个协商与博弈的过程。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CBPP 的核心创新在于将共识问题转化为</w:t>
      </w:r>
      <w:r>
        <w:rPr>
          <w:rFonts w:eastAsia="等线" w:ascii="Arial" w:cs="Arial" w:hAnsi="Arial"/>
          <w:b w:val="true"/>
          <w:sz w:val="22"/>
        </w:rPr>
        <w:t>规则验证问题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最高规则（宪法）预先确定且不可违逆</w:t>
      </w:r>
      <w:r>
        <w:rPr>
          <w:rFonts w:eastAsia="等线" w:ascii="Arial" w:cs="Arial" w:hAnsi="Arial"/>
          <w:sz w:val="22"/>
        </w:rPr>
        <w:t>：所有关于交易有效性、区块结构、网络行为的规则，由 L2 宪法层通过严谨的民主程序产生，并固化为 L1 的确定性代码。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共识是服从规则的自然结果</w:t>
      </w:r>
      <w:r>
        <w:rPr>
          <w:rFonts w:eastAsia="等线" w:ascii="Arial" w:cs="Arial" w:hAnsi="Arial"/>
          <w:sz w:val="22"/>
        </w:rPr>
        <w:t>：任何节点，只要其行为（打包交易、生成区块、传播数据）严格符合宪法规则，就自动成为网络共识的一部分。</w:t>
      </w:r>
      <w:r>
        <w:rPr>
          <w:rFonts w:eastAsia="等线" w:ascii="Arial" w:cs="Arial" w:hAnsi="Arial"/>
          <w:b w:val="true"/>
          <w:sz w:val="22"/>
        </w:rPr>
        <w:t>节点间无需就“谁对谁错”进行投票，只需独立验证“是否合规”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生产权与验证权合一</w:t>
      </w:r>
      <w:r>
        <w:rPr>
          <w:rFonts w:eastAsia="等线" w:ascii="Arial" w:cs="Arial" w:hAnsi="Arial"/>
          <w:sz w:val="22"/>
        </w:rPr>
        <w:t>：传统架构中，矿工/验证者生产区块，全节点验证区块。在 CBPP 中，</w:t>
      </w:r>
      <w:r>
        <w:rPr>
          <w:rFonts w:eastAsia="等线" w:ascii="Arial" w:cs="Arial" w:hAnsi="Arial"/>
          <w:b w:val="true"/>
          <w:sz w:val="22"/>
        </w:rPr>
        <w:t>每一个全节点都是潜在的生产者</w:t>
      </w:r>
      <w:r>
        <w:rPr>
          <w:rFonts w:eastAsia="等线" w:ascii="Arial" w:cs="Arial" w:hAnsi="Arial"/>
          <w:sz w:val="22"/>
        </w:rPr>
        <w:t>。其生产区块的权利，来源于其严格遵循规则的行为本身。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三大核心技术支柱</w:t>
      </w:r>
      <w:bookmarkEnd w:id="3"/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宪法收据（Constitutional Receipt, CR）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：任何试图改变链状态的操作（交易），必须首先获得一个由“宪法执行引擎”签发的数字凭证，证明该操作已通过宪法所有相关条款的校验。</w:t>
      </w:r>
    </w:p>
    <w:p>
      <w:pPr>
        <w:numPr>
          <w:numId w:val="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作用</w:t>
      </w:r>
      <w:r>
        <w:rPr>
          <w:rFonts w:eastAsia="等线" w:ascii="Arial" w:cs="Arial" w:hAnsi="Arial"/>
          <w:sz w:val="22"/>
        </w:rPr>
        <w:t>：将链下复杂的合规、估值、审批流程的结果，转化为链上可快速验证的、标准化的“合法性证明”。它是交易进入区块链世界的</w:t>
      </w:r>
      <w:r>
        <w:rPr>
          <w:rFonts w:eastAsia="等线" w:ascii="Arial" w:cs="Arial" w:hAnsi="Arial"/>
          <w:b w:val="true"/>
          <w:sz w:val="22"/>
        </w:rPr>
        <w:t>唯一门票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开放生产网络（Open Production Network, OPN）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：任何满足最低技术要求（硬件、带宽）并完成身份绑定（DID+KYC）的节点，均可注册成为“宪法区块生产者”（Constitutional Block Producer, CBP）。</w:t>
      </w:r>
    </w:p>
    <w:p>
      <w:pPr>
        <w:numPr>
          <w:numId w:val="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机制</w:t>
      </w:r>
      <w:r>
        <w:rPr>
          <w:rFonts w:eastAsia="等线" w:ascii="Arial" w:cs="Arial" w:hAnsi="Arial"/>
          <w:sz w:val="22"/>
        </w:rPr>
        <w:t>：CBP 无需质押代币，其权力来源于对规则的掌握与执行。网络通过</w:t>
      </w:r>
      <w:r>
        <w:rPr>
          <w:rFonts w:eastAsia="等线" w:ascii="Arial" w:cs="Arial" w:hAnsi="Arial"/>
          <w:b w:val="true"/>
          <w:sz w:val="22"/>
        </w:rPr>
        <w:t>基于收据验证的 Gossip 协议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经济激励机制</w:t>
      </w:r>
      <w:r>
        <w:rPr>
          <w:rFonts w:eastAsia="等线" w:ascii="Arial" w:cs="Arial" w:hAnsi="Arial"/>
          <w:sz w:val="22"/>
        </w:rPr>
        <w:t>，确保诚实节点主导网络。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流体区块模型（Fluid Block Model, FBM）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定义</w:t>
      </w:r>
      <w:r>
        <w:rPr>
          <w:rFonts w:eastAsia="等线" w:ascii="Arial" w:cs="Arial" w:hAnsi="Arial"/>
          <w:sz w:val="22"/>
        </w:rPr>
        <w:t>：摒弃固定大小和固定间隔的区块。区块作为交易的</w:t>
      </w:r>
      <w:r>
        <w:rPr>
          <w:rFonts w:eastAsia="等线" w:ascii="Arial" w:cs="Arial" w:hAnsi="Arial"/>
          <w:b w:val="true"/>
          <w:sz w:val="22"/>
        </w:rPr>
        <w:t>自然容器</w:t>
      </w:r>
      <w:r>
        <w:rPr>
          <w:rFonts w:eastAsia="等线" w:ascii="Arial" w:cs="Arial" w:hAnsi="Arial"/>
          <w:sz w:val="22"/>
        </w:rPr>
        <w:t>，其容量和生成频率由实时网络交易负载动态决定。</w:t>
      </w:r>
    </w:p>
    <w:p>
      <w:pPr>
        <w:numPr>
          <w:numId w:val="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实现</w:t>
      </w:r>
      <w:r>
        <w:rPr>
          <w:rFonts w:eastAsia="等线" w:ascii="Arial" w:cs="Arial" w:hAnsi="Arial"/>
          <w:sz w:val="22"/>
        </w:rPr>
        <w:t>：通过“软上限动态调整”和“交易驱动出块”算法，使网络吞吐量能够平滑地随需求扩张，同时在低负载时保持低能耗。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第二章：协议架构总览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系统层级架构</w:t>
      </w:r>
      <w:bookmarkEnd w:id="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┌─────────────────────────────────────────────────────────────┐</w:t>
              <w:br/>
              <w:t>│                    L2: 宪法治理层 (Governance)              │</w:t>
              <w:br/>
              <w:t>│  · XIC持有者提案与投票  · 宪法条款修订  · 紧急仲裁        │</w:t>
              <w:br/>
              <w:t>└───────────────────────────┬──────────────────────────────────┘</w:t>
              <w:br/>
              <w:t xml:space="preserve">                            │ (宪法哈希同步)</w:t>
              <w:br/>
              <w:t>┌───────────────────────────▼──────────────────────────────────┐</w:t>
              <w:br/>
              <w:t>│                    L1: 宪法协议层 (Protocol)                │</w:t>
              <w:br/>
              <w:t>│  ├─ 宪法执行引擎 (CEE) -- 签发宪法收据 (CR)                │</w:t>
              <w:br/>
              <w:t>│  ├─ 宪政区块生产协议 (CBPP) 核心逻辑                        │</w:t>
              <w:br/>
              <w:t>│  │   ├─ 开放生产网络 (OPN) 节点管理                        │</w:t>
              <w:br/>
              <w:t>│  │   ├─ 流体区块模型 (FBM) 动态调整器                      │</w:t>
              <w:br/>
              <w:t>│  │   └─ 收据验证Gossip协议 (RVGP)                          │</w:t>
              <w:br/>
              <w:t>│  └─ ACC-20/ACC-20C 等原生资产协议 (保持不变，受宪法约束)    │</w:t>
              <w:br/>
              <w:t>└───────────────────────────┬──────────────────────────────────┘</w:t>
              <w:br/>
              <w:t xml:space="preserve">                            │ (P2P网络传输)</w:t>
              <w:br/>
              <w:t>┌───────────────────────────▼──────────────────────────────────┐</w:t>
              <w:br/>
              <w:t>│                网络层: P2P网络与数据传播                     │</w:t>
              <w:br/>
              <w:t>│  · 基于Libp2p  · 交易/区块传播  · 节点发现与评分            │</w:t>
              <w:br/>
            </w:r>
            <w:r>
              <w:rPr>
                <w:rFonts w:eastAsia="Consolas" w:ascii="Consolas" w:cs="Consolas" w:hAnsi="Consolas"/>
                <w:sz w:val="22"/>
              </w:rPr>
              <w:t>└─────────────────────────────────────────────────────────────┘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6" w:id="6"/>
      <w:r>
        <w:rPr>
          <w:rFonts w:eastAsia="等线" w:ascii="Arial" w:cs="Arial" w:hAnsi="Arial"/>
          <w:b w:val="true"/>
          <w:sz w:val="32"/>
        </w:rPr>
        <w:t>2.2 核心工作流</w:t>
      </w:r>
      <w:bookmarkEnd w:id="6"/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交易生命周期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用户发起交易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宪法执行引擎(CEE)校验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获得宪法收据(CR)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广播带CR的交易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CBP节点收集验证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打包入流体区块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网络传播与收敛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区块生命周期</w:t>
      </w:r>
      <w:r>
        <w:rPr>
          <w:rFonts w:eastAsia="等线" w:ascii="Arial" w:cs="Arial" w:hAnsi="Arial"/>
          <w:sz w:val="22"/>
        </w:rPr>
        <w:t>：</w:t>
        <w:br/>
        <w:t xml:space="preserve">       </w:t>
      </w:r>
      <w:r>
        <w:rPr>
          <w:rFonts w:eastAsia="Consolas" w:ascii="Consolas" w:cs="Consolas" w:hAnsi="Consolas"/>
          <w:sz w:val="22"/>
          <w:shd w:fill="EFF0F1"/>
        </w:rPr>
        <w:t>CBP节点监听有效交易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满足出块条件时打包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生成并签名区块</w:t>
      </w:r>
      <w:r>
        <w:rPr>
          <w:rFonts w:eastAsia="等线" w:ascii="Arial" w:cs="Arial" w:hAnsi="Arial"/>
          <w:sz w:val="22"/>
        </w:rPr>
        <w:t xml:space="preserve"> →</w:t>
      </w:r>
      <w:r>
        <w:rPr>
          <w:rFonts w:eastAsia="Consolas" w:ascii="Consolas" w:cs="Consolas" w:hAnsi="Consolas"/>
          <w:sz w:val="22"/>
          <w:shd w:fill="EFF0F1"/>
        </w:rPr>
        <w:t>广播区块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其他节点验证收据与规则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接受并传播/拒绝</w:t>
      </w:r>
      <w:r>
        <w:rPr>
          <w:rFonts w:eastAsia="等线" w:ascii="Arial" w:cs="Arial" w:hAnsi="Arial"/>
          <w:sz w:val="22"/>
        </w:rPr>
        <w:t xml:space="preserve"> → </w:t>
      </w:r>
      <w:r>
        <w:rPr>
          <w:rFonts w:eastAsia="Consolas" w:ascii="Consolas" w:cs="Consolas" w:hAnsi="Consolas"/>
          <w:sz w:val="22"/>
          <w:shd w:fill="EFF0F1"/>
        </w:rPr>
        <w:t>链状态更新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7" w:id="7"/>
      <w:r>
        <w:rPr>
          <w:rFonts w:eastAsia="等线" w:ascii="Arial" w:cs="Arial" w:hAnsi="Arial"/>
          <w:b w:val="true"/>
          <w:sz w:val="36"/>
        </w:rPr>
        <w:t>第三章：宪法收据（CR）协议详解</w:t>
      </w:r>
      <w:bookmarkEnd w:id="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3.1 宪法收据数据结构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ConstitutionalReceipt {</w:t>
              <w:br/>
              <w:t xml:space="preserve">    bytes32 transaction_hash;      // 对应交易的哈希</w:t>
              <w:br/>
              <w:t xml:space="preserve">    bytes32 constitutional_hash;   // 当前宪法版本哈希</w:t>
              <w:br/>
              <w:t xml:space="preserve">    uint64 clause_index;          // 触发的主要宪法条款索引</w:t>
              <w:br/>
              <w:t xml:space="preserve">    bytes32 execution_result_hash; // AI引擎执行结果（估值、合规评分等）的Merkle根</w:t>
              <w:br/>
              <w:t xml:space="preserve">    uint64 timestamp;             // 收据生成时间</w:t>
              <w:br/>
              <w:t xml:space="preserve">    uint64 validity_window;       // 收据有效期（如120个区块高度）</w:t>
              <w:br/>
              <w:t xml:space="preserve">    bytes validator_signature;    // 宪法执行引擎（或指定验证组）的签名</w:t>
              <w:br/>
              <w:t xml:space="preserve">    bytes32 receipt_id;           // ReceiptID = Hash(上述所有字段)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关键特性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宪法绑定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constitutional_hash</w:t>
      </w:r>
      <w:r>
        <w:rPr>
          <w:rFonts w:eastAsia="等线" w:ascii="Arial" w:cs="Arial" w:hAnsi="Arial"/>
          <w:sz w:val="22"/>
        </w:rPr>
        <w:t>确保收据只在特定宪法版本下有效。宪法升级后，旧收据自动失效。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结果可验证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execution_result_hash</w:t>
      </w:r>
      <w:r>
        <w:rPr>
          <w:rFonts w:eastAsia="等线" w:ascii="Arial" w:cs="Arial" w:hAnsi="Arial"/>
          <w:sz w:val="22"/>
        </w:rPr>
        <w:t>允许在不泄露细节（如具体估值报告）的情况下，验证AI校验结果的存在性与一致性。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时效性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validity_window</w:t>
      </w:r>
      <w:r>
        <w:rPr>
          <w:rFonts w:eastAsia="等线" w:ascii="Arial" w:cs="Arial" w:hAnsi="Arial"/>
          <w:sz w:val="22"/>
        </w:rPr>
        <w:t>防止交易被无限期延迟打包，确保市场条件与估值的一致性。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3.2 宪法执行引擎（CEE）设计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CEE是链下或链上可信环境，负责执行宪法中定义的复杂校验逻辑（AI估值、合规审查、审批流程）。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多实例部署</w:t>
      </w:r>
      <w:r>
        <w:rPr>
          <w:rFonts w:eastAsia="等线" w:ascii="Arial" w:cs="Arial" w:hAnsi="Arial"/>
          <w:sz w:val="22"/>
        </w:rPr>
        <w:t>：为防止单点故障/腐败，部署至少3个地理分散的CEE实例。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确定性输出</w:t>
      </w:r>
      <w:r>
        <w:rPr>
          <w:rFonts w:eastAsia="等线" w:ascii="Arial" w:cs="Arial" w:hAnsi="Arial"/>
          <w:sz w:val="22"/>
        </w:rPr>
        <w:t>：对于同一笔交易输入，所有CEE实例必须输出完全相同的</w:t>
      </w:r>
      <w:r>
        <w:rPr>
          <w:rFonts w:eastAsia="Consolas" w:ascii="Consolas" w:cs="Consolas" w:hAnsi="Consolas"/>
          <w:sz w:val="22"/>
          <w:shd w:fill="EFF0F1"/>
        </w:rPr>
        <w:t>execution_result_hash</w:t>
      </w:r>
      <w:r>
        <w:rPr>
          <w:rFonts w:eastAsia="等线" w:ascii="Arial" w:cs="Arial" w:hAnsi="Arial"/>
          <w:sz w:val="22"/>
        </w:rPr>
        <w:t>。这通过使用相同的AI模型、规则脚本和随机种子保证。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签发收据</w:t>
      </w:r>
      <w:r>
        <w:rPr>
          <w:rFonts w:eastAsia="等线" w:ascii="Arial" w:cs="Arial" w:hAnsi="Arial"/>
          <w:sz w:val="22"/>
        </w:rPr>
        <w:t>：任意一个CEE实例均可签发有效CR。节点只需验证签名是否来自白名单中的CEE公钥。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0" w:id="10"/>
      <w:r>
        <w:rPr>
          <w:rFonts w:eastAsia="等线" w:ascii="Arial" w:cs="Arial" w:hAnsi="Arial"/>
          <w:b w:val="true"/>
          <w:sz w:val="32"/>
        </w:rPr>
        <w:t>3.3 收据验证与缓存</w:t>
      </w:r>
      <w:bookmarkEnd w:id="10"/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全节点维护一个 </w:t>
      </w:r>
      <w:r>
        <w:rPr>
          <w:rFonts w:eastAsia="等线" w:ascii="Arial" w:cs="Arial" w:hAnsi="Arial"/>
          <w:b w:val="true"/>
          <w:sz w:val="22"/>
        </w:rPr>
        <w:t>“有效收据缓存”</w:t>
      </w:r>
      <w:r>
        <w:rPr>
          <w:rFonts w:eastAsia="等线" w:ascii="Arial" w:cs="Arial" w:hAnsi="Arial"/>
          <w:sz w:val="22"/>
        </w:rPr>
        <w:t xml:space="preserve"> 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验证一个CR时，检查：</w:t>
        <w:br/>
        <w:t xml:space="preserve">        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签名有效性（来自有效CEE）。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constitutional_hash</w:t>
      </w:r>
      <w:r>
        <w:rPr>
          <w:rFonts w:eastAsia="等线" w:ascii="Arial" w:cs="Arial" w:hAnsi="Arial"/>
          <w:sz w:val="22"/>
        </w:rPr>
        <w:t>是否与本地同步的最高宪法哈希一致。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timestamp</w:t>
      </w:r>
      <w:r>
        <w:rPr>
          <w:rFonts w:eastAsia="等线" w:ascii="Arial" w:cs="Arial" w:hAnsi="Arial"/>
          <w:sz w:val="22"/>
        </w:rPr>
        <w:t>是否在有效窗口内。</w:t>
      </w:r>
    </w:p>
    <w:p>
      <w:pPr>
        <w:numPr>
          <w:numId w:val="2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对应的交易尚未被最终确认。</w:t>
      </w:r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验证通过后，交易进入节点的“待打包交易池”。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1" w:id="11"/>
      <w:r>
        <w:rPr>
          <w:rFonts w:eastAsia="等线" w:ascii="Arial" w:cs="Arial" w:hAnsi="Arial"/>
          <w:b w:val="true"/>
          <w:sz w:val="36"/>
        </w:rPr>
        <w:t>第四章：开放生产网络（OPN）与节点角色</w:t>
      </w:r>
      <w:bookmarkEnd w:id="1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>4.1 节点类型与资格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节点类型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资格要求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核心职责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激励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宪法区块生产者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 注册DID并完成</w:t>
            </w:r>
            <w:r>
              <w:rPr>
                <w:rFonts w:eastAsia="等线" w:ascii="Arial" w:cs="Arial" w:hAnsi="Arial"/>
                <w:sz w:val="22"/>
              </w:rPr>
              <w:t>KYC L2+</w:t>
            </w:r>
            <w:r>
              <w:rPr>
                <w:rFonts w:eastAsia="等线" w:ascii="Arial" w:cs="Arial" w:hAnsi="Arial"/>
                <w:sz w:val="22"/>
              </w:rPr>
              <w:t>2. 满足硬件带宽基准</w:t>
            </w:r>
            <w:r>
              <w:rPr>
                <w:rFonts w:eastAsia="等线" w:ascii="Arial" w:cs="Arial" w:hAnsi="Arial"/>
                <w:sz w:val="22"/>
              </w:rPr>
              <w:t>3. 通过宪法知识测试</w:t>
            </w:r>
            <w:r>
              <w:rPr>
                <w:rFonts w:eastAsia="等线" w:ascii="Arial" w:cs="Arial" w:hAnsi="Arial"/>
                <w:sz w:val="22"/>
              </w:rPr>
              <w:t>（链上答题）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</w:t>
            </w:r>
            <w:r>
              <w:rPr>
                <w:rFonts w:eastAsia="等线" w:ascii="Arial" w:cs="Arial" w:hAnsi="Arial"/>
                <w:sz w:val="22"/>
              </w:rPr>
              <w:t>. 验证并打包带CR的交易</w:t>
            </w:r>
            <w:r>
              <w:rPr>
                <w:rFonts w:eastAsia="等线" w:ascii="Arial" w:cs="Arial" w:hAnsi="Arial"/>
                <w:sz w:val="22"/>
              </w:rPr>
              <w:t>2. 生成并签名合规区块</w:t>
            </w:r>
            <w:r>
              <w:rPr>
                <w:rFonts w:eastAsia="等线" w:ascii="Arial" w:cs="Arial" w:hAnsi="Arial"/>
                <w:sz w:val="22"/>
              </w:rPr>
              <w:t>3. 传播区块与交易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出块奖励 + 交易费 (XIC)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全验证节点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  <w:r>
              <w:rPr>
                <w:rFonts w:eastAsia="等线" w:ascii="Arial" w:cs="Arial" w:hAnsi="Arial"/>
                <w:sz w:val="22"/>
              </w:rPr>
              <w:t>身份要求，可匿名运行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 同步并验证全链数据</w:t>
            </w:r>
            <w:r>
              <w:rPr>
                <w:rFonts w:eastAsia="等线" w:ascii="Arial" w:cs="Arial" w:hAnsi="Arial"/>
                <w:sz w:val="22"/>
              </w:rPr>
              <w:t>2. 验证区块和交易的CR</w:t>
            </w:r>
            <w:r>
              <w:rPr>
                <w:rFonts w:eastAsia="等线" w:ascii="Arial" w:cs="Arial" w:hAnsi="Arial"/>
                <w:sz w:val="22"/>
              </w:rPr>
              <w:t>3.</w:t>
            </w:r>
            <w:r>
              <w:rPr>
                <w:rFonts w:eastAsia="等线" w:ascii="Arial" w:cs="Arial" w:hAnsi="Arial"/>
                <w:sz w:val="22"/>
              </w:rPr>
              <w:t xml:space="preserve"> 传播数据，监督CBP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无（维护网络健康与安全）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宪法执行引擎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由治理委员会授权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 执行宪法条款</w:t>
            </w:r>
            <w:r>
              <w:rPr>
                <w:rFonts w:eastAsia="等线" w:ascii="Arial" w:cs="Arial" w:hAnsi="Arial"/>
                <w:sz w:val="22"/>
              </w:rPr>
              <w:t>2. 签发宪法收据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服务费 (XIC)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CBP注册流程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节点运营商用其DID发起注册交易。</w:t>
      </w:r>
    </w:p>
    <w:p>
      <w:pPr>
        <w:numPr>
          <w:numId w:val="2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抵押少量XIC（如100 XIC）作为</w:t>
      </w:r>
      <w:r>
        <w:rPr>
          <w:rFonts w:eastAsia="等线" w:ascii="Arial" w:cs="Arial" w:hAnsi="Arial"/>
          <w:b w:val="true"/>
          <w:sz w:val="22"/>
        </w:rPr>
        <w:t>注册保证金</w:t>
      </w:r>
      <w:r>
        <w:rPr>
          <w:rFonts w:eastAsia="等线" w:ascii="Arial" w:cs="Arial" w:hAnsi="Arial"/>
          <w:sz w:val="22"/>
        </w:rPr>
        <w:t>（可退还，主要用于防女巫攻击）。</w:t>
      </w:r>
    </w:p>
    <w:p>
      <w:pPr>
        <w:numPr>
          <w:numId w:val="3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完成一个包含宪法核心条款的链上测试（确保理解规则）。</w:t>
      </w:r>
    </w:p>
    <w:p>
      <w:pPr>
        <w:numPr>
          <w:numId w:val="3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注册成功，公钥加入“活跃CBP列表”。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3" w:id="13"/>
      <w:r>
        <w:rPr>
          <w:rFonts w:eastAsia="等线" w:ascii="Arial" w:cs="Arial" w:hAnsi="Arial"/>
          <w:b w:val="true"/>
          <w:sz w:val="32"/>
        </w:rPr>
        <w:t>4.2 区块生产流程算法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每个CBP节点循环执行以下算法：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def block_production_loop(cbp_node):</w:t>
              <w:br/>
              <w:t xml:space="preserve">    while True:</w:t>
              <w:br/>
              <w:t xml:space="preserve">        # 1. 收集与验证</w:t>
              <w:br/>
              <w:t xml:space="preserve">        valid_txs = []</w:t>
              <w:br/>
              <w:t xml:space="preserve">        for tx in mempool.get_transactions_with_cr():</w:t>
              <w:br/>
              <w:t xml:space="preserve">            if verify_cr(tx.cr) and tx not in confirmed_blocks:</w:t>
              <w:br/>
              <w:t xml:space="preserve">                valid_txs.append(tx)</w:t>
              <w:br/>
              <w:t xml:space="preserve">        </w:t>
              <w:br/>
              <w:t xml:space="preserve">        # 2. 检查出块条件</w:t>
              <w:br/>
              <w:t xml:space="preserve">        if not should_produce_block(valid_txs):</w:t>
              <w:br/>
              <w:t xml:space="preserve">            sleep(SHORT_INTERVAL)</w:t>
              <w:br/>
              <w:t xml:space="preserve">            continue</w:t>
              <w:br/>
              <w:t xml:space="preserve">        </w:t>
              <w:br/>
              <w:t xml:space="preserve">        # 3. 构建区块</w:t>
              <w:br/>
              <w:t xml:space="preserve">        candidate_block = build_candidate_block(valid_txs)</w:t>
              <w:br/>
              <w:t xml:space="preserve">        </w:t>
              <w:br/>
              <w:t xml:space="preserve">        # 4. 签名与广播</w:t>
              <w:br/>
              <w:t xml:space="preserve">        candidate_block.signature = sign(cbp_node.private_key, candidate_block.header)</w:t>
              <w:br/>
              <w:t xml:space="preserve">        broadcast_block(candidate_block)</w:t>
              <w:br/>
              <w:t xml:space="preserve">        </w:t>
              <w:br/>
              <w:t xml:space="preserve">        # 5. 等待并处理竞争</w:t>
              <w:br/>
              <w:t xml:space="preserve">        handle_block</w:t>
            </w:r>
            <w:r>
              <w:rPr>
                <w:rFonts w:eastAsia="Consolas" w:ascii="Consolas" w:cs="Consolas" w:hAnsi="Consolas"/>
                <w:sz w:val="22"/>
              </w:rPr>
              <w:t>_competition(candidate_block)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Consolas" w:ascii="Consolas" w:cs="Consolas" w:hAnsi="Consolas"/>
          <w:b w:val="true"/>
          <w:sz w:val="22"/>
          <w:shd w:fill="EFF0F1"/>
        </w:rPr>
        <w:t>should_produce_block</w:t>
      </w:r>
      <w:r>
        <w:rPr>
          <w:rFonts w:eastAsia="等线" w:ascii="Arial" w:cs="Arial" w:hAnsi="Arial"/>
          <w:b w:val="true"/>
          <w:sz w:val="22"/>
        </w:rPr>
        <w:t>出块条件 :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最小时间间隔</w:t>
      </w:r>
      <w:r>
        <w:rPr>
          <w:rFonts w:eastAsia="等线" w:ascii="Arial" w:cs="Arial" w:hAnsi="Arial"/>
          <w:sz w:val="22"/>
        </w:rPr>
        <w:t xml:space="preserve">：距离上一个被本地接受的有效区块的时间 ≥ 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 (如100ms)。</w:t>
      </w:r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交易可用性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valid_txs</w:t>
      </w:r>
      <w:r>
        <w:rPr>
          <w:rFonts w:eastAsia="等线" w:ascii="Arial" w:cs="Arial" w:hAnsi="Arial"/>
          <w:sz w:val="22"/>
        </w:rPr>
        <w:t xml:space="preserve"> 非空，或即使为空但已达到 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 xml:space="preserve"> (如2s) 必须产生空区块以保持活性。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本地负载</w:t>
      </w:r>
      <w:r>
        <w:rPr>
          <w:rFonts w:eastAsia="等线" w:ascii="Arial" w:cs="Arial" w:hAnsi="Arial"/>
          <w:sz w:val="22"/>
        </w:rPr>
        <w:t>：节点CPU/网络负载低于阈值。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4" w:id="14"/>
      <w:r>
        <w:rPr>
          <w:rFonts w:eastAsia="等线" w:ascii="Arial" w:cs="Arial" w:hAnsi="Arial"/>
          <w:b w:val="true"/>
          <w:sz w:val="36"/>
        </w:rPr>
        <w:t>第五章：流体区块模型（FBM）</w:t>
      </w:r>
      <w:bookmarkEnd w:id="1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5.1 区块头与数据结构</w:t>
      </w:r>
      <w:bookmarkEnd w:id="15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protobuf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message FluidBlockHeader {</w:t>
              <w:br/>
              <w:t xml:space="preserve">    bytes32 parent_block_hash;      // 父区块哈希</w:t>
              <w:br/>
              <w:t xml:space="preserve">    bytes32 constitutional_hash;    // 当前宪法哈希</w:t>
              <w:br/>
              <w:t xml:space="preserve">    uint64 epoch_number;           // 纪元号</w:t>
              <w:br/>
              <w:t xml:space="preserve">    uint64 round_number;           // 纪元内轮次</w:t>
              <w:br/>
              <w:t xml:space="preserve">    bytes32 branch_hash;           // 并行分支标识（默克尔根）</w:t>
              <w:br/>
              <w:t xml:space="preserve">    uint64 timestamp;              // 出块时间（Unix毫秒）</w:t>
              <w:br/>
              <w:t xml:space="preserve">    uint32 tx_count;               // 交易数量</w:t>
              <w:br/>
              <w:t xml:space="preserve">    bytes32 receipt_root;          // 本区块内所有CR的默克尔根</w:t>
              <w:br/>
              <w:t xml:space="preserve">    bytes32 state_root;            // 状态根</w:t>
              <w:br/>
              <w:t xml:space="preserve">    bytes producer_signature;      // 生产者签名</w:t>
              <w:br/>
              <w:t xml:space="preserve">    uint64 gas_limit;              // 动态Gas上限（见下文）</w:t>
              <w:br/>
              <w:t>}</w:t>
              <w:br/>
              <w:t>message FluidBlock {</w:t>
              <w:br/>
              <w:t xml:space="preserve">    FluidBlockHeader header;</w:t>
              <w:br/>
              <w:t xml:space="preserve">    repeated ConstitutionalTransaction transactions; // 交易+CR列表</w:t>
              <w:br/>
              <w:t>}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三维坐标系统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3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纪元（Epoch）</w:t>
      </w:r>
      <w:r>
        <w:rPr>
          <w:rFonts w:eastAsia="等线" w:ascii="Arial" w:cs="Arial" w:hAnsi="Arial"/>
          <w:sz w:val="22"/>
        </w:rPr>
        <w:t xml:space="preserve">：每 </w:t>
      </w:r>
      <w:r>
        <w:rPr>
          <w:rFonts w:eastAsia="Consolas" w:ascii="Consolas" w:cs="Consolas" w:hAnsi="Consolas"/>
          <w:sz w:val="22"/>
          <w:shd w:fill="EFF0F1"/>
        </w:rPr>
        <w:t>N</w:t>
      </w:r>
      <w:r>
        <w:rPr>
          <w:rFonts w:eastAsia="等线" w:ascii="Arial" w:cs="Arial" w:hAnsi="Arial"/>
          <w:sz w:val="22"/>
        </w:rPr>
        <w:t xml:space="preserve"> 个区块（如1000）或固定时间（如24小时）切换，用于划分治理周期和重大状态快照。</w:t>
      </w:r>
    </w:p>
    <w:p>
      <w:pPr>
        <w:numPr>
          <w:numId w:val="3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轮次（Round）</w:t>
      </w:r>
      <w:r>
        <w:rPr>
          <w:rFonts w:eastAsia="等线" w:ascii="Arial" w:cs="Arial" w:hAnsi="Arial"/>
          <w:sz w:val="22"/>
        </w:rPr>
        <w:t>：纪元内的线性递增序号，表示时间顺序。</w:t>
      </w:r>
    </w:p>
    <w:p>
      <w:pPr>
        <w:numPr>
          <w:numId w:val="3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分支（Branch）</w:t>
      </w:r>
      <w:r>
        <w:rPr>
          <w:rFonts w:eastAsia="等线" w:ascii="Arial" w:cs="Arial" w:hAnsi="Arial"/>
          <w:sz w:val="22"/>
        </w:rPr>
        <w:t>：同一轮次内，可能由不同CBP同时产生的多个合法区块。它们通过包含对方区块哈希作为引用，形成一个轻量DAG。分叉选择规则将基于</w:t>
      </w:r>
      <w:r>
        <w:rPr>
          <w:rFonts w:eastAsia="等线" w:ascii="Arial" w:cs="Arial" w:hAnsi="Arial"/>
          <w:b w:val="true"/>
          <w:sz w:val="22"/>
        </w:rPr>
        <w:t>收据权重</w:t>
      </w:r>
      <w:r>
        <w:rPr>
          <w:rFonts w:eastAsia="等线" w:ascii="Arial" w:cs="Arial" w:hAnsi="Arial"/>
          <w:sz w:val="22"/>
        </w:rPr>
        <w:t>选择主分支。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5.2 动态容量调整算法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目标</w:t>
      </w:r>
      <w:r>
        <w:rPr>
          <w:rFonts w:eastAsia="等线" w:ascii="Arial" w:cs="Arial" w:hAnsi="Arial"/>
          <w:sz w:val="22"/>
        </w:rPr>
        <w:t xml:space="preserve">：使区块平均利用率维持在 </w:t>
      </w:r>
      <w:r>
        <w:rPr>
          <w:rFonts w:eastAsia="Consolas" w:ascii="Consolas" w:cs="Consolas" w:hAnsi="Consolas"/>
          <w:sz w:val="22"/>
          <w:shd w:fill="EFF0F1"/>
        </w:rPr>
        <w:t>TARGET_UTILIZATION</w:t>
      </w:r>
      <w:r>
        <w:rPr>
          <w:rFonts w:eastAsia="等线" w:ascii="Arial" w:cs="Arial" w:hAnsi="Arial"/>
          <w:sz w:val="22"/>
        </w:rPr>
        <w:t xml:space="preserve"> (如70%)。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算法（每Epoch调整一次）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上一纪元平均区块大小 = Avg(block.size for block in last_epoch)</w:t>
              <w:br/>
              <w:t>当前软上限 = current_gas_limit</w:t>
              <w:br/>
              <w:br/>
              <w:t>if 上一纪元平均区块大小 &gt; TARGET_UTILIZATION * current_gas_limit:</w:t>
              <w:br/>
              <w:t xml:space="preserve">    # 过于拥挤，上调</w:t>
              <w:br/>
              <w:t xml:space="preserve">    adjustment = (平均区块大小 / (TARGET_UTILIZATION * current_gas_limit)) - 1</w:t>
              <w:br/>
              <w:t xml:space="preserve">    new_gas_limit = current_gas_limit * (1 + adjustment * ADJUST_FACTOR) // ADJUST_FACTOR&lt; 1，如0.125</w:t>
              <w:br/>
              <w:t>else:</w:t>
              <w:br/>
              <w:t xml:space="preserve">    # 过于空旷，下调</w:t>
              <w:br/>
              <w:t xml:space="preserve">    adjustment = 1 - (平均区块大小 / (TARGET_UTILIZATION * current_gas_limit))</w:t>
              <w:br/>
              <w:t xml:space="preserve">    new_gas_limit = current_gas_limit * (1 - adjustment * ADJUST_FACTOR)</w:t>
              <w:br/>
              <w:br/>
              <w:t># 限制单次调整幅度（如±12.5%）</w:t>
              <w:br/>
              <w:t>new_gas_limit = clamp(new_gas_limit, current_gas_limit * 0.875, current_gas_limit * 1.125)</w:t>
              <w:br/>
              <w:t># 设置绝对上下限</w:t>
              <w:br/>
              <w:t>new_gas_limit = clamp(new_gas_limit, GAS_LIMIT_MIN, GAS_LIMIT_MAX</w:t>
            </w:r>
            <w:r>
              <w:rPr>
                <w:rFonts w:eastAsia="Consolas" w:ascii="Consolas" w:cs="Consolas" w:hAnsi="Consolas"/>
                <w:sz w:val="22"/>
              </w:rPr>
              <w:t>)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交易驱动出块</w:t>
      </w:r>
      <w:r>
        <w:rPr>
          <w:rFonts w:eastAsia="等线" w:ascii="Arial" w:cs="Arial" w:hAnsi="Arial"/>
          <w:sz w:val="22"/>
        </w:rPr>
        <w:t>：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 和 </w:t>
      </w:r>
      <w:r>
        <w:rPr>
          <w:rFonts w:eastAsia="Consolas" w:ascii="Consolas" w:cs="Consolas" w:hAnsi="Consolas"/>
          <w:sz w:val="22"/>
          <w:shd w:fill="EFF0F1"/>
        </w:rPr>
        <w:t>Δt_max</w:t>
      </w:r>
      <w:r>
        <w:rPr>
          <w:rFonts w:eastAsia="等线" w:ascii="Arial" w:cs="Arial" w:hAnsi="Arial"/>
          <w:sz w:val="22"/>
        </w:rPr>
        <w:t xml:space="preserve"> 也可以根据网络延迟和内存池深度进行微调，实现更细粒度的响应。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7" w:id="17"/>
      <w:r>
        <w:rPr>
          <w:rFonts w:eastAsia="等线" w:ascii="Arial" w:cs="Arial" w:hAnsi="Arial"/>
          <w:b w:val="true"/>
          <w:sz w:val="36"/>
        </w:rPr>
        <w:t>第六章：收据验证Gossip协议（RVGP）与共识收敛</w:t>
      </w:r>
      <w:bookmarkEnd w:id="17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8" w:id="18"/>
      <w:r>
        <w:rPr>
          <w:rFonts w:eastAsia="等线" w:ascii="Arial" w:cs="Arial" w:hAnsi="Arial"/>
          <w:b w:val="true"/>
          <w:sz w:val="32"/>
        </w:rPr>
        <w:t>6.1 “参与即共识”的传播机制</w:t>
      </w:r>
      <w:bookmarkEnd w:id="18"/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交易传播</w:t>
      </w:r>
      <w:r>
        <w:rPr>
          <w:rFonts w:eastAsia="等线" w:ascii="Arial" w:cs="Arial" w:hAnsi="Arial"/>
          <w:sz w:val="22"/>
        </w:rPr>
        <w:t>：节点收到带CR的交易时，先验证CR。验证通过则存入本地内存池并转发给邻居。</w:t>
      </w:r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区块传播</w:t>
      </w:r>
      <w:r>
        <w:rPr>
          <w:rFonts w:eastAsia="等线" w:ascii="Arial" w:cs="Arial" w:hAnsi="Arial"/>
          <w:sz w:val="22"/>
        </w:rPr>
        <w:t>：节点收到新区块时，执行</w:t>
      </w:r>
      <w:r>
        <w:rPr>
          <w:rFonts w:eastAsia="等线" w:ascii="Arial" w:cs="Arial" w:hAnsi="Arial"/>
          <w:b w:val="true"/>
          <w:sz w:val="22"/>
        </w:rPr>
        <w:t>完全验证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4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区块签名来自有效CBP。</w:t>
      </w:r>
    </w:p>
    <w:p>
      <w:pPr>
        <w:numPr>
          <w:numId w:val="4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区块头中的 </w:t>
      </w:r>
      <w:r>
        <w:rPr>
          <w:rFonts w:eastAsia="Consolas" w:ascii="Consolas" w:cs="Consolas" w:hAnsi="Consolas"/>
          <w:sz w:val="22"/>
          <w:shd w:fill="EFF0F1"/>
        </w:rPr>
        <w:t>constitutional_hash</w:t>
      </w:r>
      <w:r>
        <w:rPr>
          <w:rFonts w:eastAsia="等线" w:ascii="Arial" w:cs="Arial" w:hAnsi="Arial"/>
          <w:sz w:val="22"/>
        </w:rPr>
        <w:t xml:space="preserve"> 有效。</w:t>
      </w:r>
    </w:p>
    <w:p>
      <w:pPr>
        <w:numPr>
          <w:numId w:val="4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区块内</w:t>
      </w:r>
      <w:r>
        <w:rPr>
          <w:rFonts w:eastAsia="等线" w:ascii="Arial" w:cs="Arial" w:hAnsi="Arial"/>
          <w:b w:val="true"/>
          <w:sz w:val="22"/>
        </w:rPr>
        <w:t>每一笔</w:t>
      </w:r>
      <w:r>
        <w:rPr>
          <w:rFonts w:eastAsia="等线" w:ascii="Arial" w:cs="Arial" w:hAnsi="Arial"/>
          <w:sz w:val="22"/>
        </w:rPr>
        <w:t>交易的CR都有效（可并行验证）。</w:t>
      </w:r>
    </w:p>
    <w:p>
      <w:pPr>
        <w:numPr>
          <w:numId w:val="4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区块大小未超过当前 </w:t>
      </w:r>
      <w:r>
        <w:rPr>
          <w:rFonts w:eastAsia="Consolas" w:ascii="Consolas" w:cs="Consolas" w:hAnsi="Consolas"/>
          <w:sz w:val="22"/>
          <w:shd w:fill="EFF0F1"/>
        </w:rPr>
        <w:t>gas_limit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44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时间戳合理（与本地时间偏差在允许范围内）。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接受与转发</w:t>
      </w:r>
      <w:r>
        <w:rPr>
          <w:rFonts w:eastAsia="等线" w:ascii="Arial" w:cs="Arial" w:hAnsi="Arial"/>
          <w:sz w:val="22"/>
        </w:rPr>
        <w:t>：验证通过后，节点立即将该区块视为</w:t>
      </w:r>
      <w:r>
        <w:rPr>
          <w:rFonts w:eastAsia="等线" w:ascii="Arial" w:cs="Arial" w:hAnsi="Arial"/>
          <w:b w:val="true"/>
          <w:sz w:val="22"/>
        </w:rPr>
        <w:t>有效区块</w:t>
      </w:r>
      <w:r>
        <w:rPr>
          <w:rFonts w:eastAsia="等线" w:ascii="Arial" w:cs="Arial" w:hAnsi="Arial"/>
          <w:sz w:val="22"/>
        </w:rPr>
        <w:t>，更新本地链视图，并转发给邻居。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9" w:id="19"/>
      <w:r>
        <w:rPr>
          <w:rFonts w:eastAsia="等线" w:ascii="Arial" w:cs="Arial" w:hAnsi="Arial"/>
          <w:b w:val="true"/>
          <w:sz w:val="32"/>
        </w:rPr>
        <w:t>6.2 分叉选择规则：收据权重累计</w:t>
      </w:r>
      <w:bookmarkEnd w:id="1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当出现临时分叉时，节点选择</w:t>
      </w:r>
      <w:r>
        <w:rPr>
          <w:rFonts w:eastAsia="等线" w:ascii="Arial" w:cs="Arial" w:hAnsi="Arial"/>
          <w:b w:val="true"/>
          <w:sz w:val="22"/>
        </w:rPr>
        <w:t>收据权重累计值最高</w:t>
      </w:r>
      <w:r>
        <w:rPr>
          <w:rFonts w:eastAsia="等线" w:ascii="Arial" w:cs="Arial" w:hAnsi="Arial"/>
          <w:sz w:val="22"/>
        </w:rPr>
        <w:t>的链。</w:t>
      </w:r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收据权重</w:t>
      </w:r>
      <w:r>
        <w:rPr>
          <w:rFonts w:eastAsia="等线" w:ascii="Arial" w:cs="Arial" w:hAnsi="Arial"/>
          <w:sz w:val="22"/>
        </w:rPr>
        <w:t>：每个CR有一个基础权重，可根据交易类型、支付的手续费（XIC）等进行加权。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计算</w:t>
      </w:r>
      <w:r>
        <w:rPr>
          <w:rFonts w:eastAsia="等线" w:ascii="Arial" w:cs="Arial" w:hAnsi="Arial"/>
          <w:sz w:val="22"/>
        </w:rPr>
        <w:t>：从创世块到区块头，累计路径上所有区块内CR的权重之和。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优势</w:t>
      </w:r>
      <w:r>
        <w:rPr>
          <w:rFonts w:eastAsia="等线" w:ascii="Arial" w:cs="Arial" w:hAnsi="Arial"/>
          <w:sz w:val="22"/>
        </w:rPr>
        <w:t>：此规则自然鼓励节点打包手续费更高、价值更大的交易，同时由于CR本身代表合规性，也确保了合规交易的优先性。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6.3 最终确定性</w:t>
      </w:r>
      <w:bookmarkEnd w:id="20"/>
    </w:p>
    <w:p>
      <w:pPr>
        <w:numPr>
          <w:numId w:val="4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概率最终性</w:t>
      </w:r>
      <w:r>
        <w:rPr>
          <w:rFonts w:eastAsia="等线" w:ascii="Arial" w:cs="Arial" w:hAnsi="Arial"/>
          <w:sz w:val="22"/>
        </w:rPr>
        <w:t>：随着区块被埋藏于后续区块之下，其被逆转的概率指数级下降。</w:t>
      </w:r>
    </w:p>
    <w:p>
      <w:pPr>
        <w:numPr>
          <w:numId w:val="5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检查点最终性（可选）</w:t>
      </w:r>
      <w:r>
        <w:rPr>
          <w:rFonts w:eastAsia="等线" w:ascii="Arial" w:cs="Arial" w:hAnsi="Arial"/>
          <w:sz w:val="22"/>
        </w:rPr>
        <w:t>：每个纪元（Epoch）的最后一个区块，可以由CBP通过一个轻量化的BFT式投票（基于其DID身份）来赋予</w:t>
      </w:r>
      <w:r>
        <w:rPr>
          <w:rFonts w:eastAsia="等线" w:ascii="Arial" w:cs="Arial" w:hAnsi="Arial"/>
          <w:b w:val="true"/>
          <w:sz w:val="22"/>
        </w:rPr>
        <w:t>最终确定性</w:t>
      </w:r>
      <w:r>
        <w:rPr>
          <w:rFonts w:eastAsia="等线" w:ascii="Arial" w:cs="Arial" w:hAnsi="Arial"/>
          <w:sz w:val="22"/>
        </w:rPr>
        <w:t>。这为跨链和金融结算提供了更强保证。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1" w:id="21"/>
      <w:r>
        <w:rPr>
          <w:rFonts w:eastAsia="等线" w:ascii="Arial" w:cs="Arial" w:hAnsi="Arial"/>
          <w:b w:val="true"/>
          <w:sz w:val="36"/>
        </w:rPr>
        <w:t>第七章：经济与激励模型</w:t>
      </w:r>
      <w:bookmarkEnd w:id="2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7.1 激励构成</w:t>
      </w:r>
      <w:bookmarkEnd w:id="2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CBP节点的奖励 </w:t>
      </w:r>
      <w:r>
        <w:rPr>
          <w:rFonts w:eastAsia="Consolas" w:ascii="Consolas" w:cs="Consolas" w:hAnsi="Consolas"/>
          <w:sz w:val="22"/>
          <w:shd w:fill="EFF0F1"/>
        </w:rPr>
        <w:t>R</w:t>
      </w:r>
      <w:r>
        <w:rPr>
          <w:rFonts w:eastAsia="等线" w:ascii="Arial" w:cs="Arial" w:hAnsi="Arial"/>
          <w:sz w:val="22"/>
        </w:rPr>
        <w:t xml:space="preserve"> 来自两部分：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R = 出块奖励 (Block Reward) + 交易费总和 (Σ Tx Fee)</w:t>
            </w:r>
          </w:p>
        </w:tc>
      </w:tr>
    </w:tbl>
    <w:p>
      <w:pPr>
        <w:numPr>
          <w:numId w:val="5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出块奖励</w:t>
      </w:r>
      <w:r>
        <w:rPr>
          <w:rFonts w:eastAsia="等线" w:ascii="Arial" w:cs="Arial" w:hAnsi="Arial"/>
          <w:sz w:val="22"/>
        </w:rPr>
        <w:t>：由协议固定发行（通胀模型），或来自系统收入（如一部分XTZH铸造费）的再分配。每个纪元总量固定，按该纪元内出块数量分配给CBP。</w:t>
      </w:r>
    </w:p>
    <w:p>
      <w:pPr>
        <w:numPr>
          <w:numId w:val="5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交易费</w:t>
      </w:r>
      <w:r>
        <w:rPr>
          <w:rFonts w:eastAsia="等线" w:ascii="Arial" w:cs="Arial" w:hAnsi="Arial"/>
          <w:sz w:val="22"/>
        </w:rPr>
        <w:t>：用户为交易支付的XIC，100%归打包该交易的CBP所有。这激励CBP优先打包高费交易。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3" w:id="23"/>
      <w:r>
        <w:rPr>
          <w:rFonts w:eastAsia="等线" w:ascii="Arial" w:cs="Arial" w:hAnsi="Arial"/>
          <w:b w:val="true"/>
          <w:sz w:val="32"/>
        </w:rPr>
        <w:t>7.2 惩罚与Slashing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为确保CBP行为合规，设立惩罚条件：</w:t>
      </w:r>
    </w:p>
    <w:p>
      <w:pPr>
        <w:numPr>
          <w:numId w:val="5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生产无效区块</w:t>
      </w:r>
      <w:r>
        <w:rPr>
          <w:rFonts w:eastAsia="等线" w:ascii="Arial" w:cs="Arial" w:hAnsi="Arial"/>
          <w:sz w:val="22"/>
        </w:rPr>
        <w:t>：包含无效CR或违反其他宪法规则的区块。罚没该节点部分注册保证金，并暂停其生产资格24小时。</w:t>
      </w:r>
    </w:p>
    <w:p>
      <w:pPr>
        <w:numPr>
          <w:numId w:val="5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明显怠工</w:t>
      </w:r>
      <w:r>
        <w:rPr>
          <w:rFonts w:eastAsia="等线" w:ascii="Arial" w:cs="Arial" w:hAnsi="Arial"/>
          <w:sz w:val="22"/>
        </w:rPr>
        <w:t>：在活跃期内，出块率显著低于网络平均水平（无正当理由），将减少其出块奖励权重。</w:t>
      </w:r>
    </w:p>
    <w:p>
      <w:pPr>
        <w:numPr>
          <w:numId w:val="5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共谋攻击</w:t>
      </w:r>
      <w:r>
        <w:rPr>
          <w:rFonts w:eastAsia="等线" w:ascii="Arial" w:cs="Arial" w:hAnsi="Arial"/>
          <w:sz w:val="22"/>
        </w:rPr>
        <w:t>：证据确凿的合谋攻击（如尝试双花），将罚没全部保证金，永久取消资格，并列入DID黑名单。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7.3 成本与可持续性</w:t>
      </w:r>
      <w:bookmarkEnd w:id="24"/>
    </w:p>
    <w:p>
      <w:pPr>
        <w:numPr>
          <w:numId w:val="5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节点成本</w:t>
      </w:r>
      <w:r>
        <w:rPr>
          <w:rFonts w:eastAsia="等线" w:ascii="Arial" w:cs="Arial" w:hAnsi="Arial"/>
          <w:sz w:val="22"/>
        </w:rPr>
        <w:t>：CBP承担硬件、带宽和能源成本。</w:t>
      </w:r>
    </w:p>
    <w:p>
      <w:pPr>
        <w:numPr>
          <w:numId w:val="5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协议收入</w:t>
      </w:r>
      <w:r>
        <w:rPr>
          <w:rFonts w:eastAsia="等线" w:ascii="Arial" w:cs="Arial" w:hAnsi="Arial"/>
          <w:sz w:val="22"/>
        </w:rPr>
        <w:t>：系统通过XTZH铸造费、跨链手续费、资产上链服务费等获得XIC收入。</w:t>
      </w:r>
    </w:p>
    <w:p>
      <w:pPr>
        <w:numPr>
          <w:numId w:val="5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激励可持续性</w:t>
      </w:r>
      <w:r>
        <w:rPr>
          <w:rFonts w:eastAsia="等线" w:ascii="Arial" w:cs="Arial" w:hAnsi="Arial"/>
          <w:sz w:val="22"/>
        </w:rPr>
        <w:t>：通过精细调控出块奖励发行率、交易费率市场以及协议收入再分配，确保长期内对诚实节点的激励足够覆盖其成本，形成正向循环。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5" w:id="25"/>
      <w:r>
        <w:rPr>
          <w:rFonts w:eastAsia="等线" w:ascii="Arial" w:cs="Arial" w:hAnsi="Arial"/>
          <w:b w:val="true"/>
          <w:sz w:val="36"/>
        </w:rPr>
        <w:t>第八章：安全与抗攻击分析</w:t>
      </w:r>
      <w:bookmarkEnd w:id="25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6" w:id="26"/>
      <w:r>
        <w:rPr>
          <w:rFonts w:eastAsia="等线" w:ascii="Arial" w:cs="Arial" w:hAnsi="Arial"/>
          <w:b w:val="true"/>
          <w:sz w:val="32"/>
        </w:rPr>
        <w:t>8.1 抗51%算力/权益攻击</w:t>
      </w:r>
      <w:bookmarkEnd w:id="2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在CBPP中，攻击者即便控制了大多数CBP节点，也无法：</w:t>
      </w:r>
    </w:p>
    <w:p>
      <w:pPr>
        <w:numPr>
          <w:numId w:val="5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通过无效交易</w:t>
      </w:r>
      <w:r>
        <w:rPr>
          <w:rFonts w:eastAsia="等线" w:ascii="Arial" w:cs="Arial" w:hAnsi="Arial"/>
          <w:sz w:val="22"/>
        </w:rPr>
        <w:t>：因为无效交易无法获得CR，不会被任何诚实节点接受。</w:t>
      </w:r>
    </w:p>
    <w:p>
      <w:pPr>
        <w:numPr>
          <w:numId w:val="6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审查合规交易</w:t>
      </w:r>
      <w:r>
        <w:rPr>
          <w:rFonts w:eastAsia="等线" w:ascii="Arial" w:cs="Arial" w:hAnsi="Arial"/>
          <w:sz w:val="22"/>
        </w:rPr>
        <w:t>：如果攻击者拒绝打包某些合规交易，其他诚实的CBP节点（即使算力低）可以打包它们。只要有一个诚实节点成功出块并传播，交易就能上链。网络依赖的是</w:t>
      </w:r>
      <w:r>
        <w:rPr>
          <w:rFonts w:eastAsia="等线" w:ascii="Arial" w:cs="Arial" w:hAnsi="Arial"/>
          <w:b w:val="true"/>
          <w:sz w:val="22"/>
        </w:rPr>
        <w:t>规则的统一性</w:t>
      </w:r>
      <w:r>
        <w:rPr>
          <w:rFonts w:eastAsia="等线" w:ascii="Arial" w:cs="Arial" w:hAnsi="Arial"/>
          <w:sz w:val="22"/>
        </w:rPr>
        <w:t>，而非算力的对比。</w:t>
      </w:r>
    </w:p>
    <w:p>
      <w:pPr>
        <w:numPr>
          <w:numId w:val="6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改写历史</w:t>
      </w:r>
      <w:r>
        <w:rPr>
          <w:rFonts w:eastAsia="等线" w:ascii="Arial" w:cs="Arial" w:hAnsi="Arial"/>
          <w:sz w:val="22"/>
        </w:rPr>
        <w:t>：篡改历史区块需要重新计算所有后续区块的签名，并让网络接受一条收据权重更低的链，这在概率上极难。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7" w:id="27"/>
      <w:r>
        <w:rPr>
          <w:rFonts w:eastAsia="等线" w:ascii="Arial" w:cs="Arial" w:hAnsi="Arial"/>
          <w:b w:val="true"/>
          <w:sz w:val="32"/>
        </w:rPr>
        <w:t>8.2 抗女巫攻击</w:t>
      </w:r>
      <w:bookmarkEnd w:id="27"/>
    </w:p>
    <w:p>
      <w:pPr>
        <w:numPr>
          <w:numId w:val="6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身份绑定（DID+KYC）</w:t>
      </w:r>
      <w:r>
        <w:rPr>
          <w:rFonts w:eastAsia="等线" w:ascii="Arial" w:cs="Arial" w:hAnsi="Arial"/>
          <w:sz w:val="22"/>
        </w:rPr>
        <w:t>：每个CBP对应一个已验证的真实身份，大幅提高攻击成本。</w:t>
      </w:r>
    </w:p>
    <w:p>
      <w:pPr>
        <w:numPr>
          <w:numId w:val="6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注册保证金</w:t>
      </w:r>
      <w:r>
        <w:rPr>
          <w:rFonts w:eastAsia="等线" w:ascii="Arial" w:cs="Arial" w:hAnsi="Arial"/>
          <w:sz w:val="22"/>
        </w:rPr>
        <w:t>：虽然不高，但大规模注册攻击仍需要可观资金。</w:t>
      </w:r>
    </w:p>
    <w:p>
      <w:pPr>
        <w:numPr>
          <w:numId w:val="6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出块率与信誉关联</w:t>
      </w:r>
      <w:r>
        <w:rPr>
          <w:rFonts w:eastAsia="等线" w:ascii="Arial" w:cs="Arial" w:hAnsi="Arial"/>
          <w:sz w:val="22"/>
        </w:rPr>
        <w:t>：网络可监测节点长期行为，新注册的陌生节点出块权重可能较低，限制其短期影响。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8" w:id="28"/>
      <w:r>
        <w:rPr>
          <w:rFonts w:eastAsia="等线" w:ascii="Arial" w:cs="Arial" w:hAnsi="Arial"/>
          <w:b w:val="true"/>
          <w:sz w:val="32"/>
        </w:rPr>
        <w:t>8.3 抗审查</w:t>
      </w:r>
      <w:bookmarkEnd w:id="2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宪法条款可以明确规定：</w:t>
      </w:r>
      <w:r>
        <w:rPr>
          <w:rFonts w:eastAsia="等线" w:ascii="Arial" w:cs="Arial" w:hAnsi="Arial"/>
          <w:b w:val="true"/>
          <w:sz w:val="22"/>
        </w:rPr>
        <w:t>CBP节点有义务在收到有效交易后的合理时间内，将其纳入候选区块</w:t>
      </w:r>
      <w:r>
        <w:rPr>
          <w:rFonts w:eastAsia="等线" w:ascii="Arial" w:cs="Arial" w:hAnsi="Arial"/>
          <w:sz w:val="22"/>
        </w:rPr>
        <w:t>。违反此条款可被举报和惩罚。这从协议层面保障了交易不被恶意过滤。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9" w:id="29"/>
      <w:r>
        <w:rPr>
          <w:rFonts w:eastAsia="等线" w:ascii="Arial" w:cs="Arial" w:hAnsi="Arial"/>
          <w:b w:val="true"/>
          <w:sz w:val="32"/>
        </w:rPr>
        <w:t>8.4 宪法执行引擎（CEE）去中心化与防腐败</w:t>
      </w:r>
      <w:bookmarkEnd w:id="29"/>
    </w:p>
    <w:p>
      <w:pPr>
        <w:numPr>
          <w:numId w:val="6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多实例共识</w:t>
      </w:r>
      <w:r>
        <w:rPr>
          <w:rFonts w:eastAsia="等线" w:ascii="Arial" w:cs="Arial" w:hAnsi="Arial"/>
          <w:sz w:val="22"/>
        </w:rPr>
        <w:t>：重要操作（如高价值资产估值）可要求多个CEE实例签发收据，形成共识。</w:t>
      </w:r>
    </w:p>
    <w:p>
      <w:pPr>
        <w:numPr>
          <w:numId w:val="6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开源与可验证</w:t>
      </w:r>
      <w:r>
        <w:rPr>
          <w:rFonts w:eastAsia="等线" w:ascii="Arial" w:cs="Arial" w:hAnsi="Arial"/>
          <w:sz w:val="22"/>
        </w:rPr>
        <w:t>：CEE的核心逻辑和AI模型应开源，允许社区审计。</w:t>
      </w:r>
    </w:p>
    <w:p>
      <w:pPr>
        <w:numPr>
          <w:numId w:val="6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治理监督</w:t>
      </w:r>
      <w:r>
        <w:rPr>
          <w:rFonts w:eastAsia="等线" w:ascii="Arial" w:cs="Arial" w:hAnsi="Arial"/>
          <w:sz w:val="22"/>
        </w:rPr>
        <w:t>：CEE运营方由L2治理委员会任命和监督，失职可被更换。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0" w:id="30"/>
      <w:r>
        <w:rPr>
          <w:rFonts w:eastAsia="等线" w:ascii="Arial" w:cs="Arial" w:hAnsi="Arial"/>
          <w:b w:val="true"/>
          <w:sz w:val="36"/>
        </w:rPr>
        <w:t>第九章：性能评估与目标</w:t>
      </w:r>
      <w:bookmarkEnd w:id="3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1" w:id="31"/>
      <w:r>
        <w:rPr>
          <w:rFonts w:eastAsia="等线" w:ascii="Arial" w:cs="Arial" w:hAnsi="Arial"/>
          <w:b w:val="true"/>
          <w:sz w:val="32"/>
        </w:rPr>
        <w:t>9.1 理论性能边界</w:t>
      </w:r>
      <w:bookmarkEnd w:id="31"/>
    </w:p>
    <w:p>
      <w:pPr>
        <w:numPr>
          <w:numId w:val="6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延迟</w:t>
      </w:r>
      <w:r>
        <w:rPr>
          <w:rFonts w:eastAsia="等线" w:ascii="Arial" w:cs="Arial" w:hAnsi="Arial"/>
          <w:sz w:val="22"/>
        </w:rPr>
        <w:t xml:space="preserve">：交易确认时间 ≈ 区块传播时间 + 下一区块生产时间。在 </w:t>
      </w:r>
      <w:r>
        <w:rPr>
          <w:rFonts w:eastAsia="Consolas" w:ascii="Consolas" w:cs="Consolas" w:hAnsi="Consolas"/>
          <w:sz w:val="22"/>
          <w:shd w:fill="EFF0F1"/>
        </w:rPr>
        <w:t>Δt_min=100ms</w:t>
      </w:r>
      <w:r>
        <w:rPr>
          <w:rFonts w:eastAsia="等线" w:ascii="Arial" w:cs="Arial" w:hAnsi="Arial"/>
          <w:sz w:val="22"/>
        </w:rPr>
        <w:t xml:space="preserve"> 设定下，理想确认时间可低至 </w:t>
      </w:r>
      <w:r>
        <w:rPr>
          <w:rFonts w:eastAsia="等线" w:ascii="Arial" w:cs="Arial" w:hAnsi="Arial"/>
          <w:b w:val="true"/>
          <w:sz w:val="22"/>
        </w:rPr>
        <w:t>200-500毫秒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6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吞吐量</w:t>
      </w:r>
      <w:r>
        <w:rPr>
          <w:rFonts w:eastAsia="等线" w:ascii="Arial" w:cs="Arial" w:hAnsi="Arial"/>
          <w:sz w:val="22"/>
        </w:rPr>
        <w:t xml:space="preserve">：由动态 </w:t>
      </w:r>
      <w:r>
        <w:rPr>
          <w:rFonts w:eastAsia="Consolas" w:ascii="Consolas" w:cs="Consolas" w:hAnsi="Consolas"/>
          <w:sz w:val="22"/>
          <w:shd w:fill="EFF0F1"/>
        </w:rPr>
        <w:t>gas_limit</w:t>
      </w:r>
      <w:r>
        <w:rPr>
          <w:rFonts w:eastAsia="等线" w:ascii="Arial" w:cs="Arial" w:hAnsi="Arial"/>
          <w:sz w:val="22"/>
        </w:rPr>
        <w:t>、网络带宽和节点处理能力决定。假设平均交易大小250字节，目标利用下区块大小为1MB，</w:t>
      </w:r>
      <w:r>
        <w:rPr>
          <w:rFonts w:eastAsia="Consolas" w:ascii="Consolas" w:cs="Consolas" w:hAnsi="Consolas"/>
          <w:sz w:val="22"/>
          <w:shd w:fill="EFF0F1"/>
        </w:rPr>
        <w:t>Δt_min=100ms</w:t>
      </w:r>
      <w:r>
        <w:rPr>
          <w:rFonts w:eastAsia="等线" w:ascii="Arial" w:cs="Arial" w:hAnsi="Arial"/>
          <w:sz w:val="22"/>
        </w:rPr>
        <w:t>，则理论TPS上限约为：</w:t>
      </w:r>
      <w:r>
        <w:rPr>
          <w:rFonts w:eastAsia="Consolas" w:ascii="Consolas" w:cs="Consolas" w:hAnsi="Consolas"/>
          <w:sz w:val="22"/>
          <w:shd w:fill="EFF0F1"/>
        </w:rPr>
        <w:t>(1MB/250B) / 0.1s ≈ 4,000 TPS</w:t>
      </w:r>
      <w:r>
        <w:rPr>
          <w:rFonts w:eastAsia="等线" w:ascii="Arial" w:cs="Arial" w:hAnsi="Arial"/>
          <w:sz w:val="22"/>
        </w:rPr>
        <w:t xml:space="preserve">。通过优化和并行，目标可达 </w:t>
      </w:r>
      <w:r>
        <w:rPr>
          <w:rFonts w:eastAsia="等线" w:ascii="Arial" w:cs="Arial" w:hAnsi="Arial"/>
          <w:b w:val="true"/>
          <w:sz w:val="22"/>
        </w:rPr>
        <w:t>10,000+ TPS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2" w:id="32"/>
      <w:r>
        <w:rPr>
          <w:rFonts w:eastAsia="等线" w:ascii="Arial" w:cs="Arial" w:hAnsi="Arial"/>
          <w:b w:val="true"/>
          <w:sz w:val="32"/>
        </w:rPr>
        <w:t>9.2 与现有架构兼容性</w:t>
      </w:r>
      <w:bookmarkEnd w:id="3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CBPP </w:t>
      </w:r>
      <w:r>
        <w:rPr>
          <w:rFonts w:eastAsia="等线" w:ascii="Arial" w:cs="Arial" w:hAnsi="Arial"/>
          <w:b w:val="true"/>
          <w:sz w:val="22"/>
        </w:rPr>
        <w:t>完全兼容</w:t>
      </w:r>
      <w:r>
        <w:rPr>
          <w:rFonts w:eastAsia="等线" w:ascii="Arial" w:cs="Arial" w:hAnsi="Arial"/>
          <w:sz w:val="22"/>
        </w:rPr>
        <w:t xml:space="preserve"> NAC 公链现有核心组件：</w:t>
      </w:r>
    </w:p>
    <w:p>
      <w:pPr>
        <w:numPr>
          <w:numId w:val="7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资产标准</w:t>
      </w:r>
      <w:r>
        <w:rPr>
          <w:rFonts w:eastAsia="等线" w:ascii="Arial" w:cs="Arial" w:hAnsi="Arial"/>
          <w:sz w:val="22"/>
        </w:rPr>
        <w:t>：GNACS标准作为宪法的一部分，由CEE执行。</w:t>
      </w:r>
    </w:p>
    <w:p>
      <w:pPr>
        <w:numPr>
          <w:numId w:val="7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XTZH铸造与黄金储备</w:t>
      </w:r>
      <w:r>
        <w:rPr>
          <w:rFonts w:eastAsia="等线" w:ascii="Arial" w:cs="Arial" w:hAnsi="Arial"/>
          <w:sz w:val="22"/>
        </w:rPr>
        <w:t>：铸造交易是特殊的需要CR的交易，触发完整的CEE流程。黄金储备联动逻辑在CEE和后续的智能合约中执行。</w:t>
      </w:r>
    </w:p>
    <w:p>
      <w:pPr>
        <w:numPr>
          <w:numId w:val="7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ACC-20协议</w:t>
      </w:r>
      <w:r>
        <w:rPr>
          <w:rFonts w:eastAsia="等线" w:ascii="Arial" w:cs="Arial" w:hAnsi="Arial"/>
          <w:sz w:val="22"/>
        </w:rPr>
        <w:t>：资产状态变更交易同样需要CR。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3" w:id="33"/>
      <w:r>
        <w:rPr>
          <w:rFonts w:eastAsia="等线" w:ascii="Arial" w:cs="Arial" w:hAnsi="Arial"/>
          <w:b w:val="true"/>
          <w:sz w:val="36"/>
        </w:rPr>
        <w:t>第十章：实施路线图</w:t>
      </w:r>
      <w:bookmarkEnd w:id="33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4" w:id="34"/>
      <w:r>
        <w:rPr>
          <w:rFonts w:eastAsia="等线" w:ascii="Arial" w:cs="Arial" w:hAnsi="Arial"/>
          <w:b w:val="true"/>
          <w:sz w:val="32"/>
        </w:rPr>
        <w:t>阶段一：宪法收据原型（3个月）</w:t>
      </w:r>
      <w:bookmarkEnd w:id="34"/>
    </w:p>
    <w:p>
      <w:pPr>
        <w:numPr>
          <w:numId w:val="7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在测试网上部署宪法执行引擎（CEE）原型。</w:t>
      </w:r>
    </w:p>
    <w:p>
      <w:pPr>
        <w:numPr>
          <w:numId w:val="7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实现ACC-20交易的CR签发与验证。</w:t>
      </w:r>
    </w:p>
    <w:p>
      <w:pPr>
        <w:numPr>
          <w:numId w:val="7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构建收据验证缓存和Gossip网络原型。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5" w:id="35"/>
      <w:r>
        <w:rPr>
          <w:rFonts w:eastAsia="等线" w:ascii="Arial" w:cs="Arial" w:hAnsi="Arial"/>
          <w:b w:val="true"/>
          <w:sz w:val="32"/>
        </w:rPr>
        <w:t>阶段二：开放生产网络测试（6个月）</w:t>
      </w:r>
      <w:bookmarkEnd w:id="35"/>
    </w:p>
    <w:p>
      <w:pPr>
        <w:numPr>
          <w:numId w:val="7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在测试网启动CBP注册。</w:t>
      </w:r>
    </w:p>
    <w:p>
      <w:pPr>
        <w:numPr>
          <w:numId w:val="7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实现基础的流体区块生产与验证逻辑。</w:t>
      </w:r>
    </w:p>
    <w:p>
      <w:pPr>
        <w:numPr>
          <w:numId w:val="7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进行小规模（~50节点）网络测试，评估安全性与性能。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6" w:id="36"/>
      <w:r>
        <w:rPr>
          <w:rFonts w:eastAsia="等线" w:ascii="Arial" w:cs="Arial" w:hAnsi="Arial"/>
          <w:b w:val="true"/>
          <w:sz w:val="32"/>
        </w:rPr>
        <w:t>阶段三：经济模型与治理集成（9个月）</w:t>
      </w:r>
      <w:bookmarkEnd w:id="36"/>
    </w:p>
    <w:p>
      <w:pPr>
        <w:numPr>
          <w:numId w:val="7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引入完整的激励与惩罚机制。</w:t>
      </w:r>
    </w:p>
    <w:p>
      <w:pPr>
        <w:numPr>
          <w:numId w:val="8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将CBPP的关键参数（如</w:t>
      </w:r>
      <w:r>
        <w:rPr>
          <w:rFonts w:eastAsia="Consolas" w:ascii="Consolas" w:cs="Consolas" w:hAnsi="Consolas"/>
          <w:sz w:val="22"/>
          <w:shd w:fill="EFF0F1"/>
        </w:rPr>
        <w:t>Δt_min</w:t>
      </w:r>
      <w:r>
        <w:rPr>
          <w:rFonts w:eastAsia="等线" w:ascii="Arial" w:cs="Arial" w:hAnsi="Arial"/>
          <w:sz w:val="22"/>
        </w:rPr>
        <w:t xml:space="preserve">, </w:t>
      </w:r>
      <w:r>
        <w:rPr>
          <w:rFonts w:eastAsia="Consolas" w:ascii="Consolas" w:cs="Consolas" w:hAnsi="Consolas"/>
          <w:sz w:val="22"/>
          <w:shd w:fill="EFF0F1"/>
        </w:rPr>
        <w:t>ADJUST_FACTOR</w:t>
      </w:r>
      <w:r>
        <w:rPr>
          <w:rFonts w:eastAsia="等线" w:ascii="Arial" w:cs="Arial" w:hAnsi="Arial"/>
          <w:sz w:val="22"/>
        </w:rPr>
        <w:t>）置于L2宪法治理之下。</w:t>
      </w:r>
    </w:p>
    <w:p>
      <w:pPr>
        <w:numPr>
          <w:numId w:val="8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进行大规模压力测试和攻击演习。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7" w:id="37"/>
      <w:r>
        <w:rPr>
          <w:rFonts w:eastAsia="等线" w:ascii="Arial" w:cs="Arial" w:hAnsi="Arial"/>
          <w:b w:val="true"/>
          <w:sz w:val="32"/>
        </w:rPr>
        <w:t>阶段四：主网上线与迁移（12个月）</w:t>
      </w:r>
      <w:bookmarkEnd w:id="37"/>
    </w:p>
    <w:p>
      <w:pPr>
        <w:numPr>
          <w:numId w:val="8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在主网分阶段启用CBPP，与现有PoRWA共识并行运行一段时间。</w:t>
      </w:r>
    </w:p>
    <w:p>
      <w:pPr>
        <w:numPr>
          <w:numId w:val="8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完成所有节点软件的升级。</w:t>
      </w:r>
    </w:p>
    <w:p>
      <w:pPr>
        <w:numPr>
          <w:numId w:val="8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全面切换到CBPP共识，实现宪政区块生产新时代。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38" w:id="38"/>
      <w:r>
        <w:rPr>
          <w:rFonts w:eastAsia="等线" w:ascii="Arial" w:cs="Arial" w:hAnsi="Arial"/>
          <w:b w:val="true"/>
          <w:sz w:val="36"/>
        </w:rPr>
        <w:t>结论</w:t>
      </w:r>
      <w:bookmarkEnd w:id="3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宪政区块生产协议（CBPP）是一次对区块链共识根本逻辑的重构。它将“共识”从节点间的</w:t>
      </w:r>
      <w:r>
        <w:rPr>
          <w:rFonts w:eastAsia="等线" w:ascii="Arial" w:cs="Arial" w:hAnsi="Arial"/>
          <w:b w:val="true"/>
          <w:sz w:val="22"/>
        </w:rPr>
        <w:t>协商博弈</w:t>
      </w:r>
      <w:r>
        <w:rPr>
          <w:rFonts w:eastAsia="等线" w:ascii="Arial" w:cs="Arial" w:hAnsi="Arial"/>
          <w:sz w:val="22"/>
        </w:rPr>
        <w:t>，转变为对共同规则的</w:t>
      </w:r>
      <w:r>
        <w:rPr>
          <w:rFonts w:eastAsia="等线" w:ascii="Arial" w:cs="Arial" w:hAnsi="Arial"/>
          <w:b w:val="true"/>
          <w:sz w:val="22"/>
        </w:rPr>
        <w:t>独立验证与执行</w:t>
      </w:r>
      <w:r>
        <w:rPr>
          <w:rFonts w:eastAsia="等线" w:ascii="Arial" w:cs="Arial" w:hAnsi="Arial"/>
          <w:sz w:val="22"/>
        </w:rPr>
        <w:t>。通过</w:t>
      </w:r>
      <w:r>
        <w:rPr>
          <w:rFonts w:eastAsia="等线" w:ascii="Arial" w:cs="Arial" w:hAnsi="Arial"/>
          <w:b w:val="true"/>
          <w:sz w:val="22"/>
        </w:rPr>
        <w:t>宪法收据</w:t>
      </w:r>
      <w:r>
        <w:rPr>
          <w:rFonts w:eastAsia="等线" w:ascii="Arial" w:cs="Arial" w:hAnsi="Arial"/>
          <w:sz w:val="22"/>
        </w:rPr>
        <w:t>、</w:t>
      </w:r>
      <w:r>
        <w:rPr>
          <w:rFonts w:eastAsia="等线" w:ascii="Arial" w:cs="Arial" w:hAnsi="Arial"/>
          <w:b w:val="true"/>
          <w:sz w:val="22"/>
        </w:rPr>
        <w:t>开放生产</w:t>
      </w:r>
      <w:r>
        <w:rPr>
          <w:rFonts w:eastAsia="等线" w:ascii="Arial" w:cs="Arial" w:hAnsi="Arial"/>
          <w:sz w:val="22"/>
        </w:rPr>
        <w:t>和</w:t>
      </w:r>
      <w:r>
        <w:rPr>
          <w:rFonts w:eastAsia="等线" w:ascii="Arial" w:cs="Arial" w:hAnsi="Arial"/>
          <w:b w:val="true"/>
          <w:sz w:val="22"/>
        </w:rPr>
        <w:t>流体区块</w:t>
      </w:r>
      <w:r>
        <w:rPr>
          <w:rFonts w:eastAsia="等线" w:ascii="Arial" w:cs="Arial" w:hAnsi="Arial"/>
          <w:sz w:val="22"/>
        </w:rPr>
        <w:t>三大创新，CBPP在NAC公链坚实的基础上，构建了一个既保持绝对合规确定性，又实现高度去中心化、可扩展性和抗审查性的未来金融基础设施。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这不仅是技术的升级，更是治理哲学的实践：</w:t>
      </w:r>
      <w:r>
        <w:rPr>
          <w:rFonts w:eastAsia="等线" w:ascii="Arial" w:cs="Arial" w:hAnsi="Arial"/>
          <w:b w:val="true"/>
          <w:sz w:val="22"/>
        </w:rPr>
        <w:t>在明确、公正、透明的规则（宪法）之下，每一个参与者的自由行动（生产区块），共同编织出稳定、繁荣且不可篡改的秩序（区块链）</w:t>
      </w:r>
      <w:r>
        <w:rPr>
          <w:rFonts w:eastAsia="等线" w:ascii="Arial" w:cs="Arial" w:hAnsi="Arial"/>
          <w:sz w:val="22"/>
        </w:rPr>
        <w:t>。这正是“完美中心化框架下的去中心化”的终极技术表达。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4258209">
    <w:lvl>
      <w:start w:val="1"/>
      <w:numFmt w:val="decimal"/>
      <w:suff w:val="tab"/>
      <w:lvlText w:val="%1."/>
      <w:rPr>
        <w:color w:val="3370ff"/>
      </w:rPr>
    </w:lvl>
  </w:abstractNum>
  <w:abstractNum w:abstractNumId="4258210">
    <w:lvl>
      <w:start w:val="2"/>
      <w:numFmt w:val="decimal"/>
      <w:suff w:val="tab"/>
      <w:lvlText w:val="%1."/>
      <w:rPr>
        <w:color w:val="3370ff"/>
      </w:rPr>
    </w:lvl>
  </w:abstractNum>
  <w:abstractNum w:abstractNumId="4258211">
    <w:lvl>
      <w:start w:val="3"/>
      <w:numFmt w:val="decimal"/>
      <w:suff w:val="tab"/>
      <w:lvlText w:val="%1."/>
      <w:rPr>
        <w:color w:val="3370ff"/>
      </w:rPr>
    </w:lvl>
  </w:abstractNum>
  <w:abstractNum w:abstractNumId="4258212">
    <w:lvl>
      <w:start w:val="1"/>
      <w:numFmt w:val="decimal"/>
      <w:suff w:val="tab"/>
      <w:lvlText w:val="%1."/>
      <w:rPr>
        <w:color w:val="3370ff"/>
      </w:rPr>
    </w:lvl>
  </w:abstractNum>
  <w:abstractNum w:abstractNumId="4258213">
    <w:lvl>
      <w:numFmt w:val="bullet"/>
      <w:suff w:val="tab"/>
      <w:lvlText w:val="￮"/>
      <w:rPr>
        <w:color w:val="3370ff"/>
      </w:rPr>
    </w:lvl>
  </w:abstractNum>
  <w:abstractNum w:abstractNumId="4258214">
    <w:lvl>
      <w:numFmt w:val="bullet"/>
      <w:suff w:val="tab"/>
      <w:lvlText w:val="￮"/>
      <w:rPr>
        <w:color w:val="3370ff"/>
      </w:rPr>
    </w:lvl>
  </w:abstractNum>
  <w:abstractNum w:abstractNumId="4258215">
    <w:lvl>
      <w:start w:val="2"/>
      <w:numFmt w:val="decimal"/>
      <w:suff w:val="tab"/>
      <w:lvlText w:val="%1."/>
      <w:rPr>
        <w:color w:val="3370ff"/>
      </w:rPr>
    </w:lvl>
  </w:abstractNum>
  <w:abstractNum w:abstractNumId="4258216">
    <w:lvl>
      <w:numFmt w:val="bullet"/>
      <w:suff w:val="tab"/>
      <w:lvlText w:val="￮"/>
      <w:rPr>
        <w:color w:val="3370ff"/>
      </w:rPr>
    </w:lvl>
  </w:abstractNum>
  <w:abstractNum w:abstractNumId="4258217">
    <w:lvl>
      <w:numFmt w:val="bullet"/>
      <w:suff w:val="tab"/>
      <w:lvlText w:val="￮"/>
      <w:rPr>
        <w:color w:val="3370ff"/>
      </w:rPr>
    </w:lvl>
  </w:abstractNum>
  <w:abstractNum w:abstractNumId="4258218">
    <w:lvl>
      <w:start w:val="3"/>
      <w:numFmt w:val="decimal"/>
      <w:suff w:val="tab"/>
      <w:lvlText w:val="%1."/>
      <w:rPr>
        <w:color w:val="3370ff"/>
      </w:rPr>
    </w:lvl>
  </w:abstractNum>
  <w:abstractNum w:abstractNumId="4258219">
    <w:lvl>
      <w:numFmt w:val="bullet"/>
      <w:suff w:val="tab"/>
      <w:lvlText w:val="￮"/>
      <w:rPr>
        <w:color w:val="3370ff"/>
      </w:rPr>
    </w:lvl>
  </w:abstractNum>
  <w:abstractNum w:abstractNumId="4258220">
    <w:lvl>
      <w:numFmt w:val="bullet"/>
      <w:suff w:val="tab"/>
      <w:lvlText w:val="￮"/>
      <w:rPr>
        <w:color w:val="3370ff"/>
      </w:rPr>
    </w:lvl>
  </w:abstractNum>
  <w:abstractNum w:abstractNumId="4258221">
    <w:lvl>
      <w:start w:val="1"/>
      <w:numFmt w:val="decimal"/>
      <w:suff w:val="tab"/>
      <w:lvlText w:val="%1."/>
      <w:rPr>
        <w:color w:val="3370ff"/>
      </w:rPr>
    </w:lvl>
  </w:abstractNum>
  <w:abstractNum w:abstractNumId="4258222">
    <w:lvl>
      <w:start w:val="2"/>
      <w:numFmt w:val="decimal"/>
      <w:suff w:val="tab"/>
      <w:lvlText w:val="%1."/>
      <w:rPr>
        <w:color w:val="3370ff"/>
      </w:rPr>
    </w:lvl>
  </w:abstractNum>
  <w:abstractNum w:abstractNumId="4258223">
    <w:lvl>
      <w:numFmt w:val="bullet"/>
      <w:suff w:val="tab"/>
      <w:lvlText w:val="•"/>
      <w:rPr>
        <w:color w:val="3370ff"/>
      </w:rPr>
    </w:lvl>
  </w:abstractNum>
  <w:abstractNum w:abstractNumId="4258224">
    <w:lvl>
      <w:numFmt w:val="bullet"/>
      <w:suff w:val="tab"/>
      <w:lvlText w:val="•"/>
      <w:rPr>
        <w:color w:val="3370ff"/>
      </w:rPr>
    </w:lvl>
  </w:abstractNum>
  <w:abstractNum w:abstractNumId="4258225">
    <w:lvl>
      <w:numFmt w:val="bullet"/>
      <w:suff w:val="tab"/>
      <w:lvlText w:val="•"/>
      <w:rPr>
        <w:color w:val="3370ff"/>
      </w:rPr>
    </w:lvl>
  </w:abstractNum>
  <w:abstractNum w:abstractNumId="4258226">
    <w:lvl>
      <w:numFmt w:val="bullet"/>
      <w:suff w:val="tab"/>
      <w:lvlText w:val="•"/>
      <w:rPr>
        <w:color w:val="3370ff"/>
      </w:rPr>
    </w:lvl>
  </w:abstractNum>
  <w:abstractNum w:abstractNumId="4258227">
    <w:lvl>
      <w:numFmt w:val="bullet"/>
      <w:suff w:val="tab"/>
      <w:lvlText w:val="•"/>
      <w:rPr>
        <w:color w:val="3370ff"/>
      </w:rPr>
    </w:lvl>
  </w:abstractNum>
  <w:abstractNum w:abstractNumId="4258228">
    <w:lvl>
      <w:numFmt w:val="bullet"/>
      <w:suff w:val="tab"/>
      <w:lvlText w:val="•"/>
      <w:rPr>
        <w:color w:val="3370ff"/>
      </w:rPr>
    </w:lvl>
  </w:abstractNum>
  <w:abstractNum w:abstractNumId="4258229">
    <w:lvl>
      <w:numFmt w:val="bullet"/>
      <w:suff w:val="tab"/>
      <w:lvlText w:val="•"/>
      <w:rPr>
        <w:color w:val="3370ff"/>
      </w:rPr>
    </w:lvl>
  </w:abstractNum>
  <w:abstractNum w:abstractNumId="4258230">
    <w:lvl>
      <w:numFmt w:val="bullet"/>
      <w:suff w:val="tab"/>
      <w:lvlText w:val="•"/>
      <w:rPr>
        <w:color w:val="3370ff"/>
      </w:rPr>
    </w:lvl>
  </w:abstractNum>
  <w:abstractNum w:abstractNumId="4258231">
    <w:lvl>
      <w:start w:val="1"/>
      <w:numFmt w:val="lowerLetter"/>
      <w:suff w:val="tab"/>
      <w:lvlText w:val="%1."/>
      <w:rPr>
        <w:color w:val="3370ff"/>
      </w:rPr>
    </w:lvl>
  </w:abstractNum>
  <w:abstractNum w:abstractNumId="4258232">
    <w:lvl>
      <w:start w:val="2"/>
      <w:numFmt w:val="lowerLetter"/>
      <w:suff w:val="tab"/>
      <w:lvlText w:val="%1."/>
      <w:rPr>
        <w:color w:val="3370ff"/>
      </w:rPr>
    </w:lvl>
  </w:abstractNum>
  <w:abstractNum w:abstractNumId="4258233">
    <w:lvl>
      <w:start w:val="3"/>
      <w:numFmt w:val="lowerLetter"/>
      <w:suff w:val="tab"/>
      <w:lvlText w:val="%1."/>
      <w:rPr>
        <w:color w:val="3370ff"/>
      </w:rPr>
    </w:lvl>
  </w:abstractNum>
  <w:abstractNum w:abstractNumId="4258234">
    <w:lvl>
      <w:start w:val="4"/>
      <w:numFmt w:val="lowerLetter"/>
      <w:suff w:val="tab"/>
      <w:lvlText w:val="%1."/>
      <w:rPr>
        <w:color w:val="3370ff"/>
      </w:rPr>
    </w:lvl>
  </w:abstractNum>
  <w:abstractNum w:abstractNumId="4258235">
    <w:lvl>
      <w:numFmt w:val="bullet"/>
      <w:suff w:val="tab"/>
      <w:lvlText w:val="•"/>
      <w:rPr>
        <w:color w:val="3370ff"/>
      </w:rPr>
    </w:lvl>
  </w:abstractNum>
  <w:abstractNum w:abstractNumId="4258236">
    <w:lvl>
      <w:start w:val="1"/>
      <w:numFmt w:val="decimal"/>
      <w:suff w:val="tab"/>
      <w:lvlText w:val="%1."/>
      <w:rPr>
        <w:color w:val="3370ff"/>
      </w:rPr>
    </w:lvl>
  </w:abstractNum>
  <w:abstractNum w:abstractNumId="4258237">
    <w:lvl>
      <w:start w:val="2"/>
      <w:numFmt w:val="decimal"/>
      <w:suff w:val="tab"/>
      <w:lvlText w:val="%1."/>
      <w:rPr>
        <w:color w:val="3370ff"/>
      </w:rPr>
    </w:lvl>
  </w:abstractNum>
  <w:abstractNum w:abstractNumId="4258238">
    <w:lvl>
      <w:start w:val="3"/>
      <w:numFmt w:val="decimal"/>
      <w:suff w:val="tab"/>
      <w:lvlText w:val="%1."/>
      <w:rPr>
        <w:color w:val="3370ff"/>
      </w:rPr>
    </w:lvl>
  </w:abstractNum>
  <w:abstractNum w:abstractNumId="4258239">
    <w:lvl>
      <w:start w:val="4"/>
      <w:numFmt w:val="decimal"/>
      <w:suff w:val="tab"/>
      <w:lvlText w:val="%1."/>
      <w:rPr>
        <w:color w:val="3370ff"/>
      </w:rPr>
    </w:lvl>
  </w:abstractNum>
  <w:abstractNum w:abstractNumId="4258240">
    <w:lvl>
      <w:numFmt w:val="bullet"/>
      <w:suff w:val="tab"/>
      <w:lvlText w:val="•"/>
      <w:rPr>
        <w:color w:val="3370ff"/>
      </w:rPr>
    </w:lvl>
  </w:abstractNum>
  <w:abstractNum w:abstractNumId="4258241">
    <w:lvl>
      <w:numFmt w:val="bullet"/>
      <w:suff w:val="tab"/>
      <w:lvlText w:val="•"/>
      <w:rPr>
        <w:color w:val="3370ff"/>
      </w:rPr>
    </w:lvl>
  </w:abstractNum>
  <w:abstractNum w:abstractNumId="4258242">
    <w:lvl>
      <w:numFmt w:val="bullet"/>
      <w:suff w:val="tab"/>
      <w:lvlText w:val="•"/>
      <w:rPr>
        <w:color w:val="3370ff"/>
      </w:rPr>
    </w:lvl>
  </w:abstractNum>
  <w:abstractNum w:abstractNumId="4258243">
    <w:lvl>
      <w:numFmt w:val="bullet"/>
      <w:suff w:val="tab"/>
      <w:lvlText w:val="•"/>
      <w:rPr>
        <w:color w:val="3370ff"/>
      </w:rPr>
    </w:lvl>
  </w:abstractNum>
  <w:abstractNum w:abstractNumId="4258244">
    <w:lvl>
      <w:numFmt w:val="bullet"/>
      <w:suff w:val="tab"/>
      <w:lvlText w:val="•"/>
      <w:rPr>
        <w:color w:val="3370ff"/>
      </w:rPr>
    </w:lvl>
  </w:abstractNum>
  <w:abstractNum w:abstractNumId="4258245">
    <w:lvl>
      <w:numFmt w:val="bullet"/>
      <w:suff w:val="tab"/>
      <w:lvlText w:val="•"/>
      <w:rPr>
        <w:color w:val="3370ff"/>
      </w:rPr>
    </w:lvl>
  </w:abstractNum>
  <w:abstractNum w:abstractNumId="4258246">
    <w:lvl>
      <w:start w:val="1"/>
      <w:numFmt w:val="decimal"/>
      <w:suff w:val="tab"/>
      <w:lvlText w:val="%1."/>
      <w:rPr>
        <w:color w:val="3370ff"/>
      </w:rPr>
    </w:lvl>
  </w:abstractNum>
  <w:abstractNum w:abstractNumId="4258247">
    <w:lvl>
      <w:start w:val="2"/>
      <w:numFmt w:val="decimal"/>
      <w:suff w:val="tab"/>
      <w:lvlText w:val="%1."/>
      <w:rPr>
        <w:color w:val="3370ff"/>
      </w:rPr>
    </w:lvl>
  </w:abstractNum>
  <w:abstractNum w:abstractNumId="4258248">
    <w:lvl>
      <w:numFmt w:val="bullet"/>
      <w:suff w:val="tab"/>
      <w:lvlText w:val="￮"/>
      <w:rPr>
        <w:color w:val="3370ff"/>
      </w:rPr>
    </w:lvl>
  </w:abstractNum>
  <w:abstractNum w:abstractNumId="4258249">
    <w:lvl>
      <w:numFmt w:val="bullet"/>
      <w:suff w:val="tab"/>
      <w:lvlText w:val="￮"/>
      <w:rPr>
        <w:color w:val="3370ff"/>
      </w:rPr>
    </w:lvl>
  </w:abstractNum>
  <w:abstractNum w:abstractNumId="4258250">
    <w:lvl>
      <w:numFmt w:val="bullet"/>
      <w:suff w:val="tab"/>
      <w:lvlText w:val="￮"/>
      <w:rPr>
        <w:color w:val="3370ff"/>
      </w:rPr>
    </w:lvl>
  </w:abstractNum>
  <w:abstractNum w:abstractNumId="4258251">
    <w:lvl>
      <w:numFmt w:val="bullet"/>
      <w:suff w:val="tab"/>
      <w:lvlText w:val="￮"/>
      <w:rPr>
        <w:color w:val="3370ff"/>
      </w:rPr>
    </w:lvl>
  </w:abstractNum>
  <w:abstractNum w:abstractNumId="4258252">
    <w:lvl>
      <w:numFmt w:val="bullet"/>
      <w:suff w:val="tab"/>
      <w:lvlText w:val="￮"/>
      <w:rPr>
        <w:color w:val="3370ff"/>
      </w:rPr>
    </w:lvl>
  </w:abstractNum>
  <w:abstractNum w:abstractNumId="4258253">
    <w:lvl>
      <w:start w:val="3"/>
      <w:numFmt w:val="decimal"/>
      <w:suff w:val="tab"/>
      <w:lvlText w:val="%1."/>
      <w:rPr>
        <w:color w:val="3370ff"/>
      </w:rPr>
    </w:lvl>
  </w:abstractNum>
  <w:abstractNum w:abstractNumId="4258254">
    <w:lvl>
      <w:numFmt w:val="bullet"/>
      <w:suff w:val="tab"/>
      <w:lvlText w:val="•"/>
      <w:rPr>
        <w:color w:val="3370ff"/>
      </w:rPr>
    </w:lvl>
  </w:abstractNum>
  <w:abstractNum w:abstractNumId="4258255">
    <w:lvl>
      <w:numFmt w:val="bullet"/>
      <w:suff w:val="tab"/>
      <w:lvlText w:val="•"/>
      <w:rPr>
        <w:color w:val="3370ff"/>
      </w:rPr>
    </w:lvl>
  </w:abstractNum>
  <w:abstractNum w:abstractNumId="4258256">
    <w:lvl>
      <w:numFmt w:val="bullet"/>
      <w:suff w:val="tab"/>
      <w:lvlText w:val="•"/>
      <w:rPr>
        <w:color w:val="3370ff"/>
      </w:rPr>
    </w:lvl>
  </w:abstractNum>
  <w:abstractNum w:abstractNumId="4258257">
    <w:lvl>
      <w:numFmt w:val="bullet"/>
      <w:suff w:val="tab"/>
      <w:lvlText w:val="•"/>
      <w:rPr>
        <w:color w:val="3370ff"/>
      </w:rPr>
    </w:lvl>
  </w:abstractNum>
  <w:abstractNum w:abstractNumId="4258258">
    <w:lvl>
      <w:numFmt w:val="bullet"/>
      <w:suff w:val="tab"/>
      <w:lvlText w:val="•"/>
      <w:rPr>
        <w:color w:val="3370ff"/>
      </w:rPr>
    </w:lvl>
  </w:abstractNum>
  <w:abstractNum w:abstractNumId="4258259">
    <w:lvl>
      <w:numFmt w:val="bullet"/>
      <w:suff w:val="tab"/>
      <w:lvlText w:val="•"/>
      <w:rPr>
        <w:color w:val="3370ff"/>
      </w:rPr>
    </w:lvl>
  </w:abstractNum>
  <w:abstractNum w:abstractNumId="4258260">
    <w:lvl>
      <w:numFmt w:val="bullet"/>
      <w:suff w:val="tab"/>
      <w:lvlText w:val="•"/>
      <w:rPr>
        <w:color w:val="3370ff"/>
      </w:rPr>
    </w:lvl>
  </w:abstractNum>
  <w:abstractNum w:abstractNumId="4258261">
    <w:lvl>
      <w:start w:val="1"/>
      <w:numFmt w:val="decimal"/>
      <w:suff w:val="tab"/>
      <w:lvlText w:val="%1."/>
      <w:rPr>
        <w:color w:val="3370ff"/>
      </w:rPr>
    </w:lvl>
  </w:abstractNum>
  <w:abstractNum w:abstractNumId="4258262">
    <w:lvl>
      <w:start w:val="2"/>
      <w:numFmt w:val="decimal"/>
      <w:suff w:val="tab"/>
      <w:lvlText w:val="%1."/>
      <w:rPr>
        <w:color w:val="3370ff"/>
      </w:rPr>
    </w:lvl>
  </w:abstractNum>
  <w:abstractNum w:abstractNumId="4258263">
    <w:lvl>
      <w:start w:val="3"/>
      <w:numFmt w:val="decimal"/>
      <w:suff w:val="tab"/>
      <w:lvlText w:val="%1."/>
      <w:rPr>
        <w:color w:val="3370ff"/>
      </w:rPr>
    </w:lvl>
  </w:abstractNum>
  <w:abstractNum w:abstractNumId="4258264">
    <w:lvl>
      <w:numFmt w:val="bullet"/>
      <w:suff w:val="tab"/>
      <w:lvlText w:val="•"/>
      <w:rPr>
        <w:color w:val="3370ff"/>
      </w:rPr>
    </w:lvl>
  </w:abstractNum>
  <w:abstractNum w:abstractNumId="4258265">
    <w:lvl>
      <w:numFmt w:val="bullet"/>
      <w:suff w:val="tab"/>
      <w:lvlText w:val="•"/>
      <w:rPr>
        <w:color w:val="3370ff"/>
      </w:rPr>
    </w:lvl>
  </w:abstractNum>
  <w:abstractNum w:abstractNumId="4258266">
    <w:lvl>
      <w:numFmt w:val="bullet"/>
      <w:suff w:val="tab"/>
      <w:lvlText w:val="•"/>
      <w:rPr>
        <w:color w:val="3370ff"/>
      </w:rPr>
    </w:lvl>
  </w:abstractNum>
  <w:abstractNum w:abstractNumId="4258267">
    <w:lvl>
      <w:numFmt w:val="bullet"/>
      <w:suff w:val="tab"/>
      <w:lvlText w:val="•"/>
      <w:rPr>
        <w:color w:val="3370ff"/>
      </w:rPr>
    </w:lvl>
  </w:abstractNum>
  <w:abstractNum w:abstractNumId="4258268">
    <w:lvl>
      <w:numFmt w:val="bullet"/>
      <w:suff w:val="tab"/>
      <w:lvlText w:val="•"/>
      <w:rPr>
        <w:color w:val="3370ff"/>
      </w:rPr>
    </w:lvl>
  </w:abstractNum>
  <w:abstractNum w:abstractNumId="4258269">
    <w:lvl>
      <w:numFmt w:val="bullet"/>
      <w:suff w:val="tab"/>
      <w:lvlText w:val="•"/>
      <w:rPr>
        <w:color w:val="3370ff"/>
      </w:rPr>
    </w:lvl>
  </w:abstractNum>
  <w:abstractNum w:abstractNumId="4258270">
    <w:lvl>
      <w:numFmt w:val="bullet"/>
      <w:suff w:val="tab"/>
      <w:lvlText w:val="•"/>
      <w:rPr>
        <w:color w:val="3370ff"/>
      </w:rPr>
    </w:lvl>
  </w:abstractNum>
  <w:abstractNum w:abstractNumId="4258271">
    <w:lvl>
      <w:numFmt w:val="bullet"/>
      <w:suff w:val="tab"/>
      <w:lvlText w:val="•"/>
      <w:rPr>
        <w:color w:val="3370ff"/>
      </w:rPr>
    </w:lvl>
  </w:abstractNum>
  <w:abstractNum w:abstractNumId="4258272">
    <w:lvl>
      <w:numFmt w:val="bullet"/>
      <w:suff w:val="tab"/>
      <w:lvlText w:val="•"/>
      <w:rPr>
        <w:color w:val="3370ff"/>
      </w:rPr>
    </w:lvl>
  </w:abstractNum>
  <w:abstractNum w:abstractNumId="4258273">
    <w:lvl>
      <w:numFmt w:val="bullet"/>
      <w:suff w:val="tab"/>
      <w:lvlText w:val="•"/>
      <w:rPr>
        <w:color w:val="3370ff"/>
      </w:rPr>
    </w:lvl>
  </w:abstractNum>
  <w:abstractNum w:abstractNumId="4258274">
    <w:lvl>
      <w:numFmt w:val="bullet"/>
      <w:suff w:val="tab"/>
      <w:lvlText w:val="•"/>
      <w:rPr>
        <w:color w:val="3370ff"/>
      </w:rPr>
    </w:lvl>
  </w:abstractNum>
  <w:abstractNum w:abstractNumId="4258275">
    <w:lvl>
      <w:numFmt w:val="bullet"/>
      <w:suff w:val="tab"/>
      <w:lvlText w:val="•"/>
      <w:rPr>
        <w:color w:val="3370ff"/>
      </w:rPr>
    </w:lvl>
  </w:abstractNum>
  <w:abstractNum w:abstractNumId="4258276">
    <w:lvl>
      <w:numFmt w:val="bullet"/>
      <w:suff w:val="tab"/>
      <w:lvlText w:val="•"/>
      <w:rPr>
        <w:color w:val="3370ff"/>
      </w:rPr>
    </w:lvl>
  </w:abstractNum>
  <w:abstractNum w:abstractNumId="4258277">
    <w:lvl>
      <w:numFmt w:val="bullet"/>
      <w:suff w:val="tab"/>
      <w:lvlText w:val="•"/>
      <w:rPr>
        <w:color w:val="3370ff"/>
      </w:rPr>
    </w:lvl>
  </w:abstractNum>
  <w:abstractNum w:abstractNumId="4258278">
    <w:lvl>
      <w:numFmt w:val="bullet"/>
      <w:suff w:val="tab"/>
      <w:lvlText w:val="•"/>
      <w:rPr>
        <w:color w:val="3370ff"/>
      </w:rPr>
    </w:lvl>
  </w:abstractNum>
  <w:abstractNum w:abstractNumId="4258279">
    <w:lvl>
      <w:numFmt w:val="bullet"/>
      <w:suff w:val="tab"/>
      <w:lvlText w:val="•"/>
      <w:rPr>
        <w:color w:val="3370ff"/>
      </w:rPr>
    </w:lvl>
  </w:abstractNum>
  <w:abstractNum w:abstractNumId="4258280">
    <w:lvl>
      <w:numFmt w:val="bullet"/>
      <w:suff w:val="tab"/>
      <w:lvlText w:val="•"/>
      <w:rPr>
        <w:color w:val="3370ff"/>
      </w:rPr>
    </w:lvl>
  </w:abstractNum>
  <w:abstractNum w:abstractNumId="4258281">
    <w:lvl>
      <w:numFmt w:val="bullet"/>
      <w:suff w:val="tab"/>
      <w:lvlText w:val="•"/>
      <w:rPr>
        <w:color w:val="3370ff"/>
      </w:rPr>
    </w:lvl>
  </w:abstractNum>
  <w:abstractNum w:abstractNumId="4258282">
    <w:lvl>
      <w:numFmt w:val="bullet"/>
      <w:suff w:val="tab"/>
      <w:lvlText w:val="•"/>
      <w:rPr>
        <w:color w:val="3370ff"/>
      </w:rPr>
    </w:lvl>
  </w:abstractNum>
  <w:abstractNum w:abstractNumId="4258283">
    <w:lvl>
      <w:numFmt w:val="bullet"/>
      <w:suff w:val="tab"/>
      <w:lvlText w:val="•"/>
      <w:rPr>
        <w:color w:val="3370ff"/>
      </w:rPr>
    </w:lvl>
  </w:abstractNum>
  <w:abstractNum w:abstractNumId="4258284">
    <w:lvl>
      <w:numFmt w:val="bullet"/>
      <w:suff w:val="tab"/>
      <w:lvlText w:val="•"/>
      <w:rPr>
        <w:color w:val="3370ff"/>
      </w:rPr>
    </w:lvl>
  </w:abstractNum>
  <w:abstractNum w:abstractNumId="4258285">
    <w:lvl>
      <w:numFmt w:val="bullet"/>
      <w:suff w:val="tab"/>
      <w:lvlText w:val="•"/>
      <w:rPr>
        <w:color w:val="3370ff"/>
      </w:rPr>
    </w:lvl>
  </w:abstractNum>
  <w:abstractNum w:abstractNumId="4258286">
    <w:lvl>
      <w:numFmt w:val="bullet"/>
      <w:suff w:val="tab"/>
      <w:lvlText w:val="•"/>
      <w:rPr>
        <w:color w:val="3370ff"/>
      </w:rPr>
    </w:lvl>
  </w:abstractNum>
  <w:abstractNum w:abstractNumId="4258287">
    <w:lvl>
      <w:numFmt w:val="bullet"/>
      <w:suff w:val="tab"/>
      <w:lvlText w:val="•"/>
      <w:rPr>
        <w:color w:val="3370ff"/>
      </w:rPr>
    </w:lvl>
  </w:abstractNum>
  <w:abstractNum w:abstractNumId="4258288">
    <w:lvl>
      <w:numFmt w:val="bullet"/>
      <w:suff w:val="tab"/>
      <w:lvlText w:val="•"/>
      <w:rPr>
        <w:color w:val="3370ff"/>
      </w:rPr>
    </w:lvl>
  </w:abstractNum>
  <w:abstractNum w:abstractNumId="4258289">
    <w:lvl>
      <w:numFmt w:val="bullet"/>
      <w:suff w:val="tab"/>
      <w:lvlText w:val="•"/>
      <w:rPr>
        <w:color w:val="3370ff"/>
      </w:rPr>
    </w:lvl>
  </w:abstractNum>
  <w:abstractNum w:abstractNumId="4258290">
    <w:lvl>
      <w:numFmt w:val="bullet"/>
      <w:suff w:val="tab"/>
      <w:lvlText w:val="•"/>
      <w:rPr>
        <w:color w:val="3370ff"/>
      </w:rPr>
    </w:lvl>
  </w:abstractNum>
  <w:abstractNum w:abstractNumId="4258291">
    <w:lvl>
      <w:numFmt w:val="bullet"/>
      <w:suff w:val="tab"/>
      <w:lvlText w:val="•"/>
      <w:rPr>
        <w:color w:val="3370ff"/>
      </w:rPr>
    </w:lvl>
  </w:abstractNum>
  <w:abstractNum w:abstractNumId="4258292">
    <w:lvl>
      <w:numFmt w:val="bullet"/>
      <w:suff w:val="tab"/>
      <w:lvlText w:val="•"/>
      <w:rPr>
        <w:color w:val="3370ff"/>
      </w:rPr>
    </w:lvl>
  </w:abstractNum>
  <w:num w:numId="1">
    <w:abstractNumId w:val="4258209"/>
  </w:num>
  <w:num w:numId="2">
    <w:abstractNumId w:val="4258210"/>
  </w:num>
  <w:num w:numId="3">
    <w:abstractNumId w:val="4258211"/>
  </w:num>
  <w:num w:numId="4">
    <w:abstractNumId w:val="4258212"/>
  </w:num>
  <w:num w:numId="5">
    <w:abstractNumId w:val="4258213"/>
  </w:num>
  <w:num w:numId="6">
    <w:abstractNumId w:val="4258214"/>
  </w:num>
  <w:num w:numId="7">
    <w:abstractNumId w:val="4258215"/>
  </w:num>
  <w:num w:numId="8">
    <w:abstractNumId w:val="4258216"/>
  </w:num>
  <w:num w:numId="9">
    <w:abstractNumId w:val="4258217"/>
  </w:num>
  <w:num w:numId="10">
    <w:abstractNumId w:val="4258218"/>
  </w:num>
  <w:num w:numId="11">
    <w:abstractNumId w:val="4258219"/>
  </w:num>
  <w:num w:numId="12">
    <w:abstractNumId w:val="4258220"/>
  </w:num>
  <w:num w:numId="13">
    <w:abstractNumId w:val="4258221"/>
  </w:num>
  <w:num w:numId="14">
    <w:abstractNumId w:val="4258222"/>
  </w:num>
  <w:num w:numId="15">
    <w:abstractNumId w:val="4258223"/>
  </w:num>
  <w:num w:numId="16">
    <w:abstractNumId w:val="4258224"/>
  </w:num>
  <w:num w:numId="17">
    <w:abstractNumId w:val="4258225"/>
  </w:num>
  <w:num w:numId="18">
    <w:abstractNumId w:val="4258226"/>
  </w:num>
  <w:num w:numId="19">
    <w:abstractNumId w:val="4258227"/>
  </w:num>
  <w:num w:numId="20">
    <w:abstractNumId w:val="4258228"/>
  </w:num>
  <w:num w:numId="21">
    <w:abstractNumId w:val="4258229"/>
  </w:num>
  <w:num w:numId="22">
    <w:abstractNumId w:val="4258230"/>
  </w:num>
  <w:num w:numId="23">
    <w:abstractNumId w:val="4258231"/>
  </w:num>
  <w:num w:numId="24">
    <w:abstractNumId w:val="4258232"/>
  </w:num>
  <w:num w:numId="25">
    <w:abstractNumId w:val="4258233"/>
  </w:num>
  <w:num w:numId="26">
    <w:abstractNumId w:val="4258234"/>
  </w:num>
  <w:num w:numId="27">
    <w:abstractNumId w:val="4258235"/>
  </w:num>
  <w:num w:numId="28">
    <w:abstractNumId w:val="4258236"/>
  </w:num>
  <w:num w:numId="29">
    <w:abstractNumId w:val="4258237"/>
  </w:num>
  <w:num w:numId="30">
    <w:abstractNumId w:val="4258238"/>
  </w:num>
  <w:num w:numId="31">
    <w:abstractNumId w:val="4258239"/>
  </w:num>
  <w:num w:numId="32">
    <w:abstractNumId w:val="4258240"/>
  </w:num>
  <w:num w:numId="33">
    <w:abstractNumId w:val="4258241"/>
  </w:num>
  <w:num w:numId="34">
    <w:abstractNumId w:val="4258242"/>
  </w:num>
  <w:num w:numId="35">
    <w:abstractNumId w:val="4258243"/>
  </w:num>
  <w:num w:numId="36">
    <w:abstractNumId w:val="4258244"/>
  </w:num>
  <w:num w:numId="37">
    <w:abstractNumId w:val="4258245"/>
  </w:num>
  <w:num w:numId="38">
    <w:abstractNumId w:val="4258246"/>
  </w:num>
  <w:num w:numId="39">
    <w:abstractNumId w:val="4258247"/>
  </w:num>
  <w:num w:numId="40">
    <w:abstractNumId w:val="4258248"/>
  </w:num>
  <w:num w:numId="41">
    <w:abstractNumId w:val="4258249"/>
  </w:num>
  <w:num w:numId="42">
    <w:abstractNumId w:val="4258250"/>
  </w:num>
  <w:num w:numId="43">
    <w:abstractNumId w:val="4258251"/>
  </w:num>
  <w:num w:numId="44">
    <w:abstractNumId w:val="4258252"/>
  </w:num>
  <w:num w:numId="45">
    <w:abstractNumId w:val="4258253"/>
  </w:num>
  <w:num w:numId="46">
    <w:abstractNumId w:val="4258254"/>
  </w:num>
  <w:num w:numId="47">
    <w:abstractNumId w:val="4258255"/>
  </w:num>
  <w:num w:numId="48">
    <w:abstractNumId w:val="4258256"/>
  </w:num>
  <w:num w:numId="49">
    <w:abstractNumId w:val="4258257"/>
  </w:num>
  <w:num w:numId="50">
    <w:abstractNumId w:val="4258258"/>
  </w:num>
  <w:num w:numId="51">
    <w:abstractNumId w:val="4258259"/>
  </w:num>
  <w:num w:numId="52">
    <w:abstractNumId w:val="4258260"/>
  </w:num>
  <w:num w:numId="53">
    <w:abstractNumId w:val="4258261"/>
  </w:num>
  <w:num w:numId="54">
    <w:abstractNumId w:val="4258262"/>
  </w:num>
  <w:num w:numId="55">
    <w:abstractNumId w:val="4258263"/>
  </w:num>
  <w:num w:numId="56">
    <w:abstractNumId w:val="4258264"/>
  </w:num>
  <w:num w:numId="57">
    <w:abstractNumId w:val="4258265"/>
  </w:num>
  <w:num w:numId="58">
    <w:abstractNumId w:val="4258266"/>
  </w:num>
  <w:num w:numId="59">
    <w:abstractNumId w:val="4258267"/>
  </w:num>
  <w:num w:numId="60">
    <w:abstractNumId w:val="4258268"/>
  </w:num>
  <w:num w:numId="61">
    <w:abstractNumId w:val="4258269"/>
  </w:num>
  <w:num w:numId="62">
    <w:abstractNumId w:val="4258270"/>
  </w:num>
  <w:num w:numId="63">
    <w:abstractNumId w:val="4258271"/>
  </w:num>
  <w:num w:numId="64">
    <w:abstractNumId w:val="4258272"/>
  </w:num>
  <w:num w:numId="65">
    <w:abstractNumId w:val="4258273"/>
  </w:num>
  <w:num w:numId="66">
    <w:abstractNumId w:val="4258274"/>
  </w:num>
  <w:num w:numId="67">
    <w:abstractNumId w:val="4258275"/>
  </w:num>
  <w:num w:numId="68">
    <w:abstractNumId w:val="4258276"/>
  </w:num>
  <w:num w:numId="69">
    <w:abstractNumId w:val="4258277"/>
  </w:num>
  <w:num w:numId="70">
    <w:abstractNumId w:val="4258278"/>
  </w:num>
  <w:num w:numId="71">
    <w:abstractNumId w:val="4258279"/>
  </w:num>
  <w:num w:numId="72">
    <w:abstractNumId w:val="4258280"/>
  </w:num>
  <w:num w:numId="73">
    <w:abstractNumId w:val="4258281"/>
  </w:num>
  <w:num w:numId="74">
    <w:abstractNumId w:val="4258282"/>
  </w:num>
  <w:num w:numId="75">
    <w:abstractNumId w:val="4258283"/>
  </w:num>
  <w:num w:numId="76">
    <w:abstractNumId w:val="4258284"/>
  </w:num>
  <w:num w:numId="77">
    <w:abstractNumId w:val="4258285"/>
  </w:num>
  <w:num w:numId="78">
    <w:abstractNumId w:val="4258286"/>
  </w:num>
  <w:num w:numId="79">
    <w:abstractNumId w:val="4258287"/>
  </w:num>
  <w:num w:numId="80">
    <w:abstractNumId w:val="4258288"/>
  </w:num>
  <w:num w:numId="81">
    <w:abstractNumId w:val="4258289"/>
  </w:num>
  <w:num w:numId="82">
    <w:abstractNumId w:val="4258290"/>
  </w:num>
  <w:num w:numId="83">
    <w:abstractNumId w:val="4258291"/>
  </w:num>
  <w:num w:numId="84">
    <w:abstractNumId w:val="425829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2026-02-03T12:31:00Z</dcterms:created>
  <dc:creator>Apache POI</dc:creator>
</cp:coreProperties>
</file>