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宪政神经网络语言（CNNL）核心技术白皮书与落地方</w:t>
      </w:r>
      <w:r>
        <w:rPr>
          <w:rFonts w:eastAsia="等线" w:ascii="Arial" w:cs="Arial" w:hAnsi="Arial"/>
          <w:b w:val="true"/>
          <w:sz w:val="52"/>
        </w:rPr>
        <w:t>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——为数字宪法而生的声明式立法语言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：NAC宪法法院 · 立法技术委员会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关联协议</w:t>
      </w:r>
      <w:r>
        <w:rPr>
          <w:rFonts w:eastAsia="等线" w:ascii="Arial" w:cs="Arial" w:hAnsi="Arial"/>
          <w:sz w:val="22"/>
        </w:rPr>
        <w:t>：宪法层v1.0、CBPP v1.0、CSNP v2.0、NVM v2.1、UDM v2.0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密级</w:t>
      </w:r>
      <w:r>
        <w:rPr>
          <w:rFonts w:eastAsia="等线" w:ascii="Arial" w:cs="Arial" w:hAnsi="Arial"/>
          <w:sz w:val="22"/>
        </w:rPr>
        <w:t>：公开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重要声明：CNNL与NVIDIA NCCL的本质区别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本白皮书定义的“宪政神经网络语言”（Constitutional Neural Network Language, CNNL）与NVIDIA Corporation开发的“NVIDIA Collective Communications Library”（NCCL）是两个完全独立、领域根本不同的技术体系</w:t>
      </w:r>
      <w:r>
        <w:rPr>
          <w:rFonts w:eastAsia="等线" w:ascii="Arial" w:cs="Arial" w:hAnsi="Arial"/>
          <w:sz w:val="22"/>
        </w:rPr>
        <w:t>，除英文缩写相似外无任何关联。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185"/>
        <w:gridCol w:w="3555"/>
        <w:gridCol w:w="3555"/>
      </w:tblGrid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维度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 CNNL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NVIDIA NCCL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全称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Constitutional Neural Network Language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NVIDIA Collective Communications Library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领域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区块链宪法层立法语言、形式化法律规范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高性能计算、多GPU通信库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定位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为数字宪法而生的声明式立法语言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多GPU集体通信加速库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输出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宪法条款（NCCL）、宪法收据验证逻辑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多GPU通信原语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执行环境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NVM虚拟机、宪法执行引擎（CEE）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CUDA、NVLink、InfiniBand</w:t>
            </w:r>
          </w:p>
        </w:tc>
      </w:tr>
      <w:tr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设计哲学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法治代码化、规则即共识</w:t>
            </w:r>
          </w:p>
        </w:tc>
        <w:tc>
          <w:tcPr>
            <w:tcW w:w="35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拓扑感知、带宽最大化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本白皮书全部内容仅针对NAC公链的宪政神经网络语言（CNNL）</w:t>
      </w:r>
      <w:r>
        <w:rPr>
          <w:rFonts w:eastAsia="等线" w:ascii="Arial" w:cs="Arial" w:hAnsi="Arial"/>
          <w:sz w:val="22"/>
        </w:rPr>
        <w:t>，与NVIDIA NCCL无关。为避免混淆，NAC生态内</w:t>
      </w:r>
      <w:r>
        <w:rPr>
          <w:rFonts w:eastAsia="等线" w:ascii="Arial" w:cs="Arial" w:hAnsi="Arial"/>
          <w:b w:val="true"/>
          <w:sz w:val="22"/>
        </w:rPr>
        <w:t>严禁使用“NCCL”作为本语言的缩写</w:t>
      </w:r>
      <w:r>
        <w:rPr>
          <w:rFonts w:eastAsia="等线" w:ascii="Arial" w:cs="Arial" w:hAnsi="Arial"/>
          <w:sz w:val="22"/>
        </w:rPr>
        <w:t>，统一使用全大写“CNNL”。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前言：为什么要发明CNNL？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数字宪法的“语言困境”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NAC公链在过去两年的设计中，完成了以下里程碑：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共识层</w:t>
      </w:r>
      <w:r>
        <w:rPr>
          <w:rFonts w:eastAsia="等线" w:ascii="Arial" w:cs="Arial" w:hAnsi="Arial"/>
          <w:sz w:val="22"/>
        </w:rPr>
        <w:t>：CBPP——以宪法收据为核心的规则服从共识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网络层</w:t>
      </w:r>
      <w:r>
        <w:rPr>
          <w:rFonts w:eastAsia="等线" w:ascii="Arial" w:cs="Arial" w:hAnsi="Arial"/>
          <w:sz w:val="22"/>
        </w:rPr>
        <w:t>：CSNP——资产感知、法治化路由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资产层</w:t>
      </w:r>
      <w:r>
        <w:rPr>
          <w:rFonts w:eastAsia="等线" w:ascii="Arial" w:cs="Arial" w:hAnsi="Arial"/>
          <w:sz w:val="22"/>
        </w:rPr>
        <w:t>：ACC-20/GNACS——RWA数字基因标准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稳定币</w:t>
      </w:r>
      <w:r>
        <w:rPr>
          <w:rFonts w:eastAsia="等线" w:ascii="Arial" w:cs="Arial" w:hAnsi="Arial"/>
          <w:sz w:val="22"/>
        </w:rPr>
        <w:t>：XTZH——AI驱动的三重锚定宏观稳定币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宪法层</w:t>
      </w:r>
      <w:r>
        <w:rPr>
          <w:rFonts w:eastAsia="等线" w:ascii="Arial" w:cs="Arial" w:hAnsi="Arial"/>
          <w:sz w:val="22"/>
        </w:rPr>
        <w:t>：43条增补条款——覆盖资产、共识、网络、储备、治理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然而，我们面临一个根本性缺失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43条宪法条款目前用自然语言（中文/英文）书写。自然语言存在歧义性、不可执行性、跨司法辖区解释差异。</w:t>
      </w:r>
      <w:r>
        <w:rPr>
          <w:rFonts w:eastAsia="等线" w:ascii="Arial" w:cs="Arial" w:hAnsi="Arial"/>
          <w:sz w:val="22"/>
        </w:rPr>
        <w:t xml:space="preserve"> 这导致：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宪法收据（CR）无法直接验证条款语义</w:t>
      </w:r>
      <w:r>
        <w:rPr>
          <w:rFonts w:eastAsia="等线" w:ascii="Arial" w:cs="Arial" w:hAnsi="Arial"/>
          <w:sz w:val="22"/>
        </w:rPr>
        <w:t>——CEE只能通过硬编码的逻辑近似“判断”交易是否合规，而非真正“执行”宪法条款。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宪法法院裁决依赖人工解释</w:t>
      </w:r>
      <w:r>
        <w:rPr>
          <w:rFonts w:eastAsia="等线" w:ascii="Arial" w:cs="Arial" w:hAnsi="Arial"/>
          <w:sz w:val="22"/>
        </w:rPr>
        <w:t>——法官需阅读数百页自然语言宪法，裁决过程无法被链上算法验证。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宪法升级无法自动化</w:t>
      </w:r>
      <w:r>
        <w:rPr>
          <w:rFonts w:eastAsia="等线" w:ascii="Arial" w:cs="Arial" w:hAnsi="Arial"/>
          <w:sz w:val="22"/>
        </w:rPr>
        <w:t>——条款修改后，CEE、节点软件、UDM模块需人工同步修改，极易引入不一致。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结论</w:t>
      </w:r>
      <w:r>
        <w:rPr>
          <w:rFonts w:eastAsia="等线" w:ascii="Arial" w:cs="Arial" w:hAnsi="Arial"/>
          <w:sz w:val="22"/>
        </w:rPr>
        <w:t>：数字宪法需要一种</w:t>
      </w:r>
      <w:r>
        <w:rPr>
          <w:rFonts w:eastAsia="等线" w:ascii="Arial" w:cs="Arial" w:hAnsi="Arial"/>
          <w:b w:val="true"/>
          <w:sz w:val="22"/>
        </w:rPr>
        <w:t>机器可读、人类可审计、形式化可验证、可自动执行</w:t>
      </w:r>
      <w:r>
        <w:rPr>
          <w:rFonts w:eastAsia="等线" w:ascii="Arial" w:cs="Arial" w:hAnsi="Arial"/>
          <w:sz w:val="22"/>
        </w:rPr>
        <w:t>的立法语言。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CNNL的使命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CNNL（Constitutional Neural Network Language）是专为NAC数字宪法设计的声明式立法语言</w:t>
      </w:r>
      <w:r>
        <w:rPr>
          <w:rFonts w:eastAsia="等线" w:ascii="Arial" w:cs="Arial" w:hAnsi="Arial"/>
          <w:sz w:val="22"/>
        </w:rPr>
        <w:t>。它不是通用编程语言，也不是智能合约语言，而是</w:t>
      </w:r>
      <w:r>
        <w:rPr>
          <w:rFonts w:eastAsia="等线" w:ascii="Arial" w:cs="Arial" w:hAnsi="Arial"/>
          <w:b w:val="true"/>
          <w:sz w:val="22"/>
        </w:rPr>
        <w:t>立法专用领域特定语言（DSL）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核心定位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让宪法条款从“自然语言文本”进化为“可执行法律代码”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三大设计目标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立法者可读</w:t>
      </w:r>
      <w:r>
        <w:rPr>
          <w:rFonts w:eastAsia="等线" w:ascii="Arial" w:cs="Arial" w:hAnsi="Arial"/>
          <w:sz w:val="22"/>
        </w:rPr>
        <w:t>：语法接近自然法律英语，法官、议员无需编程背景即可审阅。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机器可执行</w:t>
      </w:r>
      <w:r>
        <w:rPr>
          <w:rFonts w:eastAsia="等线" w:ascii="Arial" w:cs="Arial" w:hAnsi="Arial"/>
          <w:sz w:val="22"/>
        </w:rPr>
        <w:t>：编译为NVM字节码，嵌入宪法执行引擎（CEE），自动验证交易合规性。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形式化可证</w:t>
      </w:r>
      <w:r>
        <w:rPr>
          <w:rFonts w:eastAsia="等线" w:ascii="Arial" w:cs="Arial" w:hAnsi="Arial"/>
          <w:sz w:val="22"/>
        </w:rPr>
        <w:t>：每条条款可转化为时态逻辑公式，通过SMT求解器验证无逻辑矛盾。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CNNL不是要取代Charter语言</w:t>
      </w:r>
      <w:r>
        <w:rPr>
          <w:rFonts w:eastAsia="等线" w:ascii="Arial" w:cs="Arial" w:hAnsi="Arial"/>
          <w:sz w:val="22"/>
        </w:rPr>
        <w:t>。Charter是</w:t>
      </w:r>
      <w:r>
        <w:rPr>
          <w:rFonts w:eastAsia="等线" w:ascii="Arial" w:cs="Arial" w:hAnsi="Arial"/>
          <w:b w:val="true"/>
          <w:sz w:val="22"/>
        </w:rPr>
        <w:t>智能合约语言</w:t>
      </w:r>
      <w:r>
        <w:rPr>
          <w:rFonts w:eastAsia="等线" w:ascii="Arial" w:cs="Arial" w:hAnsi="Arial"/>
          <w:sz w:val="22"/>
        </w:rPr>
        <w:t>，服务于资产发行方、应用开发者；CNNL是</w:t>
      </w:r>
      <w:r>
        <w:rPr>
          <w:rFonts w:eastAsia="等线" w:ascii="Arial" w:cs="Arial" w:hAnsi="Arial"/>
          <w:b w:val="true"/>
          <w:sz w:val="22"/>
        </w:rPr>
        <w:t>宪法语言</w:t>
      </w:r>
      <w:r>
        <w:rPr>
          <w:rFonts w:eastAsia="等线" w:ascii="Arial" w:cs="Arial" w:hAnsi="Arial"/>
          <w:sz w:val="22"/>
        </w:rPr>
        <w:t>，服务于立法者、宪法法院、治理委员会。两者层级不同、用户不同、语义复杂度不同。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2. 设计哲学：从“代码即法律”到“法律即代码”</w:t>
      </w:r>
      <w:bookmarkEnd w:id="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2.1 法律与代码的三次范式跃迁</w:t>
      </w:r>
      <w:bookmarkEnd w:id="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065"/>
        <w:gridCol w:w="1605"/>
        <w:gridCol w:w="1605"/>
        <w:gridCol w:w="4005"/>
      </w:tblGrid>
      <w:tr>
        <w:tc>
          <w:tcPr>
            <w:tcW w:w="106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阶段</w:t>
            </w:r>
          </w:p>
        </w:tc>
        <w:tc>
          <w:tcPr>
            <w:tcW w:w="1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范式</w:t>
            </w:r>
          </w:p>
        </w:tc>
        <w:tc>
          <w:tcPr>
            <w:tcW w:w="1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代表</w:t>
            </w:r>
          </w:p>
        </w:tc>
        <w:tc>
          <w:tcPr>
            <w:tcW w:w="40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局限性</w:t>
            </w:r>
          </w:p>
        </w:tc>
      </w:tr>
      <w:tr>
        <w:tc>
          <w:tcPr>
            <w:tcW w:w="106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1.0</w:t>
            </w:r>
          </w:p>
        </w:tc>
        <w:tc>
          <w:tcPr>
            <w:tcW w:w="1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法律由人执行</w:t>
            </w:r>
          </w:p>
        </w:tc>
        <w:tc>
          <w:tcPr>
            <w:tcW w:w="1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传统司法</w:t>
            </w:r>
          </w:p>
        </w:tc>
        <w:tc>
          <w:tcPr>
            <w:tcW w:w="40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低效、昂贵、地域割裂</w:t>
            </w:r>
          </w:p>
        </w:tc>
      </w:tr>
      <w:tr>
        <w:tc>
          <w:tcPr>
            <w:tcW w:w="106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2.0</w:t>
            </w:r>
          </w:p>
        </w:tc>
        <w:tc>
          <w:tcPr>
            <w:tcW w:w="1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代码即法律（Code is Law）</w:t>
            </w:r>
          </w:p>
        </w:tc>
        <w:tc>
          <w:tcPr>
            <w:tcW w:w="1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Solidity智能合约</w:t>
            </w:r>
          </w:p>
        </w:tc>
        <w:tc>
          <w:tcPr>
            <w:tcW w:w="40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法律语义缺失，仅能表达“转账”，无法表达“权利”“义务”“管辖”</w:t>
            </w:r>
          </w:p>
        </w:tc>
      </w:tr>
      <w:tr>
        <w:tc>
          <w:tcPr>
            <w:tcW w:w="106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3.0</w:t>
            </w:r>
          </w:p>
        </w:tc>
        <w:tc>
          <w:tcPr>
            <w:tcW w:w="1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法律即代码（Law is Code）</w:t>
            </w:r>
          </w:p>
        </w:tc>
        <w:tc>
          <w:tcPr>
            <w:tcW w:w="1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</w:t>
            </w:r>
          </w:p>
        </w:tc>
        <w:tc>
          <w:tcPr>
            <w:tcW w:w="40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立法者书写法律，编译器生成可执行代码，法院裁决可被算法验证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CNNL属于3.0范式</w:t>
      </w:r>
      <w:r>
        <w:rPr>
          <w:rFonts w:eastAsia="等线" w:ascii="Arial" w:cs="Arial" w:hAnsi="Arial"/>
          <w:sz w:val="22"/>
        </w:rPr>
        <w:t>。它不试图让程序员写法律，而是</w:t>
      </w:r>
      <w:r>
        <w:rPr>
          <w:rFonts w:eastAsia="等线" w:ascii="Arial" w:cs="Arial" w:hAnsi="Arial"/>
          <w:b w:val="true"/>
          <w:sz w:val="22"/>
        </w:rPr>
        <w:t>让立法者用立法语言写代码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2.2 CNNL的四大核心原则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原则1：声明式，非过程式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立法者只描述“什么是合规状态”，不描述“如何达到合规状态”。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cnnl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✅ 正确：任何XTZH铸造交易，其抵押率必须≥125%。</w:t>
              <w:br/>
              <w:t xml:space="preserve">❌ </w:t>
            </w:r>
            <w:r>
              <w:rPr>
                <w:rFonts w:eastAsia="Consolas" w:ascii="Consolas" w:cs="Consolas" w:hAnsi="Consolas"/>
                <w:sz w:val="22"/>
              </w:rPr>
              <w:t>错误：首先检查用户余额，然后查询黄金合约价值，再计算抵押率，若小于125%则拒绝。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原则2：时态感知，非瞬时判断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法律条款天然包含时间概念（“在……之后”“持续超过……”“每季度”）。CNNL原生支持时态逻辑。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cnnl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覆盖率低于125%持续超过15分钟 → 触发二级熔断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原则3：义务与权利的一等公民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传统智能合约只能表达“谁转给谁多少钱”，无法表达“A有义务在T时刻前交付文件”“B有权在违约时扣押抵押品”。CNNL将</w:t>
      </w:r>
      <w:r>
        <w:rPr>
          <w:rFonts w:eastAsia="等线" w:ascii="Arial" w:cs="Arial" w:hAnsi="Arial"/>
          <w:b w:val="true"/>
          <w:sz w:val="22"/>
        </w:rPr>
        <w:t>义务（Obligation）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权利（Right）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权力（Power）</w:t>
      </w:r>
      <w:r>
        <w:rPr>
          <w:rFonts w:eastAsia="等线" w:ascii="Arial" w:cs="Arial" w:hAnsi="Arial"/>
          <w:sz w:val="22"/>
        </w:rPr>
        <w:t xml:space="preserve"> 作为语言内置类型。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原则4：形式化验证原生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每条CNNL条款编译时自动生成</w:t>
      </w:r>
      <w:r>
        <w:rPr>
          <w:rFonts w:eastAsia="等线" w:ascii="Arial" w:cs="Arial" w:hAnsi="Arial"/>
          <w:b w:val="true"/>
          <w:sz w:val="22"/>
        </w:rPr>
        <w:t>时态逻辑公式</w:t>
      </w:r>
      <w:r>
        <w:rPr>
          <w:rFonts w:eastAsia="等线" w:ascii="Arial" w:cs="Arial" w:hAnsi="Arial"/>
          <w:sz w:val="22"/>
        </w:rPr>
        <w:t>，由SMT求解器验证：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条款内部无逻辑矛盾（一致性）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新条款与旧宪法无冲突（相容性）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无不可满足的义务（可实现性）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7" w:id="7"/>
      <w:r>
        <w:rPr>
          <w:rFonts w:eastAsia="等线" w:ascii="Arial" w:cs="Arial" w:hAnsi="Arial"/>
          <w:b w:val="true"/>
          <w:sz w:val="36"/>
        </w:rPr>
        <w:t>3. CNNL语言规范（核心子集）</w:t>
      </w:r>
      <w:bookmarkEnd w:id="7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3.1 语言全景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cnnl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CNNL程序 = 导入声明 + 类型定义 + 常量定义 + 条款集合</w:t>
              <w:br/>
              <w:t>条款 = 条款头 + 主体</w:t>
            </w:r>
            <w:r>
              <w:rPr>
                <w:rFonts w:eastAsia="Consolas" w:ascii="Consolas" w:cs="Consolas" w:hAnsi="Consolas"/>
                <w:sz w:val="22"/>
              </w:rPr>
              <w:t>定义 + 条件表达式 + 法律后果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3.2 基础类型系统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380"/>
        <w:gridCol w:w="2760"/>
        <w:gridCol w:w="4140"/>
      </w:tblGrid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类型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说明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示例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Party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法律主体（地址/DID）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party CBP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Asset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链上资产（GNACS绑定）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asset XTZH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Amount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数量（带精度）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1000000 XTZH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Time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时间点/时间段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15 minutes, 30 days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Boolean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布尔值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true, false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Obligation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法律义务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obligation RedeemObl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Right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法律权利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right AuditRight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Power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形成性权力</w:t>
            </w:r>
          </w:p>
        </w:tc>
        <w:tc>
          <w:tcPr>
            <w:tcW w:w="41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power VetoPower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3.3 条款结构（完整示例）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以宪法条款</w:t>
      </w:r>
      <w:r>
        <w:rPr>
          <w:rFonts w:eastAsia="Consolas" w:ascii="Consolas" w:cs="Consolas" w:hAnsi="Consolas"/>
          <w:sz w:val="22"/>
          <w:shd w:fill="EFF0F1"/>
        </w:rPr>
        <w:t>XTZH_GOLD_COVERAGE</w:t>
      </w:r>
      <w:r>
        <w:rPr>
          <w:rFonts w:eastAsia="等线" w:ascii="Arial" w:cs="Arial" w:hAnsi="Arial"/>
          <w:sz w:val="22"/>
        </w:rPr>
        <w:t>（黄金覆盖率≥125%）为例：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cnnl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CNNL 1.0</w:t>
              <w:br/>
              <w:t>constitution XTZH_GOLD_COVERAGE</w:t>
              <w:br/>
              <w:t xml:space="preserve">    version 1.0</w:t>
              <w:br/>
              <w:t xml:space="preserve">    level eternal                     // 永恒条款</w:t>
              <w:br/>
              <w:t xml:space="preserve">    enacted 2026-02-01</w:t>
              <w:br/>
              <w:t xml:space="preserve">    authority constitutional_court</w:t>
              <w:br/>
              <w:br/>
              <w:t>// 主体定义</w:t>
              <w:br/>
              <w:t>subject CBP as party                 // CBP节点是义务主体</w:t>
              <w:br/>
              <w:t>subject XTZH as asset</w:t>
              <w:br/>
              <w:t>subject GOLD_CONTRACT as asset      // 黄金永续合约</w:t>
              <w:br/>
              <w:br/>
              <w:t>// 条件表达式</w:t>
              <w:br/>
              <w:t>condition coverage_calculation:</w:t>
              <w:br/>
              <w:t xml:space="preserve">    let target = XTZH.circulation() * XTZH.price() * XTZH.w_au() / 10000</w:t>
              <w:br/>
              <w:t xml:space="preserve">    let holding = GOLD_CONTRACT.total_value()</w:t>
              <w:br/>
              <w:t xml:space="preserve">    let ratio = holding / target</w:t>
              <w:br/>
              <w:t xml:space="preserve">    </w:t>
              <w:br/>
              <w:t>// 法律义务</w:t>
              <w:br/>
              <w:t>obligation maintain_coverage:</w:t>
              <w:br/>
              <w:t xml:space="preserve">    for_each CBP</w:t>
              <w:br/>
              <w:t xml:space="preserve">    at all_times</w:t>
              <w:br/>
              <w:t xml:space="preserve">    requires coverage_calculation.ratio &gt;= 1.25</w:t>
              <w:br/>
              <w:t xml:space="preserve">    violation:</w:t>
              <w:br/>
              <w:t xml:space="preserve">        if duration &gt;= 15 minutes:</w:t>
              <w:br/>
              <w:t xml:space="preserve">            trigger emergency_meltdown_level2</w:t>
              <w:br/>
              <w:t xml:space="preserve">            penalize CBP.deposit(10%)</w:t>
              <w:br/>
              <w:t xml:space="preserve">            report constitutional_court</w:t>
              <w:br/>
              <w:br/>
              <w:t>// 法律权利</w:t>
              <w:br/>
              <w:t>right emergency_reporting:</w:t>
              <w:br/>
              <w:t xml:space="preserve">    holder any_party</w:t>
              <w:br/>
              <w:t xml:space="preserve">    condition coverage_calculation.ratio &lt; 1.2</w:t>
              <w:br/>
              <w:t xml:space="preserve">    content: file_complaint_with_court</w:t>
              <w:br/>
              <w:br/>
              <w:t>// 法律权力</w:t>
              <w:br/>
              <w:t>power suspend_cbp:</w:t>
              <w:br/>
              <w:t xml:space="preserve">    holder constitutional_court</w:t>
              <w:br/>
              <w:t xml:space="preserve">    condition coverage_calculation.ratio &lt; 1.15 and duration &gt; 1 hour</w:t>
              <w:br/>
              <w:t xml:space="preserve">    effect: CBP.active = false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语义说明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for_each CBP</w:t>
      </w:r>
      <w:r>
        <w:rPr>
          <w:rFonts w:eastAsia="等线" w:ascii="Arial" w:cs="Arial" w:hAnsi="Arial"/>
          <w:sz w:val="22"/>
        </w:rPr>
        <w:t>：量化约束，所有CBP节点均受此义务约束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at all_times</w:t>
      </w:r>
      <w:r>
        <w:rPr>
          <w:rFonts w:eastAsia="等线" w:ascii="Arial" w:cs="Arial" w:hAnsi="Arial"/>
          <w:sz w:val="22"/>
        </w:rPr>
        <w:t>：时态限定，持续有效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violation</w:t>
      </w:r>
      <w:r>
        <w:rPr>
          <w:rFonts w:eastAsia="等线" w:ascii="Arial" w:cs="Arial" w:hAnsi="Arial"/>
          <w:sz w:val="22"/>
        </w:rPr>
        <w:t>：违反后果，包含时效条件、惩罚措施、报告路径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right</w:t>
      </w:r>
      <w:r>
        <w:rPr>
          <w:rFonts w:eastAsia="等线" w:ascii="Arial" w:cs="Arial" w:hAnsi="Arial"/>
          <w:sz w:val="22"/>
        </w:rPr>
        <w:t>：任何人在满足条件时享有投诉权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power</w:t>
      </w:r>
      <w:r>
        <w:rPr>
          <w:rFonts w:eastAsia="等线" w:ascii="Arial" w:cs="Arial" w:hAnsi="Arial"/>
          <w:sz w:val="22"/>
        </w:rPr>
        <w:t>：宪法法院在极端条件下享有暂停CBP资格的形成性权力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3.4 时态逻辑语法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CNNL内置</w:t>
      </w:r>
      <w:r>
        <w:rPr>
          <w:rFonts w:eastAsia="等线" w:ascii="Arial" w:cs="Arial" w:hAnsi="Arial"/>
          <w:b w:val="true"/>
          <w:sz w:val="22"/>
        </w:rPr>
        <w:t>线性时态逻辑（LTL）</w:t>
      </w:r>
      <w:r>
        <w:rPr>
          <w:rFonts w:eastAsia="等线" w:ascii="Arial" w:cs="Arial" w:hAnsi="Arial"/>
          <w:sz w:val="22"/>
        </w:rPr>
        <w:t>子集：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380"/>
        <w:gridCol w:w="2070"/>
        <w:gridCol w:w="4830"/>
      </w:tblGrid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运算符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CNNL语法</w:t>
            </w:r>
          </w:p>
        </w:tc>
        <w:tc>
          <w:tcPr>
            <w:tcW w:w="48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含义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□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always</w:t>
            </w:r>
          </w:p>
        </w:tc>
        <w:tc>
          <w:tcPr>
            <w:tcW w:w="48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总是成立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eventually</w:t>
            </w:r>
          </w:p>
        </w:tc>
        <w:tc>
          <w:tcPr>
            <w:tcW w:w="48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最终成立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○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next</w:t>
            </w:r>
          </w:p>
        </w:tc>
        <w:tc>
          <w:tcPr>
            <w:tcW w:w="48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下一状态成立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⩕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until</w:t>
            </w:r>
          </w:p>
        </w:tc>
        <w:tc>
          <w:tcPr>
            <w:tcW w:w="48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成立直至另一条件成立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⩖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releases</w:t>
            </w:r>
          </w:p>
        </w:tc>
        <w:tc>
          <w:tcPr>
            <w:tcW w:w="48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释放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cnnl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always (coverage &lt; 1.25 -&gt; eventually coverage &gt;= 1.25)</w:t>
              <w:br/>
              <w:t>// 任何时候覆盖率低于125%，最终必须恢复到125%</w:t>
            </w:r>
            <w:r>
              <w:rPr>
                <w:rFonts w:eastAsia="Consolas" w:ascii="Consolas" w:cs="Consolas" w:hAnsi="Consolas"/>
                <w:sz w:val="22"/>
              </w:rPr>
              <w:t>以上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3.5 义务生命周期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法律义务具有</w:t>
      </w:r>
      <w:r>
        <w:rPr>
          <w:rFonts w:eastAsia="等线" w:ascii="Arial" w:cs="Arial" w:hAnsi="Arial"/>
          <w:b w:val="true"/>
          <w:sz w:val="22"/>
        </w:rPr>
        <w:t>创建、激活、履行、违约、终止</w:t>
      </w:r>
      <w:r>
        <w:rPr>
          <w:rFonts w:eastAsia="等线" w:ascii="Arial" w:cs="Arial" w:hAnsi="Arial"/>
          <w:sz w:val="22"/>
        </w:rPr>
        <w:t>的完整生命周期。CNNL将义务建模为</w:t>
      </w:r>
      <w:r>
        <w:rPr>
          <w:rFonts w:eastAsia="等线" w:ascii="Arial" w:cs="Arial" w:hAnsi="Arial"/>
          <w:b w:val="true"/>
          <w:sz w:val="22"/>
        </w:rPr>
        <w:t>状态机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cnnl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obligation RedeemObl:</w:t>
              <w:br/>
              <w:t xml:space="preserve">    created_by XTZH.mint()           // 铸造时创建赎回义务</w:t>
              <w:br/>
              <w:t xml:space="preserve">    activated_at mint.timestamp + 30 days  // 30天后激活</w:t>
              <w:br/>
              <w:t xml:space="preserve">    due_at request.timestamp + 48 hours    // 赎回请求后48小时内履行</w:t>
              <w:br/>
              <w:t xml:space="preserve">    fulfilled_by XTZH.transfer(to)</w:t>
              <w:br/>
              <w:t xml:space="preserve">    breached_if due_at not fulfilled</w:t>
              <w:br/>
              <w:t xml:space="preserve">    terminated_at</w:t>
            </w:r>
            <w:r>
              <w:rPr>
                <w:rFonts w:eastAsia="Consolas" w:ascii="Consolas" w:cs="Consolas" w:hAnsi="Consolas"/>
                <w:sz w:val="22"/>
              </w:rPr>
              <w:t xml:space="preserve"> fulfilled or penalized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3" w:id="13"/>
      <w:r>
        <w:rPr>
          <w:rFonts w:eastAsia="等线" w:ascii="Arial" w:cs="Arial" w:hAnsi="Arial"/>
          <w:b w:val="true"/>
          <w:sz w:val="36"/>
        </w:rPr>
        <w:t>4. CNNL编译器架构</w:t>
      </w:r>
      <w:bookmarkEnd w:id="1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4.1 编译流水线</w:t>
      </w:r>
      <w:bookmarkEnd w:id="1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┌─────────────┐   ┌─────────────┐   ┌─────────────┐   ┌─────────────┐</w:t>
              <w:br/>
              <w:t>│  CNNL源文件  │ → │  词法/语法   │ → │  语义分析   │ → │  形式化验证  │</w:t>
              <w:br/>
              <w:t>│   .cnnl     │   │   解析器    │   │  类型检查   │   │  SMT求解    │</w:t>
              <w:br/>
              <w:t>└─────────────┘   └─────────────┘   └─────────────┘   └─────────────┘</w:t>
              <w:br/>
              <w:t xml:space="preserve">                                                            │</w:t>
              <w:br/>
              <w:t>┌─────────────┐   ┌─────────────┐   ┌─────────────┐        │</w:t>
              <w:br/>
              <w:t>│ NVM字节码    │ ← │  中间代码   │ ← │   IR生成    │ ←─────┘</w:t>
              <w:br/>
              <w:t>│   .nvm      │   │   NCCL-IR   │   │             │</w:t>
              <w:br/>
              <w:t>└─────────────┘   └─────────────┘   └─────────────┘</w:t>
              <w:br/>
              <w:t xml:space="preserve">       ↓</w:t>
              <w:br/>
              <w:t>┌─────────────┐   ┌─────────────┐   ┌─────────────┐</w:t>
              <w:br/>
              <w:t>│ UDM模块打包  │ → │ 链上部署    │ → │ 宪法收据引擎 │</w:t>
              <w:br/>
              <w:t>│   .wasm     │   │ 条款存证    │   │   CEE集成   │</w:t>
              <w:br/>
              <w:t>└─────────────┘   └────────</w:t>
            </w:r>
            <w:r>
              <w:rPr>
                <w:rFonts w:eastAsia="Consolas" w:ascii="Consolas" w:cs="Consolas" w:hAnsi="Consolas"/>
                <w:sz w:val="22"/>
              </w:rPr>
              <w:t>─────┘   └─────────────┘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4.2 形式化验证模块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CNNL编译器内嵌</w:t>
      </w:r>
      <w:r>
        <w:rPr>
          <w:rFonts w:eastAsia="等线" w:ascii="Arial" w:cs="Arial" w:hAnsi="Arial"/>
          <w:b w:val="true"/>
          <w:sz w:val="22"/>
        </w:rPr>
        <w:t>Z3 SMT求解器</w:t>
      </w:r>
      <w:r>
        <w:rPr>
          <w:rFonts w:eastAsia="等线" w:ascii="Arial" w:cs="Arial" w:hAnsi="Arial"/>
          <w:sz w:val="22"/>
        </w:rPr>
        <w:t>，在编译阶段自动验证：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条款一致性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∃ state: (antecedent ∧ consequent) 可满足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条款相容性</w:t>
      </w:r>
      <w:r>
        <w:rPr>
          <w:rFonts w:eastAsia="等线" w:ascii="Arial" w:cs="Arial" w:hAnsi="Arial"/>
          <w:sz w:val="22"/>
        </w:rPr>
        <w:t>：新条款与所有已激活条款无逻辑冲突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义务可实现性</w:t>
      </w:r>
      <w:r>
        <w:rPr>
          <w:rFonts w:eastAsia="等线" w:ascii="Arial" w:cs="Arial" w:hAnsi="Arial"/>
          <w:sz w:val="22"/>
        </w:rPr>
        <w:t>：义务的履行条件在有限步内可达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权力不滥用</w:t>
      </w:r>
      <w:r>
        <w:rPr>
          <w:rFonts w:eastAsia="等线" w:ascii="Arial" w:cs="Arial" w:hAnsi="Arial"/>
          <w:sz w:val="22"/>
        </w:rPr>
        <w:t>：权力的行使条件被充分约束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验证报告示例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验证条款: XTZH_GOLD_COVERAGE</w:t>
              <w:br/>
              <w:t>- 一致性: ✅ 可满足 (模型: coverage=1.3, target=100M, holding=130M)</w:t>
              <w:br/>
              <w:t>- 相容性: ✅ 与已激活38条条款无冲突</w:t>
              <w:br/>
              <w:t>- 义务可实现性: ✅ 最长履行路径: 3步</w:t>
              <w:br/>
              <w:t>- 权力约束</w:t>
            </w:r>
            <w:r>
              <w:rPr>
                <w:rFonts w:eastAsia="Consolas" w:ascii="Consolas" w:cs="Consolas" w:hAnsi="Consolas"/>
                <w:sz w:val="22"/>
              </w:rPr>
              <w:t>: ✅ 暂停CBP权力需5/9法官签署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4.3 中间表示：NCCL-IR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CNNL编译生成</w:t>
      </w:r>
      <w:r>
        <w:rPr>
          <w:rFonts w:eastAsia="等线" w:ascii="Arial" w:cs="Arial" w:hAnsi="Arial"/>
          <w:b w:val="true"/>
          <w:sz w:val="22"/>
        </w:rPr>
        <w:t>NCCL中间表示</w:t>
      </w:r>
      <w:r>
        <w:rPr>
          <w:rFonts w:eastAsia="等线" w:ascii="Arial" w:cs="Arial" w:hAnsi="Arial"/>
          <w:sz w:val="22"/>
        </w:rPr>
        <w:t>（NAC Constitutional Language Intermediate Representation），这是一种</w:t>
      </w:r>
      <w:r>
        <w:rPr>
          <w:rFonts w:eastAsia="等线" w:ascii="Arial" w:cs="Arial" w:hAnsi="Arial"/>
          <w:b w:val="true"/>
          <w:sz w:val="22"/>
        </w:rPr>
        <w:t>基于三地址码的法律谓词中间格式</w:t>
      </w:r>
      <w:r>
        <w:rPr>
          <w:rFonts w:eastAsia="等线" w:ascii="Arial" w:cs="Arial" w:hAnsi="Arial"/>
          <w:sz w:val="22"/>
        </w:rPr>
        <w:t>，专门为NVM的宪法执行指令优化。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NCCL-IR示例</w:t>
      </w:r>
      <w:r>
        <w:rPr>
          <w:rFonts w:eastAsia="等线" w:ascii="Arial" w:cs="Arial" w:hAnsi="Arial"/>
          <w:sz w:val="22"/>
        </w:rPr>
        <w:t>（对应覆盖率条款）：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IR_BLOCK: coverage_check</w:t>
              <w:br/>
              <w:t xml:space="preserve">    LOAD R1, XTZH.circulation</w:t>
              <w:br/>
              <w:t xml:space="preserve">    LOAD R2, XTZH.price</w:t>
              <w:br/>
              <w:t xml:space="preserve">    MUL R3, R1, R2</w:t>
              <w:br/>
              <w:t xml:space="preserve">    LOAD R4, XTZH.w_au</w:t>
              <w:br/>
              <w:t xml:space="preserve">    DIV R5, R3, 10000</w:t>
              <w:br/>
              <w:t xml:space="preserve">    MUL R6, R4, R5      # target = circulation * price * w_au / 10000</w:t>
              <w:br/>
              <w:t xml:space="preserve">    LOAD R7, GOLD_CONTRACT.total_value</w:t>
              <w:br/>
              <w:t xml:space="preserve">    DIV R8, R7, R6      # ratio = holding / target</w:t>
              <w:br/>
              <w:t xml:space="preserve">    CMP R8, 1.25</w:t>
              <w:br/>
              <w:t xml:space="preserve">    JLT violation_label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4.4 NVM字节码生成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NCCL-IR进一步编译为</w:t>
      </w:r>
      <w:r>
        <w:rPr>
          <w:rFonts w:eastAsia="等线" w:ascii="Arial" w:cs="Arial" w:hAnsi="Arial"/>
          <w:b w:val="true"/>
          <w:sz w:val="22"/>
        </w:rPr>
        <w:t>NVM宪法执行专用指令集</w:t>
      </w:r>
      <w:r>
        <w:rPr>
          <w:rFonts w:eastAsia="等线" w:ascii="Arial" w:cs="Arial" w:hAnsi="Arial"/>
          <w:sz w:val="22"/>
        </w:rPr>
        <w:t>（操作码</w:t>
      </w:r>
      <w:r>
        <w:rPr>
          <w:rFonts w:eastAsia="Consolas" w:ascii="Consolas" w:cs="Consolas" w:hAnsi="Consolas"/>
          <w:sz w:val="22"/>
          <w:shd w:fill="EFF0F1"/>
        </w:rPr>
        <w:t>0xE0</w:t>
      </w:r>
      <w:r>
        <w:rPr>
          <w:rFonts w:eastAsia="等线" w:ascii="Arial" w:cs="Arial" w:hAnsi="Arial"/>
          <w:sz w:val="22"/>
        </w:rPr>
        <w:t>–</w:t>
      </w:r>
      <w:r>
        <w:rPr>
          <w:rFonts w:eastAsia="Consolas" w:ascii="Consolas" w:cs="Consolas" w:hAnsi="Consolas"/>
          <w:sz w:val="22"/>
          <w:shd w:fill="EFF0F1"/>
        </w:rPr>
        <w:t>0xEF</w:t>
      </w:r>
      <w:r>
        <w:rPr>
          <w:rFonts w:eastAsia="等线" w:ascii="Arial" w:cs="Arial" w:hAnsi="Arial"/>
          <w:sz w:val="22"/>
        </w:rPr>
        <w:t>）。每条CNNL义务、权利、权力都被编码为</w:t>
      </w:r>
      <w:r>
        <w:rPr>
          <w:rFonts w:eastAsia="等线" w:ascii="Arial" w:cs="Arial" w:hAnsi="Arial"/>
          <w:b w:val="true"/>
          <w:sz w:val="22"/>
        </w:rPr>
        <w:t>可独立验证的宪法收据断言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NVM宪法指令扩展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380"/>
        <w:gridCol w:w="2070"/>
        <w:gridCol w:w="3450"/>
        <w:gridCol w:w="1380"/>
      </w:tblGrid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操作码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指令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功能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Gas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0xE0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CONST_LOAD_CLAUSE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加载宪法条款字节码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500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0xE1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CONST_EVAL_OBLIGATION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评估义务履行状态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2,000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0xE2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CONST_VERIFY_RIGHT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验证权利是否可行使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1,500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0xE3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CONST_EXERCISE_POWER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行使宪法权力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5,000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0xE4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CONST_CHECK_CONSISTENCY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检查条款一致性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3,000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5. CNNL与NAC现有架构的集成</w:t>
      </w:r>
      <w:bookmarkEnd w:id="1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5.1 集成总览</w:t>
      </w:r>
      <w:bookmarkEnd w:id="1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┌─────────────────────────────────────────────────────────────┐</w:t>
              <w:br/>
              <w:t>│                    宪法层（L7）                           │</w:t>
              <w:br/>
              <w:t>│  ┌─────────────────────────────────────────────────────┐  │</w:t>
              <w:br/>
              <w:t>│  │           CNNL宪法条款（链上存证）                  │  │</w:t>
              <w:br/>
              <w:t>│  │  • XTZH_GOLD_COVERAGE.cnml                         │  │</w:t>
              <w:br/>
              <w:t>│  │  • CBP_HARDWARE_MIN.cnml                          │  │</w:t>
              <w:br/>
              <w:t>│  │  • JUSTICE_APPOINTMENT.cnml                       │  │</w:t>
              <w:br/>
              <w:t>│  └─────────────────────┬───────────────────────────────┘  │</w:t>
              <w:br/>
              <w:t>│                        ↓ 编译                           │</w:t>
              <w:br/>
              <w:t>│  ┌─────────────────────────────────────────────────────┐  │</w:t>
              <w:br/>
              <w:t>│  │         宪法执行引擎（CEE）                        │  │</w:t>
              <w:br/>
              <w:t>│  │  • 加载CNN编译产物（NVM字节码）                   │  │</w:t>
              <w:br/>
              <w:t>│  │  • 动态生成宪法收据（CR）                         │  │</w:t>
              <w:br/>
              <w:t>│  │  • 验证交易合规性                                 │  │</w:t>
              <w:br/>
              <w:t>│  └─────────────────────┬───────────────────────────────┘  │</w:t>
              <w:br/>
              <w:t>└────────────────────────┼───────────────────────────────────┘</w:t>
              <w:br/>
              <w:t xml:space="preserve">                         ↓ 宪法收据</w:t>
              <w:br/>
              <w:t>┌─────────────────────────────────────────────────────────────┐</w:t>
              <w:br/>
              <w:t>│                     L1协议层                               │</w:t>
              <w:br/>
              <w:t>│  ┌─────────────────────────────────────────────────────┐  │</w:t>
              <w:br/>
              <w:t>│  │     CBPP共识 · XTZH储备 · ACC-20资产               │  │</w:t>
              <w:br/>
              <w:t>│  │  所有状态修改交易必须附带CR                        │  │</w:t>
              <w:br/>
              <w:t>│  └─────────────────────────────────────────────────────┘  │</w:t>
              <w:br/>
              <w:t>└────────────────────────────────────────────────</w:t>
            </w:r>
            <w:r>
              <w:rPr>
                <w:rFonts w:eastAsia="Consolas" w:ascii="Consolas" w:cs="Consolas" w:hAnsi="Consolas"/>
                <w:sz w:val="22"/>
              </w:rPr>
              <w:t>─────────────┘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5.2 CNNL → 宪法收据（CR）映射</w:t>
      </w:r>
      <w:bookmarkEnd w:id="2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CNNL条款编译后，每条</w:t>
      </w:r>
      <w:r>
        <w:rPr>
          <w:rFonts w:eastAsia="等线" w:ascii="Arial" w:cs="Arial" w:hAnsi="Arial"/>
          <w:b w:val="true"/>
          <w:sz w:val="22"/>
        </w:rPr>
        <w:t>法律义务</w:t>
      </w:r>
      <w:r>
        <w:rPr>
          <w:rFonts w:eastAsia="等线" w:ascii="Arial" w:cs="Arial" w:hAnsi="Arial"/>
          <w:sz w:val="22"/>
        </w:rPr>
        <w:t>对应一个</w:t>
      </w:r>
      <w:r>
        <w:rPr>
          <w:rFonts w:eastAsia="等线" w:ascii="Arial" w:cs="Arial" w:hAnsi="Arial"/>
          <w:b w:val="true"/>
          <w:sz w:val="22"/>
        </w:rPr>
        <w:t>CR验证模板</w:t>
      </w:r>
      <w:r>
        <w:rPr>
          <w:rFonts w:eastAsia="等线" w:ascii="Arial" w:cs="Arial" w:hAnsi="Arial"/>
          <w:sz w:val="22"/>
        </w:rPr>
        <w:t>。CEE在执行交易验证时，不再依赖硬编码逻辑，而是</w:t>
      </w:r>
      <w:r>
        <w:rPr>
          <w:rFonts w:eastAsia="等线" w:ascii="Arial" w:cs="Arial" w:hAnsi="Arial"/>
          <w:b w:val="true"/>
          <w:sz w:val="22"/>
        </w:rPr>
        <w:t>直接执行CNNL编译产物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</w:t>
      </w:r>
      <w:r>
        <w:rPr>
          <w:rFonts w:eastAsia="等线" w:ascii="Arial" w:cs="Arial" w:hAnsi="Arial"/>
          <w:sz w:val="22"/>
        </w:rPr>
        <w:t>：XTZH铸造交易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交易发起：用户调用</w:t>
      </w:r>
      <w:r>
        <w:rPr>
          <w:rFonts w:eastAsia="Consolas" w:ascii="Consolas" w:cs="Consolas" w:hAnsi="Consolas"/>
          <w:sz w:val="22"/>
          <w:shd w:fill="EFF0F1"/>
        </w:rPr>
        <w:t>XTZH.mint(10000)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CEE加载条款</w:t>
      </w:r>
      <w:r>
        <w:rPr>
          <w:rFonts w:eastAsia="Consolas" w:ascii="Consolas" w:cs="Consolas" w:hAnsi="Consolas"/>
          <w:sz w:val="22"/>
          <w:shd w:fill="EFF0F1"/>
        </w:rPr>
        <w:t>XTZH_MINT_COLLATERAL.cnml</w:t>
      </w:r>
      <w:r>
        <w:rPr>
          <w:rFonts w:eastAsia="等线" w:ascii="Arial" w:cs="Arial" w:hAnsi="Arial"/>
          <w:sz w:val="22"/>
        </w:rPr>
        <w:t>的编译产物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执行NVM指令</w:t>
      </w:r>
      <w:r>
        <w:rPr>
          <w:rFonts w:eastAsia="Consolas" w:ascii="Consolas" w:cs="Consolas" w:hAnsi="Consolas"/>
          <w:sz w:val="22"/>
          <w:shd w:fill="EFF0F1"/>
        </w:rPr>
        <w:t>CONST_EVAL_OBLIGATION</w:t>
      </w:r>
      <w:r>
        <w:rPr>
          <w:rFonts w:eastAsia="等线" w:ascii="Arial" w:cs="Arial" w:hAnsi="Arial"/>
          <w:sz w:val="22"/>
        </w:rPr>
        <w:t>，评估：</w:t>
        <w:br/>
        <w:t xml:space="preserve">        </w:t>
      </w:r>
    </w:p>
    <w:p>
      <w:pPr>
        <w:numPr>
          <w:numId w:val="2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用户KYC等级是否≥2？</w:t>
      </w:r>
    </w:p>
    <w:p>
      <w:pPr>
        <w:numPr>
          <w:numId w:val="2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铸造后覆盖率是否仍≥125%？</w:t>
      </w:r>
    </w:p>
    <w:p>
      <w:pPr>
        <w:numPr>
          <w:numId w:val="2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用户是否不在制裁名单？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所有义务满足 → 签发CR → 交易打包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技术突破</w:t>
      </w:r>
      <w:r>
        <w:rPr>
          <w:rFonts w:eastAsia="等线" w:ascii="Arial" w:cs="Arial" w:hAnsi="Arial"/>
          <w:sz w:val="22"/>
        </w:rPr>
        <w:t>：CEE不再需要为每种交易类型单独开发验证逻辑。</w:t>
      </w:r>
      <w:r>
        <w:rPr>
          <w:rFonts w:eastAsia="等线" w:ascii="Arial" w:cs="Arial" w:hAnsi="Arial"/>
          <w:b w:val="true"/>
          <w:sz w:val="22"/>
        </w:rPr>
        <w:t>宪法本身即是可执行代码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5.3 CNNL → CSNP策略映射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CSNP网络层的</w:t>
      </w:r>
      <w:r>
        <w:rPr>
          <w:rFonts w:eastAsia="等线" w:ascii="Arial" w:cs="Arial" w:hAnsi="Arial"/>
          <w:b w:val="true"/>
          <w:sz w:val="22"/>
        </w:rPr>
        <w:t>GNACS传播策略矩阵</w:t>
      </w:r>
      <w:r>
        <w:rPr>
          <w:rFonts w:eastAsia="等线" w:ascii="Arial" w:cs="Arial" w:hAnsi="Arial"/>
          <w:sz w:val="22"/>
        </w:rPr>
        <w:t>可由CNNL条款自动生成。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cnnl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宪法条款：高风险资产传播限制</w:t>
              <w:br/>
              <w:t>clause HIGH_RISK_ASSET_PROPAGATION:</w:t>
              <w:br/>
              <w:t xml:space="preserve">    asset GNACS</w:t>
              <w:br/>
              <w:t xml:space="preserve">    condition gnacs.risk_weight &gt;= 5   // 风险权重≥250%</w:t>
              <w:br/>
              <w:t xml:space="preserve">    obligation cbp_node:</w:t>
              <w:br/>
              <w:t xml:space="preserve">        at all_times</w:t>
              <w:br/>
              <w:t xml:space="preserve">        requires not propagate_to(public_network)</w:t>
              <w:br/>
              <w:t xml:space="preserve">        requires propagate</w:t>
            </w:r>
            <w:r>
              <w:rPr>
                <w:rFonts w:eastAsia="Consolas" w:ascii="Consolas" w:cs="Consolas" w:hAnsi="Consolas"/>
                <w:sz w:val="22"/>
              </w:rPr>
              <w:t>_only_to(regulator_nodes)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此条款编译后</w:t>
      </w:r>
      <w:r>
        <w:rPr>
          <w:rFonts w:eastAsia="等线" w:ascii="Arial" w:cs="Arial" w:hAnsi="Arial"/>
          <w:b w:val="true"/>
          <w:sz w:val="22"/>
        </w:rPr>
        <w:t>自动生成CSNP策略表条目</w:t>
      </w:r>
      <w:r>
        <w:rPr>
          <w:rFonts w:eastAsia="等线" w:ascii="Arial" w:cs="Arial" w:hAnsi="Arial"/>
          <w:sz w:val="22"/>
        </w:rPr>
        <w:t>，注入AA-PE引擎，无需人工配置。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5.4 CNNL → 宪法法院集成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宪法法院的</w:t>
      </w:r>
      <w:r>
        <w:rPr>
          <w:rFonts w:eastAsia="等线" w:ascii="Arial" w:cs="Arial" w:hAnsi="Arial"/>
          <w:b w:val="true"/>
          <w:sz w:val="22"/>
        </w:rPr>
        <w:t>裁决过程</w:t>
      </w:r>
      <w:r>
        <w:rPr>
          <w:rFonts w:eastAsia="等线" w:ascii="Arial" w:cs="Arial" w:hAnsi="Arial"/>
          <w:sz w:val="22"/>
        </w:rPr>
        <w:t>可从“法官阅读文档”升级为“链上验证CNNL可满足性”。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裁决流程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原告提交</w:t>
      </w:r>
      <w:r>
        <w:rPr>
          <w:rFonts w:eastAsia="Consolas" w:ascii="Consolas" w:cs="Consolas" w:hAnsi="Consolas"/>
          <w:sz w:val="22"/>
          <w:shd w:fill="EFF0F1"/>
        </w:rPr>
        <w:t>complaint.cnml</w:t>
      </w:r>
      <w:r>
        <w:rPr>
          <w:rFonts w:eastAsia="等线" w:ascii="Arial" w:cs="Arial" w:hAnsi="Arial"/>
          <w:sz w:val="22"/>
        </w:rPr>
        <w:t>，描述被指控的违宪行为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法院系统自动执行</w:t>
      </w:r>
      <w:r>
        <w:rPr>
          <w:rFonts w:eastAsia="Consolas" w:ascii="Consolas" w:cs="Consolas" w:hAnsi="Consolas"/>
          <w:sz w:val="22"/>
          <w:shd w:fill="EFF0F1"/>
        </w:rPr>
        <w:t>CONST_CHECK_CONSISTENCY</w:t>
      </w:r>
      <w:r>
        <w:rPr>
          <w:rFonts w:eastAsia="等线" w:ascii="Arial" w:cs="Arial" w:hAnsi="Arial"/>
          <w:sz w:val="22"/>
        </w:rPr>
        <w:t>，验证指控与宪法条款的逻辑关系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生成</w:t>
      </w:r>
      <w:r>
        <w:rPr>
          <w:rFonts w:eastAsia="等线" w:ascii="Arial" w:cs="Arial" w:hAnsi="Arial"/>
          <w:b w:val="true"/>
          <w:sz w:val="22"/>
        </w:rPr>
        <w:t>逻辑关联图</w:t>
      </w:r>
      <w:r>
        <w:rPr>
          <w:rFonts w:eastAsia="等线" w:ascii="Arial" w:cs="Arial" w:hAnsi="Arial"/>
          <w:sz w:val="22"/>
        </w:rPr>
        <w:t>，可视化展示被违反的条款链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法官仅需确认事实真实性，法律适用性由算法验证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3" w:id="23"/>
      <w:r>
        <w:rPr>
          <w:rFonts w:eastAsia="等线" w:ascii="Arial" w:cs="Arial" w:hAnsi="Arial"/>
          <w:b w:val="true"/>
          <w:sz w:val="36"/>
        </w:rPr>
        <w:t>6. CNNL开发工具链</w:t>
      </w:r>
      <w:bookmarkEnd w:id="2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6.1 立法IDE（Constitutional Studio）</w:t>
      </w:r>
      <w:bookmarkEnd w:id="2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专为立法者设计的可视化立法环境：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语法高亮</w:t>
      </w:r>
      <w:r>
        <w:rPr>
          <w:rFonts w:eastAsia="等线" w:ascii="Arial" w:cs="Arial" w:hAnsi="Arial"/>
          <w:sz w:val="22"/>
        </w:rPr>
        <w:t>：CNNL保留字、类型、义务标记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实时验证</w:t>
      </w:r>
      <w:r>
        <w:rPr>
          <w:rFonts w:eastAsia="等线" w:ascii="Arial" w:cs="Arial" w:hAnsi="Arial"/>
          <w:sz w:val="22"/>
        </w:rPr>
        <w:t>：边写边检查语法错误、类型错误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形式化验证看板</w:t>
      </w:r>
      <w:r>
        <w:rPr>
          <w:rFonts w:eastAsia="等线" w:ascii="Arial" w:cs="Arial" w:hAnsi="Arial"/>
          <w:sz w:val="22"/>
        </w:rPr>
        <w:t>：显示SMT求解结果、可达性分析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条款依赖图谱</w:t>
      </w:r>
      <w:r>
        <w:rPr>
          <w:rFonts w:eastAsia="等线" w:ascii="Arial" w:cs="Arial" w:hAnsi="Arial"/>
          <w:sz w:val="22"/>
        </w:rPr>
        <w:t>：自动提取</w:t>
      </w:r>
      <w:r>
        <w:rPr>
          <w:rFonts w:eastAsia="Consolas" w:ascii="Consolas" w:cs="Consolas" w:hAnsi="Consolas"/>
          <w:sz w:val="22"/>
          <w:shd w:fill="EFF0F1"/>
        </w:rPr>
        <w:t>depends_on</w:t>
      </w:r>
      <w:r>
        <w:rPr>
          <w:rFonts w:eastAsia="等线" w:ascii="Arial" w:cs="Arial" w:hAnsi="Arial"/>
          <w:sz w:val="22"/>
        </w:rPr>
        <w:t>关系，可视化宪法结构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版本对比</w:t>
      </w:r>
      <w:r>
        <w:rPr>
          <w:rFonts w:eastAsia="等线" w:ascii="Arial" w:cs="Arial" w:hAnsi="Arial"/>
          <w:sz w:val="22"/>
        </w:rPr>
        <w:t>：并排显示条款修改前后差异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5" w:id="25"/>
      <w:r>
        <w:rPr>
          <w:rFonts w:eastAsia="等线" w:ascii="Arial" w:cs="Arial" w:hAnsi="Arial"/>
          <w:b w:val="true"/>
          <w:sz w:val="32"/>
        </w:rPr>
        <w:t>6.2 立法模拟沙箱（Constitutional Sandbox）</w:t>
      </w:r>
      <w:bookmarkEnd w:id="2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链下模拟环境，允许立法者在提案前</w:t>
      </w:r>
      <w:r>
        <w:rPr>
          <w:rFonts w:eastAsia="等线" w:ascii="Arial" w:cs="Arial" w:hAnsi="Arial"/>
          <w:b w:val="true"/>
          <w:sz w:val="22"/>
        </w:rPr>
        <w:t>完整模拟条款生效后的系统行为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加载当前主网状态快照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应用待表决的CNNL条款</w:t>
      </w:r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模拟运行7天，预测：</w:t>
        <w:br/>
        <w:t xml:space="preserve">        </w:t>
      </w:r>
    </w:p>
    <w:p>
      <w:pPr>
        <w:numPr>
          <w:numId w:val="4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哪些交易会被新增的CR拒绝？</w:t>
      </w:r>
    </w:p>
    <w:p>
      <w:pPr>
        <w:numPr>
          <w:numId w:val="4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覆盖率、赎回队列等关键指标的变化</w:t>
      </w:r>
    </w:p>
    <w:p>
      <w:pPr>
        <w:numPr>
          <w:numId w:val="4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宪法法院的案件负荷预估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目标</w:t>
      </w:r>
      <w:r>
        <w:rPr>
          <w:rFonts w:eastAsia="等线" w:ascii="Arial" w:cs="Arial" w:hAnsi="Arial"/>
          <w:sz w:val="22"/>
        </w:rPr>
        <w:t>：任何宪法修正案在提交公投前，必须附带</w:t>
      </w:r>
      <w:r>
        <w:rPr>
          <w:rFonts w:eastAsia="等线" w:ascii="Arial" w:cs="Arial" w:hAnsi="Arial"/>
          <w:b w:val="true"/>
          <w:sz w:val="22"/>
        </w:rPr>
        <w:t>沙箱模拟报告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6" w:id="26"/>
      <w:r>
        <w:rPr>
          <w:rFonts w:eastAsia="等线" w:ascii="Arial" w:cs="Arial" w:hAnsi="Arial"/>
          <w:b w:val="true"/>
          <w:sz w:val="32"/>
        </w:rPr>
        <w:t>6.3 形式化验证插件（Z3 for CNNL）</w:t>
      </w:r>
      <w:bookmarkEnd w:id="2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CNNL编译器内置</w:t>
      </w:r>
      <w:r>
        <w:rPr>
          <w:rFonts w:eastAsia="等线" w:ascii="Arial" w:cs="Arial" w:hAnsi="Arial"/>
          <w:b w:val="true"/>
          <w:sz w:val="22"/>
        </w:rPr>
        <w:t>Z3求解器集成</w:t>
      </w:r>
      <w:r>
        <w:rPr>
          <w:rFonts w:eastAsia="等线" w:ascii="Arial" w:cs="Arial" w:hAnsi="Arial"/>
          <w:sz w:val="22"/>
        </w:rPr>
        <w:t>，支持：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SAT/UNSAT判定</w:t>
      </w:r>
      <w:r>
        <w:rPr>
          <w:rFonts w:eastAsia="等线" w:ascii="Arial" w:cs="Arial" w:hAnsi="Arial"/>
          <w:sz w:val="22"/>
        </w:rPr>
        <w:t>：条款是否可满足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模型输出</w:t>
      </w:r>
      <w:r>
        <w:rPr>
          <w:rFonts w:eastAsia="等线" w:ascii="Arial" w:cs="Arial" w:hAnsi="Arial"/>
          <w:sz w:val="22"/>
        </w:rPr>
        <w:t>：若可满足，给出一个示例状态</w:t>
      </w:r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反例生成</w:t>
      </w:r>
      <w:r>
        <w:rPr>
          <w:rFonts w:eastAsia="等线" w:ascii="Arial" w:cs="Arial" w:hAnsi="Arial"/>
          <w:sz w:val="22"/>
        </w:rPr>
        <w:t>：若不可满足，给出导致矛盾的条件组合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7" w:id="27"/>
      <w:r>
        <w:rPr>
          <w:rFonts w:eastAsia="等线" w:ascii="Arial" w:cs="Arial" w:hAnsi="Arial"/>
          <w:b w:val="true"/>
          <w:sz w:val="36"/>
        </w:rPr>
        <w:t>7. CNNL首批宪法条款示例库</w:t>
      </w:r>
      <w:bookmarkEnd w:id="27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8" w:id="28"/>
      <w:r>
        <w:rPr>
          <w:rFonts w:eastAsia="等线" w:ascii="Arial" w:cs="Arial" w:hAnsi="Arial"/>
          <w:b w:val="true"/>
          <w:sz w:val="32"/>
        </w:rPr>
        <w:t>7.1 永恒条款：托管资产隔离</w:t>
      </w:r>
      <w:bookmarkEnd w:id="2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cnnl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constitution CUSTODY_ASSET_SEGREGATION</w:t>
              <w:br/>
              <w:t xml:space="preserve">    level eternal</w:t>
              <w:br/>
              <w:t xml:space="preserve">    enacted 2026-02-01</w:t>
              <w:br/>
              <w:br/>
              <w:t>subject Custodian as party</w:t>
              <w:br/>
              <w:t>subject ClientAsset as asset</w:t>
              <w:br/>
              <w:br/>
              <w:t>obligation asset_isolation:</w:t>
              <w:br/>
              <w:t xml:space="preserve">    for_each Custodian</w:t>
              <w:br/>
              <w:t xml:space="preserve">    at all_times</w:t>
              <w:br/>
              <w:t xml:space="preserve">    requires:</w:t>
              <w:br/>
              <w:t xml:space="preserve">        Custodian.account_type(ClientAsset) = "NAC_CUSTODY_SEGREGATED" and</w:t>
              <w:br/>
              <w:t xml:space="preserve">        Custodian.balance_owner(ClientAsset) != Custodian.own_entity</w:t>
              <w:br/>
              <w:br/>
              <w:t xml:space="preserve">    violation:</w:t>
              <w:br/>
              <w:t xml:space="preserve">        if first_occurrence:</w:t>
              <w:br/>
              <w:t xml:space="preserve">            penalize Custodian.deposit(25%)</w:t>
              <w:br/>
              <w:t xml:space="preserve">            suspend Custodian(30 days)</w:t>
              <w:br/>
              <w:t xml:space="preserve">        if repeated:</w:t>
              <w:br/>
              <w:t xml:space="preserve">            revoke Custodian.license</w:t>
              <w:br/>
              <w:t xml:space="preserve">            permanent_blacklist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9" w:id="29"/>
      <w:r>
        <w:rPr>
          <w:rFonts w:eastAsia="等线" w:ascii="Arial" w:cs="Arial" w:hAnsi="Arial"/>
          <w:b w:val="true"/>
          <w:sz w:val="32"/>
        </w:rPr>
        <w:t>7.2 战略条款：CBP地理多样性</w:t>
      </w:r>
      <w:bookmarkEnd w:id="2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cnnl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constitution CBP_GEO_DIVERSITY</w:t>
              <w:br/>
              <w:t xml:space="preserve">    level strategic</w:t>
              <w:br/>
              <w:t xml:space="preserve">    depends_on CBP_REGISTRATION</w:t>
              <w:br/>
              <w:br/>
              <w:t>subject CBP_List as collective</w:t>
              <w:br/>
              <w:t>subject Region as enum {ASIA, NA, EU, OTHER}</w:t>
              <w:br/>
              <w:br/>
              <w:t>obligation maintain_diversity:</w:t>
              <w:br/>
              <w:t xml:space="preserve">    for_each CBP_List</w:t>
              <w:br/>
              <w:t xml:space="preserve">    at all_times</w:t>
              <w:br/>
              <w:t xml:space="preserve">    requires:</w:t>
              <w:br/>
              <w:t xml:space="preserve">        count(CBP_List where region = ASIA) &lt;= 0.4 * total(CBP_List) and</w:t>
              <w:br/>
              <w:t xml:space="preserve">        count(CBP_List where region = NA) &lt;= 0.4 * total(CBP_List) and</w:t>
              <w:br/>
              <w:t xml:space="preserve">        count(CBP_List where region = EU) &gt;= 0.2 * total(CBP_List)</w:t>
              <w:br/>
              <w:br/>
              <w:t xml:space="preserve">    violation:</w:t>
              <w:br/>
              <w:t xml:space="preserve">        if duration &gt; 7 days:</w:t>
              <w:br/>
              <w:t xml:space="preserve">            trigger governance_proposal("REBALANCE_CBP_WEIGHTS")</w:t>
              <w:br/>
              <w:t xml:space="preserve">            report constitutional_court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0" w:id="30"/>
      <w:r>
        <w:rPr>
          <w:rFonts w:eastAsia="等线" w:ascii="Arial" w:cs="Arial" w:hAnsi="Arial"/>
          <w:b w:val="true"/>
          <w:sz w:val="32"/>
        </w:rPr>
        <w:t>7.3 战术条款：预言机错误罚则</w:t>
      </w:r>
      <w:bookmarkEnd w:id="3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cnnl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constitution ORACLE_REPORTING_PENALTY</w:t>
              <w:br/>
              <w:t xml:space="preserve">    level tactical</w:t>
              <w:br/>
              <w:br/>
              <w:t>subject OracleNode as party</w:t>
              <w:br/>
              <w:t>subject OracleReport as event</w:t>
              <w:br/>
              <w:br/>
              <w:t>obligation accurate_reporting:</w:t>
              <w:br/>
              <w:t xml:space="preserve">    for_each OracleNode</w:t>
              <w:br/>
              <w:t xml:space="preserve">    at all_times</w:t>
              <w:br/>
              <w:t xml:space="preserve">    requires:</w:t>
              <w:br/>
              <w:t xml:space="preserve">        OracleReport.error_rate &lt; 0.01</w:t>
              <w:br/>
              <w:br/>
              <w:t xml:space="preserve">    violation:</w:t>
              <w:br/>
              <w:t xml:space="preserve">        if single_error:</w:t>
              <w:br/>
              <w:t xml:space="preserve">            penalize OracleNode.deposit(10000 XIC)</w:t>
              <w:br/>
              <w:t xml:space="preserve">        if three_errors_in_30d:</w:t>
              <w:br/>
              <w:t xml:space="preserve">            suspend OracleNode(90 days)</w:t>
              <w:br/>
              <w:t xml:space="preserve">            mandatory_retraining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1" w:id="31"/>
      <w:r>
        <w:rPr>
          <w:rFonts w:eastAsia="等线" w:ascii="Arial" w:cs="Arial" w:hAnsi="Arial"/>
          <w:b w:val="true"/>
          <w:sz w:val="36"/>
        </w:rPr>
        <w:t>8. CNNL落地路线图</w:t>
      </w:r>
      <w:bookmarkEnd w:id="3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110"/>
        <w:gridCol w:w="1650"/>
        <w:gridCol w:w="3450"/>
        <w:gridCol w:w="2070"/>
      </w:tblGrid>
      <w:tr>
        <w:tc>
          <w:tcPr>
            <w:tcW w:w="11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阶段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时间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交付物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责任方</w:t>
            </w:r>
          </w:p>
        </w:tc>
      </w:tr>
      <w:tr>
        <w:tc>
          <w:tcPr>
            <w:tcW w:w="11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1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2026.02-04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CNNL语言规范v1.0、语法解析器原型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立法技术委员会</w:t>
            </w:r>
          </w:p>
        </w:tc>
      </w:tr>
      <w:tr>
        <w:tc>
          <w:tcPr>
            <w:tcW w:w="11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2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2026.03-05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编译器前端（词法/语法/语义）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核心协议工程组</w:t>
            </w:r>
          </w:p>
        </w:tc>
      </w:tr>
      <w:tr>
        <w:tc>
          <w:tcPr>
            <w:tcW w:w="11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3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2026.04-06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形式化验证模块（Z3集成）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形式化验证组</w:t>
            </w:r>
          </w:p>
        </w:tc>
      </w:tr>
      <w:tr>
        <w:tc>
          <w:tcPr>
            <w:tcW w:w="11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4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2026.05-07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NCCL-IR定义、NVM指令扩展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NVM虚拟机团队</w:t>
            </w:r>
          </w:p>
        </w:tc>
      </w:tr>
      <w:tr>
        <w:tc>
          <w:tcPr>
            <w:tcW w:w="11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5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2026.06-08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CEE集成、宪法收据引擎改造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共识层工作组</w:t>
            </w:r>
          </w:p>
        </w:tc>
      </w:tr>
      <w:tr>
        <w:tc>
          <w:tcPr>
            <w:tcW w:w="11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6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2026.07-09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立法IDE（Constitutional Studio）v1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开发者工具组</w:t>
            </w:r>
          </w:p>
        </w:tc>
      </w:tr>
      <w:tr>
        <w:tc>
          <w:tcPr>
            <w:tcW w:w="11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7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2026.08-10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首批5条宪法条款重写为CNNL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</w:t>
            </w:r>
          </w:p>
        </w:tc>
      </w:tr>
      <w:tr>
        <w:tc>
          <w:tcPr>
            <w:tcW w:w="11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8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2026.09-11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测试网全流程验证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QA</w:t>
            </w:r>
          </w:p>
        </w:tc>
      </w:tr>
      <w:tr>
        <w:tc>
          <w:tcPr>
            <w:tcW w:w="11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9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2026.10-12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主网部署、宪法哈希升级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核心开发组</w:t>
            </w:r>
          </w:p>
        </w:tc>
      </w:tr>
      <w:tr>
        <w:tc>
          <w:tcPr>
            <w:tcW w:w="11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10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2027.01+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全部43条条款CNNL化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立法技术委员会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2" w:id="32"/>
      <w:r>
        <w:rPr>
          <w:rFonts w:eastAsia="等线" w:ascii="Arial" w:cs="Arial" w:hAnsi="Arial"/>
          <w:b w:val="true"/>
          <w:sz w:val="36"/>
        </w:rPr>
        <w:t>9. 与学术前沿的呼应</w:t>
      </w:r>
      <w:bookmarkEnd w:id="3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CNNL的设计并非凭空想象，而是建立在国际学术界**智能法律合约**研究的最新成果之上：</w:t>
      </w:r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学术成果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核心贡献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CNNL对应设计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SLCML + SagaChain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声明式XML智能法律合约、有状态执行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CNNL声明式语法、义务状态机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DSLM + 时态逻辑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领域特定语言、LTL多方交互时序模型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CNNL时态运算符、义务生命周期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Symboleo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义务与权力的形式规范语言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CNNL的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Obligation</w:t>
            </w:r>
            <w:r>
              <w:rPr>
                <w:rFonts w:eastAsia="等线" w:ascii="Arial" w:cs="Arial" w:hAnsi="Arial"/>
                <w:sz w:val="22"/>
              </w:rPr>
              <w:t>/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Right</w:t>
            </w:r>
            <w:r>
              <w:rPr>
                <w:rFonts w:eastAsia="等线" w:ascii="Arial" w:cs="Arial" w:hAnsi="Arial"/>
                <w:sz w:val="22"/>
              </w:rPr>
              <w:t>/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Power</w:t>
            </w:r>
            <w:r>
              <w:rPr>
                <w:rFonts w:eastAsia="等线" w:ascii="Arial" w:cs="Arial" w:hAnsi="Arial"/>
                <w:sz w:val="22"/>
              </w:rPr>
              <w:t>一等公民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Event-B形式化验证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智能合约建模与验证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CNNL内嵌Z3求解、可达性分析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Hyperledger宪法分类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宪法与智能合约的层级区分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CNNL作为宪法层专用语言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CNNL是首个将上述学术成果整合为</w:t>
      </w:r>
      <w:r>
        <w:rPr>
          <w:rFonts w:eastAsia="等线" w:ascii="Arial" w:cs="Arial" w:hAnsi="Arial"/>
          <w:sz w:val="22"/>
        </w:rPr>
        <w:t>生产级立法语言**的工程实践。它不仅是NAC的技术组件，更是**数字法治领域的基础设施实验**。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3" w:id="33"/>
      <w:r>
        <w:rPr>
          <w:rFonts w:eastAsia="等线" w:ascii="Arial" w:cs="Arial" w:hAnsi="Arial"/>
          <w:b w:val="true"/>
          <w:sz w:val="32"/>
        </w:rPr>
        <w:t>10. 结论：开启数字立法的编译器时代</w:t>
      </w:r>
      <w:bookmarkEnd w:id="33"/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CNNL的诞生标志着NAC公链从“代码即法律”迈入“法律即代码”的新纪元。</w:t>
      </w:r>
    </w:p>
    <w:p>
      <w:pPr>
        <w:spacing w:before="120" w:after="120" w:line="288" w:lineRule="auto"/>
        <w:ind w:left="0"/>
        <w:jc w:val="left"/>
      </w:pP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过去</w:t>
      </w:r>
      <w:r>
        <w:rPr>
          <w:rFonts w:eastAsia="等线" w:ascii="Arial" w:cs="Arial" w:hAnsi="Arial"/>
          <w:sz w:val="22"/>
        </w:rPr>
        <w:t>：立法者书写自然语言宪法，工程师翻译为代码，法院裁决依赖人工解释。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现在</w:t>
      </w:r>
      <w:r>
        <w:rPr>
          <w:rFonts w:eastAsia="等线" w:ascii="Arial" w:cs="Arial" w:hAnsi="Arial"/>
          <w:sz w:val="22"/>
        </w:rPr>
        <w:t>：立法者直接书写CNNL，编译器生成可执行宪法，CEE自动验证合规性，宪法法院裁决可被算法验证。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这不是技术的进步，而是治理范式的跃迁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当43条宪法条款被逐条重写为CNNL、通过SMT求解器验证无逻辑矛盾、部署到主网成为CBPP收据验证的底层逻辑时，NAC将拥有世界上第一部**完全可执行、可验证、可进化的数字宪法**。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CNNL的终极愿景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  <w:tblLayout w:type="fixed"/>
      </w:tblPr>
      <w:tblGrid>
        <w:gridCol w:w="8280"/>
      </w:tblGrid>
      <w:tr>
        <w:tc>
          <w:tcPr>
            <w:tcW w:w="8280" w:type="dxa"/>
            <w:tcBorders>
              <w:top w:val="nil"/>
              <w:left w:sz="18" w:val="single" w:color="BBBFC4"/>
              <w:bottom w:val="nil"/>
              <w:right w:val="nil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 xml:space="preserve">任何自然语言的法律条文，最终都应有一份CNNL实现。  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 xml:space="preserve">立法不再只是起草文本，而是**编写经过形式化验证的规范代码**。  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法治不再依赖法官的自由裁量，而是**规则被透明、一致、不可篡改地执行**。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这是“宪政区块链”理念在立法环节的最终落地——**宪法的代码化，代码的宪法化**。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 xml:space="preserve">：NAC宪法法院 · 立法技术委员会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 xml:space="preserve">：1.0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 xml:space="preserve">：2026年2月13日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 xml:space="preserve">：正式发布  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本白皮书与《43条宪法增补条款论证报告》《CNNL编译器开发规范》《宪法执行引擎升级方案》共同构成NAC数字宪法技术体系。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620939">
    <w:lvl>
      <w:numFmt w:val="bullet"/>
      <w:suff w:val="tab"/>
      <w:lvlText w:val="•"/>
      <w:rPr>
        <w:color w:val="3370ff"/>
      </w:rPr>
    </w:lvl>
  </w:abstractNum>
  <w:abstractNum w:abstractNumId="620940">
    <w:lvl>
      <w:numFmt w:val="bullet"/>
      <w:suff w:val="tab"/>
      <w:lvlText w:val="•"/>
      <w:rPr>
        <w:color w:val="3370ff"/>
      </w:rPr>
    </w:lvl>
  </w:abstractNum>
  <w:abstractNum w:abstractNumId="620941">
    <w:lvl>
      <w:numFmt w:val="bullet"/>
      <w:suff w:val="tab"/>
      <w:lvlText w:val="•"/>
      <w:rPr>
        <w:color w:val="3370ff"/>
      </w:rPr>
    </w:lvl>
  </w:abstractNum>
  <w:abstractNum w:abstractNumId="620942">
    <w:lvl>
      <w:numFmt w:val="bullet"/>
      <w:suff w:val="tab"/>
      <w:lvlText w:val="•"/>
      <w:rPr>
        <w:color w:val="3370ff"/>
      </w:rPr>
    </w:lvl>
  </w:abstractNum>
  <w:abstractNum w:abstractNumId="620943">
    <w:lvl>
      <w:numFmt w:val="bullet"/>
      <w:suff w:val="tab"/>
      <w:lvlText w:val="•"/>
      <w:rPr>
        <w:color w:val="3370ff"/>
      </w:rPr>
    </w:lvl>
  </w:abstractNum>
  <w:abstractNum w:abstractNumId="620944">
    <w:lvl>
      <w:start w:val="1"/>
      <w:numFmt w:val="decimal"/>
      <w:suff w:val="tab"/>
      <w:lvlText w:val="%1."/>
      <w:rPr>
        <w:color w:val="3370ff"/>
      </w:rPr>
    </w:lvl>
  </w:abstractNum>
  <w:abstractNum w:abstractNumId="620945">
    <w:lvl>
      <w:start w:val="2"/>
      <w:numFmt w:val="decimal"/>
      <w:suff w:val="tab"/>
      <w:lvlText w:val="%1."/>
      <w:rPr>
        <w:color w:val="3370ff"/>
      </w:rPr>
    </w:lvl>
  </w:abstractNum>
  <w:abstractNum w:abstractNumId="620946">
    <w:lvl>
      <w:start w:val="3"/>
      <w:numFmt w:val="decimal"/>
      <w:suff w:val="tab"/>
      <w:lvlText w:val="%1."/>
      <w:rPr>
        <w:color w:val="3370ff"/>
      </w:rPr>
    </w:lvl>
  </w:abstractNum>
  <w:abstractNum w:abstractNumId="620947">
    <w:lvl>
      <w:start w:val="1"/>
      <w:numFmt w:val="decimal"/>
      <w:suff w:val="tab"/>
      <w:lvlText w:val="%1."/>
      <w:rPr>
        <w:color w:val="3370ff"/>
      </w:rPr>
    </w:lvl>
  </w:abstractNum>
  <w:abstractNum w:abstractNumId="620948">
    <w:lvl>
      <w:start w:val="2"/>
      <w:numFmt w:val="decimal"/>
      <w:suff w:val="tab"/>
      <w:lvlText w:val="%1."/>
      <w:rPr>
        <w:color w:val="3370ff"/>
      </w:rPr>
    </w:lvl>
  </w:abstractNum>
  <w:abstractNum w:abstractNumId="620949">
    <w:lvl>
      <w:start w:val="3"/>
      <w:numFmt w:val="decimal"/>
      <w:suff w:val="tab"/>
      <w:lvlText w:val="%1."/>
      <w:rPr>
        <w:color w:val="3370ff"/>
      </w:rPr>
    </w:lvl>
  </w:abstractNum>
  <w:abstractNum w:abstractNumId="620950">
    <w:lvl>
      <w:numFmt w:val="bullet"/>
      <w:suff w:val="tab"/>
      <w:lvlText w:val="•"/>
      <w:rPr>
        <w:color w:val="3370ff"/>
      </w:rPr>
    </w:lvl>
  </w:abstractNum>
  <w:abstractNum w:abstractNumId="620951">
    <w:lvl>
      <w:numFmt w:val="bullet"/>
      <w:suff w:val="tab"/>
      <w:lvlText w:val="•"/>
      <w:rPr>
        <w:color w:val="3370ff"/>
      </w:rPr>
    </w:lvl>
  </w:abstractNum>
  <w:abstractNum w:abstractNumId="620952">
    <w:lvl>
      <w:numFmt w:val="bullet"/>
      <w:suff w:val="tab"/>
      <w:lvlText w:val="•"/>
      <w:rPr>
        <w:color w:val="3370ff"/>
      </w:rPr>
    </w:lvl>
  </w:abstractNum>
  <w:abstractNum w:abstractNumId="620953">
    <w:lvl>
      <w:numFmt w:val="bullet"/>
      <w:suff w:val="tab"/>
      <w:lvlText w:val="•"/>
      <w:rPr>
        <w:color w:val="3370ff"/>
      </w:rPr>
    </w:lvl>
  </w:abstractNum>
  <w:abstractNum w:abstractNumId="620954">
    <w:lvl>
      <w:numFmt w:val="bullet"/>
      <w:suff w:val="tab"/>
      <w:lvlText w:val="•"/>
      <w:rPr>
        <w:color w:val="3370ff"/>
      </w:rPr>
    </w:lvl>
  </w:abstractNum>
  <w:abstractNum w:abstractNumId="620955">
    <w:lvl>
      <w:numFmt w:val="bullet"/>
      <w:suff w:val="tab"/>
      <w:lvlText w:val="•"/>
      <w:rPr>
        <w:color w:val="3370ff"/>
      </w:rPr>
    </w:lvl>
  </w:abstractNum>
  <w:abstractNum w:abstractNumId="620956">
    <w:lvl>
      <w:numFmt w:val="bullet"/>
      <w:suff w:val="tab"/>
      <w:lvlText w:val="•"/>
      <w:rPr>
        <w:color w:val="3370ff"/>
      </w:rPr>
    </w:lvl>
  </w:abstractNum>
  <w:abstractNum w:abstractNumId="620957">
    <w:lvl>
      <w:numFmt w:val="bullet"/>
      <w:suff w:val="tab"/>
      <w:lvlText w:val="•"/>
      <w:rPr>
        <w:color w:val="3370ff"/>
      </w:rPr>
    </w:lvl>
  </w:abstractNum>
  <w:abstractNum w:abstractNumId="620958">
    <w:lvl>
      <w:start w:val="1"/>
      <w:numFmt w:val="decimal"/>
      <w:suff w:val="tab"/>
      <w:lvlText w:val="%1."/>
      <w:rPr>
        <w:color w:val="3370ff"/>
      </w:rPr>
    </w:lvl>
  </w:abstractNum>
  <w:abstractNum w:abstractNumId="620959">
    <w:lvl>
      <w:start w:val="2"/>
      <w:numFmt w:val="decimal"/>
      <w:suff w:val="tab"/>
      <w:lvlText w:val="%1."/>
      <w:rPr>
        <w:color w:val="3370ff"/>
      </w:rPr>
    </w:lvl>
  </w:abstractNum>
  <w:abstractNum w:abstractNumId="620960">
    <w:lvl>
      <w:start w:val="3"/>
      <w:numFmt w:val="decimal"/>
      <w:suff w:val="tab"/>
      <w:lvlText w:val="%1."/>
      <w:rPr>
        <w:color w:val="3370ff"/>
      </w:rPr>
    </w:lvl>
  </w:abstractNum>
  <w:abstractNum w:abstractNumId="620961">
    <w:lvl>
      <w:start w:val="4"/>
      <w:numFmt w:val="decimal"/>
      <w:suff w:val="tab"/>
      <w:lvlText w:val="%1."/>
      <w:rPr>
        <w:color w:val="3370ff"/>
      </w:rPr>
    </w:lvl>
  </w:abstractNum>
  <w:abstractNum w:abstractNumId="620962">
    <w:lvl>
      <w:start w:val="1"/>
      <w:numFmt w:val="decimal"/>
      <w:suff w:val="tab"/>
      <w:lvlText w:val="%1."/>
      <w:rPr>
        <w:color w:val="3370ff"/>
      </w:rPr>
    </w:lvl>
  </w:abstractNum>
  <w:abstractNum w:abstractNumId="620963">
    <w:lvl>
      <w:start w:val="2"/>
      <w:numFmt w:val="decimal"/>
      <w:suff w:val="tab"/>
      <w:lvlText w:val="%1."/>
      <w:rPr>
        <w:color w:val="3370ff"/>
      </w:rPr>
    </w:lvl>
  </w:abstractNum>
  <w:abstractNum w:abstractNumId="620964">
    <w:lvl>
      <w:start w:val="3"/>
      <w:numFmt w:val="decimal"/>
      <w:suff w:val="tab"/>
      <w:lvlText w:val="%1."/>
      <w:rPr>
        <w:color w:val="3370ff"/>
      </w:rPr>
    </w:lvl>
  </w:abstractNum>
  <w:abstractNum w:abstractNumId="620965">
    <w:lvl>
      <w:numFmt w:val="bullet"/>
      <w:suff w:val="tab"/>
      <w:lvlText w:val="￮"/>
      <w:rPr>
        <w:color w:val="3370ff"/>
      </w:rPr>
    </w:lvl>
  </w:abstractNum>
  <w:abstractNum w:abstractNumId="620966">
    <w:lvl>
      <w:numFmt w:val="bullet"/>
      <w:suff w:val="tab"/>
      <w:lvlText w:val="￮"/>
      <w:rPr>
        <w:color w:val="3370ff"/>
      </w:rPr>
    </w:lvl>
  </w:abstractNum>
  <w:abstractNum w:abstractNumId="620967">
    <w:lvl>
      <w:numFmt w:val="bullet"/>
      <w:suff w:val="tab"/>
      <w:lvlText w:val="￮"/>
      <w:rPr>
        <w:color w:val="3370ff"/>
      </w:rPr>
    </w:lvl>
  </w:abstractNum>
  <w:abstractNum w:abstractNumId="620968">
    <w:lvl>
      <w:start w:val="4"/>
      <w:numFmt w:val="decimal"/>
      <w:suff w:val="tab"/>
      <w:lvlText w:val="%1."/>
      <w:rPr>
        <w:color w:val="3370ff"/>
      </w:rPr>
    </w:lvl>
  </w:abstractNum>
  <w:abstractNum w:abstractNumId="620969">
    <w:lvl>
      <w:start w:val="1"/>
      <w:numFmt w:val="decimal"/>
      <w:suff w:val="tab"/>
      <w:lvlText w:val="%1."/>
      <w:rPr>
        <w:color w:val="3370ff"/>
      </w:rPr>
    </w:lvl>
  </w:abstractNum>
  <w:abstractNum w:abstractNumId="620970">
    <w:lvl>
      <w:start w:val="2"/>
      <w:numFmt w:val="decimal"/>
      <w:suff w:val="tab"/>
      <w:lvlText w:val="%1."/>
      <w:rPr>
        <w:color w:val="3370ff"/>
      </w:rPr>
    </w:lvl>
  </w:abstractNum>
  <w:abstractNum w:abstractNumId="620971">
    <w:lvl>
      <w:start w:val="3"/>
      <w:numFmt w:val="decimal"/>
      <w:suff w:val="tab"/>
      <w:lvlText w:val="%1."/>
      <w:rPr>
        <w:color w:val="3370ff"/>
      </w:rPr>
    </w:lvl>
  </w:abstractNum>
  <w:abstractNum w:abstractNumId="620972">
    <w:lvl>
      <w:start w:val="4"/>
      <w:numFmt w:val="decimal"/>
      <w:suff w:val="tab"/>
      <w:lvlText w:val="%1."/>
      <w:rPr>
        <w:color w:val="3370ff"/>
      </w:rPr>
    </w:lvl>
  </w:abstractNum>
  <w:abstractNum w:abstractNumId="620973">
    <w:lvl>
      <w:numFmt w:val="bullet"/>
      <w:suff w:val="tab"/>
      <w:lvlText w:val="•"/>
      <w:rPr>
        <w:color w:val="3370ff"/>
      </w:rPr>
    </w:lvl>
  </w:abstractNum>
  <w:abstractNum w:abstractNumId="620974">
    <w:lvl>
      <w:numFmt w:val="bullet"/>
      <w:suff w:val="tab"/>
      <w:lvlText w:val="•"/>
      <w:rPr>
        <w:color w:val="3370ff"/>
      </w:rPr>
    </w:lvl>
  </w:abstractNum>
  <w:abstractNum w:abstractNumId="620975">
    <w:lvl>
      <w:numFmt w:val="bullet"/>
      <w:suff w:val="tab"/>
      <w:lvlText w:val="•"/>
      <w:rPr>
        <w:color w:val="3370ff"/>
      </w:rPr>
    </w:lvl>
  </w:abstractNum>
  <w:abstractNum w:abstractNumId="620976">
    <w:lvl>
      <w:numFmt w:val="bullet"/>
      <w:suff w:val="tab"/>
      <w:lvlText w:val="•"/>
      <w:rPr>
        <w:color w:val="3370ff"/>
      </w:rPr>
    </w:lvl>
  </w:abstractNum>
  <w:abstractNum w:abstractNumId="620977">
    <w:lvl>
      <w:numFmt w:val="bullet"/>
      <w:suff w:val="tab"/>
      <w:lvlText w:val="•"/>
      <w:rPr>
        <w:color w:val="3370ff"/>
      </w:rPr>
    </w:lvl>
  </w:abstractNum>
  <w:abstractNum w:abstractNumId="620978">
    <w:lvl>
      <w:numFmt w:val="bullet"/>
      <w:suff w:val="tab"/>
      <w:lvlText w:val="•"/>
      <w:rPr>
        <w:color w:val="3370ff"/>
      </w:rPr>
    </w:lvl>
  </w:abstractNum>
  <w:abstractNum w:abstractNumId="620979">
    <w:lvl>
      <w:numFmt w:val="bullet"/>
      <w:suff w:val="tab"/>
      <w:lvlText w:val="•"/>
      <w:rPr>
        <w:color w:val="3370ff"/>
      </w:rPr>
    </w:lvl>
  </w:abstractNum>
  <w:abstractNum w:abstractNumId="620980">
    <w:lvl>
      <w:numFmt w:val="bullet"/>
      <w:suff w:val="tab"/>
      <w:lvlText w:val="•"/>
      <w:rPr>
        <w:color w:val="3370ff"/>
      </w:rPr>
    </w:lvl>
  </w:abstractNum>
  <w:abstractNum w:abstractNumId="620981">
    <w:lvl>
      <w:numFmt w:val="bullet"/>
      <w:suff w:val="tab"/>
      <w:lvlText w:val="￮"/>
      <w:rPr>
        <w:color w:val="3370ff"/>
      </w:rPr>
    </w:lvl>
  </w:abstractNum>
  <w:abstractNum w:abstractNumId="620982">
    <w:lvl>
      <w:numFmt w:val="bullet"/>
      <w:suff w:val="tab"/>
      <w:lvlText w:val="￮"/>
      <w:rPr>
        <w:color w:val="3370ff"/>
      </w:rPr>
    </w:lvl>
  </w:abstractNum>
  <w:abstractNum w:abstractNumId="620983">
    <w:lvl>
      <w:numFmt w:val="bullet"/>
      <w:suff w:val="tab"/>
      <w:lvlText w:val="￮"/>
      <w:rPr>
        <w:color w:val="3370ff"/>
      </w:rPr>
    </w:lvl>
  </w:abstractNum>
  <w:abstractNum w:abstractNumId="620984">
    <w:lvl>
      <w:numFmt w:val="bullet"/>
      <w:suff w:val="tab"/>
      <w:lvlText w:val="•"/>
      <w:rPr>
        <w:color w:val="3370ff"/>
      </w:rPr>
    </w:lvl>
  </w:abstractNum>
  <w:abstractNum w:abstractNumId="620985">
    <w:lvl>
      <w:numFmt w:val="bullet"/>
      <w:suff w:val="tab"/>
      <w:lvlText w:val="•"/>
      <w:rPr>
        <w:color w:val="3370ff"/>
      </w:rPr>
    </w:lvl>
  </w:abstractNum>
  <w:abstractNum w:abstractNumId="620986">
    <w:lvl>
      <w:numFmt w:val="bullet"/>
      <w:suff w:val="tab"/>
      <w:lvlText w:val="•"/>
      <w:rPr>
        <w:color w:val="3370ff"/>
      </w:rPr>
    </w:lvl>
  </w:abstractNum>
  <w:abstractNum w:abstractNumId="620987">
    <w:lvl>
      <w:numFmt w:val="bullet"/>
      <w:suff w:val="tab"/>
      <w:lvlText w:val="•"/>
      <w:rPr>
        <w:color w:val="3370ff"/>
      </w:rPr>
    </w:lvl>
  </w:abstractNum>
  <w:abstractNum w:abstractNumId="620988">
    <w:lvl>
      <w:numFmt w:val="bullet"/>
      <w:suff w:val="tab"/>
      <w:lvlText w:val="•"/>
      <w:rPr>
        <w:color w:val="3370ff"/>
      </w:rPr>
    </w:lvl>
  </w:abstractNum>
  <w:num w:numId="1">
    <w:abstractNumId w:val="620939"/>
  </w:num>
  <w:num w:numId="2">
    <w:abstractNumId w:val="620940"/>
  </w:num>
  <w:num w:numId="3">
    <w:abstractNumId w:val="620941"/>
  </w:num>
  <w:num w:numId="4">
    <w:abstractNumId w:val="620942"/>
  </w:num>
  <w:num w:numId="5">
    <w:abstractNumId w:val="620943"/>
  </w:num>
  <w:num w:numId="6">
    <w:abstractNumId w:val="620944"/>
  </w:num>
  <w:num w:numId="7">
    <w:abstractNumId w:val="620945"/>
  </w:num>
  <w:num w:numId="8">
    <w:abstractNumId w:val="620946"/>
  </w:num>
  <w:num w:numId="9">
    <w:abstractNumId w:val="620947"/>
  </w:num>
  <w:num w:numId="10">
    <w:abstractNumId w:val="620948"/>
  </w:num>
  <w:num w:numId="11">
    <w:abstractNumId w:val="620949"/>
  </w:num>
  <w:num w:numId="12">
    <w:abstractNumId w:val="620950"/>
  </w:num>
  <w:num w:numId="13">
    <w:abstractNumId w:val="620951"/>
  </w:num>
  <w:num w:numId="14">
    <w:abstractNumId w:val="620952"/>
  </w:num>
  <w:num w:numId="15">
    <w:abstractNumId w:val="620953"/>
  </w:num>
  <w:num w:numId="16">
    <w:abstractNumId w:val="620954"/>
  </w:num>
  <w:num w:numId="17">
    <w:abstractNumId w:val="620955"/>
  </w:num>
  <w:num w:numId="18">
    <w:abstractNumId w:val="620956"/>
  </w:num>
  <w:num w:numId="19">
    <w:abstractNumId w:val="620957"/>
  </w:num>
  <w:num w:numId="20">
    <w:abstractNumId w:val="620958"/>
  </w:num>
  <w:num w:numId="21">
    <w:abstractNumId w:val="620959"/>
  </w:num>
  <w:num w:numId="22">
    <w:abstractNumId w:val="620960"/>
  </w:num>
  <w:num w:numId="23">
    <w:abstractNumId w:val="620961"/>
  </w:num>
  <w:num w:numId="24">
    <w:abstractNumId w:val="620962"/>
  </w:num>
  <w:num w:numId="25">
    <w:abstractNumId w:val="620963"/>
  </w:num>
  <w:num w:numId="26">
    <w:abstractNumId w:val="620964"/>
  </w:num>
  <w:num w:numId="27">
    <w:abstractNumId w:val="620965"/>
  </w:num>
  <w:num w:numId="28">
    <w:abstractNumId w:val="620966"/>
  </w:num>
  <w:num w:numId="29">
    <w:abstractNumId w:val="620967"/>
  </w:num>
  <w:num w:numId="30">
    <w:abstractNumId w:val="620968"/>
  </w:num>
  <w:num w:numId="31">
    <w:abstractNumId w:val="620969"/>
  </w:num>
  <w:num w:numId="32">
    <w:abstractNumId w:val="620970"/>
  </w:num>
  <w:num w:numId="33">
    <w:abstractNumId w:val="620971"/>
  </w:num>
  <w:num w:numId="34">
    <w:abstractNumId w:val="620972"/>
  </w:num>
  <w:num w:numId="35">
    <w:abstractNumId w:val="620973"/>
  </w:num>
  <w:num w:numId="36">
    <w:abstractNumId w:val="620974"/>
  </w:num>
  <w:num w:numId="37">
    <w:abstractNumId w:val="620975"/>
  </w:num>
  <w:num w:numId="38">
    <w:abstractNumId w:val="620976"/>
  </w:num>
  <w:num w:numId="39">
    <w:abstractNumId w:val="620977"/>
  </w:num>
  <w:num w:numId="40">
    <w:abstractNumId w:val="620978"/>
  </w:num>
  <w:num w:numId="41">
    <w:abstractNumId w:val="620979"/>
  </w:num>
  <w:num w:numId="42">
    <w:abstractNumId w:val="620980"/>
  </w:num>
  <w:num w:numId="43">
    <w:abstractNumId w:val="620981"/>
  </w:num>
  <w:num w:numId="44">
    <w:abstractNumId w:val="620982"/>
  </w:num>
  <w:num w:numId="45">
    <w:abstractNumId w:val="620983"/>
  </w:num>
  <w:num w:numId="46">
    <w:abstractNumId w:val="620984"/>
  </w:num>
  <w:num w:numId="47">
    <w:abstractNumId w:val="620985"/>
  </w:num>
  <w:num w:numId="48">
    <w:abstractNumId w:val="620986"/>
  </w:num>
  <w:num w:numId="49">
    <w:abstractNumId w:val="620987"/>
  </w:num>
  <w:num w:numId="50">
    <w:abstractNumId w:val="620988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2026-02-12T21:26:56Z</dcterms:created>
  <dc:creator>Apache POI</dc:creator>
</cp:coreProperties>
</file>