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宪政结构化网络协议技术白皮书</w:t>
      </w:r>
    </w:p>
    <w:p>
      <w:pPr>
        <w:spacing w:before="120" w:after="120" w:line="288" w:lineRule="auto"/>
        <w:ind w:left="0"/>
        <w:jc w:val="left"/>
      </w:pPr>
      <w:r>
        <w:rPr>
          <w:rFonts w:eastAsia="等线" w:ascii="Arial" w:cs="Arial" w:hAnsi="Arial"/>
          <w:b w:val="true"/>
          <w:sz w:val="22"/>
        </w:rPr>
        <w:t>——构建NAC全域资产流通的确定性神经系统</w:t>
      </w:r>
    </w:p>
    <w:p>
      <w:pPr>
        <w:spacing w:before="120" w:after="120" w:line="288" w:lineRule="auto"/>
        <w:ind w:left="0"/>
        <w:jc w:val="left"/>
      </w:pPr>
      <w:r>
        <w:rPr>
          <w:rFonts w:eastAsia="等线" w:ascii="Arial" w:cs="Arial" w:hAnsi="Arial"/>
          <w:b w:val="true"/>
          <w:sz w:val="22"/>
        </w:rPr>
        <w:t>文档版本：</w:t>
      </w:r>
      <w:r>
        <w:rPr>
          <w:rFonts w:eastAsia="等线" w:ascii="Arial" w:cs="Arial" w:hAnsi="Arial"/>
          <w:sz w:val="22"/>
        </w:rPr>
        <w:t xml:space="preserve"> V2.0 Final</w:t>
      </w:r>
    </w:p>
    <w:p>
      <w:pPr>
        <w:spacing w:before="120" w:after="120" w:line="288" w:lineRule="auto"/>
        <w:ind w:left="0"/>
        <w:jc w:val="left"/>
      </w:pPr>
      <w:r>
        <w:rPr>
          <w:rFonts w:eastAsia="等线" w:ascii="Arial" w:cs="Arial" w:hAnsi="Arial"/>
          <w:b w:val="true"/>
          <w:sz w:val="22"/>
        </w:rPr>
        <w:t>制定方：</w:t>
      </w:r>
      <w:r>
        <w:rPr>
          <w:rFonts w:eastAsia="等线" w:ascii="Arial" w:cs="Arial" w:hAnsi="Arial"/>
          <w:sz w:val="22"/>
        </w:rPr>
        <w:t xml:space="preserve"> NAC协议标准委员会 - 网络协议工作组</w:t>
      </w:r>
    </w:p>
    <w:p>
      <w:pPr>
        <w:spacing w:before="120" w:after="120" w:line="288" w:lineRule="auto"/>
        <w:ind w:left="0"/>
        <w:jc w:val="left"/>
      </w:pPr>
      <w:r>
        <w:rPr>
          <w:rFonts w:eastAsia="等线" w:ascii="Arial" w:cs="Arial" w:hAnsi="Arial"/>
          <w:b w:val="true"/>
          <w:sz w:val="22"/>
        </w:rPr>
        <w:t>发布日期：</w:t>
      </w:r>
      <w:r>
        <w:rPr>
          <w:rFonts w:eastAsia="等线" w:ascii="Arial" w:cs="Arial" w:hAnsi="Arial"/>
          <w:sz w:val="22"/>
        </w:rPr>
        <w:t xml:space="preserve"> 2025年10月27日</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0" w:id="0"/>
      <w:r>
        <w:rPr>
          <w:rFonts w:eastAsia="等线" w:ascii="Arial" w:cs="Arial" w:hAnsi="Arial"/>
          <w:b w:val="true"/>
          <w:sz w:val="36"/>
        </w:rPr>
        <w:t>摘要</w:t>
      </w:r>
      <w:bookmarkEnd w:id="0"/>
    </w:p>
    <w:p>
      <w:pPr>
        <w:spacing w:before="120" w:after="120" w:line="288" w:lineRule="auto"/>
        <w:ind w:left="0"/>
        <w:jc w:val="left"/>
      </w:pPr>
      <w:r>
        <w:rPr>
          <w:rFonts w:eastAsia="等线" w:ascii="Arial" w:cs="Arial" w:hAnsi="Arial"/>
          <w:sz w:val="22"/>
        </w:rPr>
        <w:t>宪政结构化网络协议是NAC公链实现“宪法即共识”哲学、支撑“资产分叉+一币多链+一链多层+多链并行+一链多叉”复杂生态的</w:t>
      </w:r>
      <w:r>
        <w:rPr>
          <w:rFonts w:eastAsia="等线" w:ascii="Arial" w:cs="Arial" w:hAnsi="Arial"/>
          <w:b w:val="true"/>
          <w:sz w:val="22"/>
        </w:rPr>
        <w:t>基础通信层</w:t>
      </w:r>
      <w:r>
        <w:rPr>
          <w:rFonts w:eastAsia="等线" w:ascii="Arial" w:cs="Arial" w:hAnsi="Arial"/>
          <w:sz w:val="22"/>
        </w:rPr>
        <w:t>。本协议摒弃传统区块链无结构P2P网络的随机性与匿名性，构建了一个</w:t>
      </w:r>
      <w:r>
        <w:rPr>
          <w:rFonts w:eastAsia="等线" w:ascii="Arial" w:cs="Arial" w:hAnsi="Arial"/>
          <w:b w:val="true"/>
          <w:sz w:val="22"/>
        </w:rPr>
        <w:t>受宪法规则治理、基于资产属性（GNACS编码）智能路由、面向多链异构环境优化</w:t>
      </w:r>
      <w:r>
        <w:rPr>
          <w:rFonts w:eastAsia="等线" w:ascii="Arial" w:cs="Arial" w:hAnsi="Arial"/>
          <w:sz w:val="22"/>
        </w:rPr>
        <w:t>的确定性网络基础设施。</w:t>
      </w:r>
    </w:p>
    <w:p>
      <w:pPr>
        <w:spacing w:before="120" w:after="120" w:line="288" w:lineRule="auto"/>
        <w:ind w:left="0"/>
        <w:jc w:val="left"/>
      </w:pPr>
      <w:r>
        <w:rPr>
          <w:rFonts w:eastAsia="等线" w:ascii="Arial" w:cs="Arial" w:hAnsi="Arial"/>
          <w:sz w:val="22"/>
        </w:rPr>
        <w:t>CSNP的核心创新在于将网络行为纳入宪政框架，通过</w:t>
      </w:r>
      <w:r>
        <w:rPr>
          <w:rFonts w:eastAsia="等线" w:ascii="Arial" w:cs="Arial" w:hAnsi="Arial"/>
          <w:b w:val="true"/>
          <w:sz w:val="22"/>
        </w:rPr>
        <w:t>全域身份目录服务</w:t>
      </w:r>
      <w:r>
        <w:rPr>
          <w:rFonts w:eastAsia="等线" w:ascii="Arial" w:cs="Arial" w:hAnsi="Arial"/>
          <w:sz w:val="22"/>
        </w:rPr>
        <w:t>、</w:t>
      </w:r>
      <w:r>
        <w:rPr>
          <w:rFonts w:eastAsia="等线" w:ascii="Arial" w:cs="Arial" w:hAnsi="Arial"/>
          <w:b w:val="true"/>
          <w:sz w:val="22"/>
        </w:rPr>
        <w:t>多链自适应连接管理</w:t>
      </w:r>
      <w:r>
        <w:rPr>
          <w:rFonts w:eastAsia="等线" w:ascii="Arial" w:cs="Arial" w:hAnsi="Arial"/>
          <w:sz w:val="22"/>
        </w:rPr>
        <w:t>、</w:t>
      </w:r>
      <w:r>
        <w:rPr>
          <w:rFonts w:eastAsia="等线" w:ascii="Arial" w:cs="Arial" w:hAnsi="Arial"/>
          <w:b w:val="true"/>
          <w:sz w:val="22"/>
        </w:rPr>
        <w:t>资产感知传播引擎</w:t>
      </w:r>
      <w:r>
        <w:rPr>
          <w:rFonts w:eastAsia="等线" w:ascii="Arial" w:cs="Arial" w:hAnsi="Arial"/>
          <w:sz w:val="22"/>
        </w:rPr>
        <w:t>、</w:t>
      </w:r>
      <w:r>
        <w:rPr>
          <w:rFonts w:eastAsia="等线" w:ascii="Arial" w:cs="Arial" w:hAnsi="Arial"/>
          <w:b w:val="true"/>
          <w:sz w:val="22"/>
        </w:rPr>
        <w:t>碎片化交易聚合网络</w:t>
      </w:r>
      <w:r>
        <w:rPr>
          <w:rFonts w:eastAsia="等线" w:ascii="Arial" w:cs="Arial" w:hAnsi="Arial"/>
          <w:sz w:val="22"/>
        </w:rPr>
        <w:t>和</w:t>
      </w:r>
      <w:r>
        <w:rPr>
          <w:rFonts w:eastAsia="等线" w:ascii="Arial" w:cs="Arial" w:hAnsi="Arial"/>
          <w:b w:val="true"/>
          <w:sz w:val="22"/>
        </w:rPr>
        <w:t>统一跨链审计器</w:t>
      </w:r>
      <w:r>
        <w:rPr>
          <w:rFonts w:eastAsia="等线" w:ascii="Arial" w:cs="Arial" w:hAnsi="Arial"/>
          <w:sz w:val="22"/>
        </w:rPr>
        <w:t>五大支柱，实现以下目标：</w:t>
      </w:r>
    </w:p>
    <w:p>
      <w:pPr>
        <w:numPr>
          <w:numId w:val="1"/>
        </w:numPr>
        <w:spacing w:before="120" w:after="120" w:line="288" w:lineRule="auto"/>
        <w:ind w:left="0"/>
        <w:jc w:val="left"/>
      </w:pPr>
      <w:r>
        <w:rPr>
          <w:rFonts w:eastAsia="等线" w:ascii="Arial" w:cs="Arial" w:hAnsi="Arial"/>
          <w:b w:val="true"/>
          <w:sz w:val="22"/>
        </w:rPr>
        <w:t>为CBPP共识提供确定性低延迟通信</w:t>
      </w:r>
      <w:r>
        <w:rPr>
          <w:rFonts w:eastAsia="等线" w:ascii="Arial" w:cs="Arial" w:hAnsi="Arial"/>
          <w:sz w:val="22"/>
        </w:rPr>
        <w:t>，使“参与即共识”具有可预测的网络性能基础。</w:t>
      </w:r>
    </w:p>
    <w:p>
      <w:pPr>
        <w:numPr>
          <w:numId w:val="2"/>
        </w:numPr>
        <w:spacing w:before="120" w:after="120" w:line="288" w:lineRule="auto"/>
        <w:ind w:left="0"/>
        <w:jc w:val="left"/>
      </w:pPr>
      <w:r>
        <w:rPr>
          <w:rFonts w:eastAsia="等线" w:ascii="Arial" w:cs="Arial" w:hAnsi="Arial"/>
          <w:b w:val="true"/>
          <w:sz w:val="22"/>
        </w:rPr>
        <w:t>为GNACS编码的资产赋予智能传播策略</w:t>
      </w:r>
      <w:r>
        <w:rPr>
          <w:rFonts w:eastAsia="等线" w:ascii="Arial" w:cs="Arial" w:hAnsi="Arial"/>
          <w:sz w:val="22"/>
        </w:rPr>
        <w:t>，使高流动性资产、合规敏感资产、场外大宗资产获得差异化的网络服务。</w:t>
      </w:r>
    </w:p>
    <w:p>
      <w:pPr>
        <w:numPr>
          <w:numId w:val="3"/>
        </w:numPr>
        <w:spacing w:before="120" w:after="120" w:line="288" w:lineRule="auto"/>
        <w:ind w:left="0"/>
        <w:jc w:val="left"/>
      </w:pPr>
      <w:r>
        <w:rPr>
          <w:rFonts w:eastAsia="等线" w:ascii="Arial" w:cs="Arial" w:hAnsi="Arial"/>
          <w:b w:val="true"/>
          <w:sz w:val="22"/>
        </w:rPr>
        <w:t>为碎片化协议与跨链资产流通提供专属优化通道</w:t>
      </w:r>
      <w:r>
        <w:rPr>
          <w:rFonts w:eastAsia="等线" w:ascii="Arial" w:cs="Arial" w:hAnsi="Arial"/>
          <w:sz w:val="22"/>
        </w:rPr>
        <w:t>，显著提升海量微额交易与跨链消息的效率与安全性。</w:t>
      </w:r>
    </w:p>
    <w:p>
      <w:pPr>
        <w:numPr>
          <w:numId w:val="4"/>
        </w:numPr>
        <w:spacing w:before="120" w:after="120" w:line="288" w:lineRule="auto"/>
        <w:ind w:left="0"/>
        <w:jc w:val="left"/>
      </w:pPr>
      <w:r>
        <w:rPr>
          <w:rFonts w:eastAsia="等线" w:ascii="Arial" w:cs="Arial" w:hAnsi="Arial"/>
          <w:b w:val="true"/>
          <w:sz w:val="22"/>
        </w:rPr>
        <w:t>将网络层的连接、转发、中继行为规则化、可审计、可惩罚</w:t>
      </w:r>
      <w:r>
        <w:rPr>
          <w:rFonts w:eastAsia="等线" w:ascii="Arial" w:cs="Arial" w:hAnsi="Arial"/>
          <w:sz w:val="22"/>
        </w:rPr>
        <w:t>，实现协议级的抗审查与行为合规。</w:t>
      </w:r>
    </w:p>
    <w:p>
      <w:pPr>
        <w:spacing w:before="120" w:after="120" w:line="288" w:lineRule="auto"/>
        <w:ind w:left="0"/>
        <w:jc w:val="left"/>
      </w:pPr>
      <w:r>
        <w:rPr>
          <w:rFonts w:eastAsia="等线" w:ascii="Arial" w:cs="Arial" w:hAnsi="Arial"/>
          <w:sz w:val="22"/>
        </w:rPr>
        <w:t>CSNP不仅是数据传输管道，更是NAC宪政秩序在通信维度的延伸，是连接共识、资产、应用与用户的“确定性神经系统”。</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1" w:id="1"/>
      <w:r>
        <w:rPr>
          <w:rFonts w:eastAsia="等线" w:ascii="Arial" w:cs="Arial" w:hAnsi="Arial"/>
          <w:b w:val="true"/>
          <w:sz w:val="36"/>
        </w:rPr>
        <w:t>第一章：设计哲学与范式革命</w:t>
      </w:r>
      <w:bookmarkEnd w:id="1"/>
    </w:p>
    <w:p>
      <w:pPr>
        <w:pStyle w:val="2"/>
        <w:spacing w:before="320" w:after="120" w:line="288" w:lineRule="auto"/>
        <w:ind w:left="0"/>
        <w:jc w:val="left"/>
        <w:outlineLvl w:val="1"/>
      </w:pPr>
      <w:bookmarkStart w:name="heading_2" w:id="2"/>
      <w:r>
        <w:rPr>
          <w:rFonts w:eastAsia="等线" w:ascii="Arial" w:cs="Arial" w:hAnsi="Arial"/>
          <w:b w:val="true"/>
          <w:sz w:val="32"/>
        </w:rPr>
        <w:t>1.1 传统P2P网络与复杂资产公链的根本矛盾</w:t>
      </w:r>
      <w:bookmarkEnd w:id="2"/>
    </w:p>
    <w:p>
      <w:pPr>
        <w:spacing w:before="120" w:after="120" w:line="288" w:lineRule="auto"/>
        <w:ind w:left="0"/>
        <w:jc w:val="left"/>
      </w:pPr>
      <w:r>
        <w:rPr>
          <w:rFonts w:eastAsia="等线" w:ascii="Arial" w:cs="Arial" w:hAnsi="Arial"/>
          <w:sz w:val="22"/>
        </w:rPr>
        <w:t>传统区块链（如比特币、以太坊）采用的</w:t>
      </w:r>
      <w:r>
        <w:rPr>
          <w:rFonts w:eastAsia="等线" w:ascii="Arial" w:cs="Arial" w:hAnsi="Arial"/>
          <w:b w:val="true"/>
          <w:sz w:val="22"/>
        </w:rPr>
        <w:t>无结构Gossip P2P网络</w:t>
      </w:r>
      <w:r>
        <w:rPr>
          <w:rFonts w:eastAsia="等线" w:ascii="Arial" w:cs="Arial" w:hAnsi="Arial"/>
          <w:sz w:val="22"/>
        </w:rPr>
        <w:t>，其设计核心是</w:t>
      </w:r>
      <w:r>
        <w:rPr>
          <w:rFonts w:eastAsia="等线" w:ascii="Arial" w:cs="Arial" w:hAnsi="Arial"/>
          <w:b w:val="true"/>
          <w:sz w:val="22"/>
        </w:rPr>
        <w:t>在完全匿名、自由连接、随机传播的假设下，最大化网络的去中心化与抗审查性</w:t>
      </w:r>
      <w:r>
        <w:rPr>
          <w:rFonts w:eastAsia="等线" w:ascii="Arial" w:cs="Arial" w:hAnsi="Arial"/>
          <w:sz w:val="22"/>
        </w:rPr>
        <w:t>。这一范式与NAC公链承载复杂现实世界资产（RWA）的目标存在本质冲突：</w:t>
      </w:r>
    </w:p>
    <w:p>
      <w:pPr>
        <w:pStyle w:val="3"/>
        <w:spacing w:before="300" w:after="120" w:line="288" w:lineRule="auto"/>
        <w:ind w:left="0"/>
        <w:jc w:val="left"/>
        <w:outlineLvl w:val="2"/>
      </w:pPr>
      <w:bookmarkStart w:name="heading_3" w:id="3"/>
      <w:r>
        <w:rPr>
          <w:rFonts w:eastAsia="等线" w:ascii="Arial" w:cs="Arial" w:hAnsi="Arial"/>
          <w:b w:val="true"/>
          <w:sz w:val="30"/>
        </w:rPr>
        <w:t>矛盾一：匿名自由 vs. 身份权责</w:t>
      </w:r>
      <w:bookmarkEnd w:id="3"/>
    </w:p>
    <w:p>
      <w:pPr>
        <w:spacing w:before="120" w:after="120" w:line="288" w:lineRule="auto"/>
        <w:ind w:left="0"/>
        <w:jc w:val="left"/>
      </w:pPr>
      <w:r>
        <w:rPr>
          <w:rFonts w:eastAsia="等线" w:ascii="Arial" w:cs="Arial" w:hAnsi="Arial"/>
          <w:sz w:val="22"/>
        </w:rPr>
        <w:t>NAC生态中，宪法区块生产者、资产发行方、跨链中继等关键角色均需明确的DID身份与链上信誉。匿名网络无法建立权责对应的通信关系。</w:t>
      </w:r>
    </w:p>
    <w:p>
      <w:pPr>
        <w:pStyle w:val="3"/>
        <w:spacing w:before="300" w:after="120" w:line="288" w:lineRule="auto"/>
        <w:ind w:left="0"/>
        <w:jc w:val="left"/>
        <w:outlineLvl w:val="2"/>
      </w:pPr>
      <w:bookmarkStart w:name="heading_4" w:id="4"/>
      <w:r>
        <w:rPr>
          <w:rFonts w:eastAsia="等线" w:ascii="Arial" w:cs="Arial" w:hAnsi="Arial"/>
          <w:b w:val="true"/>
          <w:sz w:val="30"/>
        </w:rPr>
        <w:t>矛盾二：随机传播 vs. 属性感知</w:t>
      </w:r>
      <w:bookmarkEnd w:id="4"/>
    </w:p>
    <w:p>
      <w:pPr>
        <w:spacing w:before="120" w:after="120" w:line="288" w:lineRule="auto"/>
        <w:ind w:left="0"/>
        <w:jc w:val="left"/>
      </w:pPr>
      <w:r>
        <w:rPr>
          <w:rFonts w:eastAsia="等线" w:ascii="Arial" w:cs="Arial" w:hAnsi="Arial"/>
          <w:sz w:val="22"/>
        </w:rPr>
        <w:t>GNACS 48位编码定义了资产的流动性、风险、合规等级等关键属性。一条高流动性股票交易与一笔场外不动产碎片交易，应有截然不同的传播优先级与路径，而随机广播对此无能为力。</w:t>
      </w:r>
    </w:p>
    <w:p>
      <w:pPr>
        <w:pStyle w:val="3"/>
        <w:spacing w:before="300" w:after="120" w:line="288" w:lineRule="auto"/>
        <w:ind w:left="0"/>
        <w:jc w:val="left"/>
        <w:outlineLvl w:val="2"/>
      </w:pPr>
      <w:bookmarkStart w:name="heading_5" w:id="5"/>
      <w:r>
        <w:rPr>
          <w:rFonts w:eastAsia="等线" w:ascii="Arial" w:cs="Arial" w:hAnsi="Arial"/>
          <w:b w:val="true"/>
          <w:sz w:val="30"/>
        </w:rPr>
        <w:t>矛盾三：单一广播 vs. 复杂拓扑</w:t>
      </w:r>
      <w:bookmarkEnd w:id="5"/>
    </w:p>
    <w:p>
      <w:pPr>
        <w:spacing w:before="120" w:after="120" w:line="288" w:lineRule="auto"/>
        <w:ind w:left="0"/>
        <w:jc w:val="left"/>
      </w:pPr>
      <w:r>
        <w:rPr>
          <w:rFonts w:eastAsia="等线" w:ascii="Arial" w:cs="Arial" w:hAnsi="Arial"/>
          <w:sz w:val="22"/>
        </w:rPr>
        <w:t>“一币多链、多链并行”架构下，资产与交易在异构链间频繁流动。传统单链广播模型无法有效、安全地处理跨链通信，易成为性能瓶颈与安全洼地。</w:t>
      </w:r>
    </w:p>
    <w:p>
      <w:pPr>
        <w:pStyle w:val="3"/>
        <w:spacing w:before="300" w:after="120" w:line="288" w:lineRule="auto"/>
        <w:ind w:left="0"/>
        <w:jc w:val="left"/>
        <w:outlineLvl w:val="2"/>
      </w:pPr>
      <w:bookmarkStart w:name="heading_6" w:id="6"/>
      <w:r>
        <w:rPr>
          <w:rFonts w:eastAsia="等线" w:ascii="Arial" w:cs="Arial" w:hAnsi="Arial"/>
          <w:b w:val="true"/>
          <w:sz w:val="30"/>
        </w:rPr>
        <w:t>矛盾四：无主治理 vs. 宪法约束</w:t>
      </w:r>
      <w:bookmarkEnd w:id="6"/>
    </w:p>
    <w:p>
      <w:pPr>
        <w:spacing w:before="120" w:after="120" w:line="288" w:lineRule="auto"/>
        <w:ind w:left="0"/>
        <w:jc w:val="left"/>
      </w:pPr>
      <w:r>
        <w:rPr>
          <w:rFonts w:eastAsia="等线" w:ascii="Arial" w:cs="Arial" w:hAnsi="Arial"/>
          <w:sz w:val="22"/>
        </w:rPr>
        <w:t>传统网络节点可选择性转发甚至丢弃交易，仅受“软性”博弈约束。在宪政区块链中，</w:t>
      </w:r>
      <w:r>
        <w:rPr>
          <w:rFonts w:eastAsia="等线" w:ascii="Arial" w:cs="Arial" w:hAnsi="Arial"/>
          <w:b w:val="true"/>
          <w:sz w:val="22"/>
        </w:rPr>
        <w:t>传播有效交易是节点的法定义务</w:t>
      </w:r>
      <w:r>
        <w:rPr>
          <w:rFonts w:eastAsia="等线" w:ascii="Arial" w:cs="Arial" w:hAnsi="Arial"/>
          <w:sz w:val="22"/>
        </w:rPr>
        <w:t>，网络行为必须可审计、可验证、可惩罚。</w:t>
      </w:r>
    </w:p>
    <w:p>
      <w:pPr>
        <w:pStyle w:val="2"/>
        <w:spacing w:before="320" w:after="120" w:line="288" w:lineRule="auto"/>
        <w:ind w:left="0"/>
        <w:jc w:val="left"/>
        <w:outlineLvl w:val="1"/>
      </w:pPr>
      <w:bookmarkStart w:name="heading_7" w:id="7"/>
      <w:r>
        <w:rPr>
          <w:rFonts w:eastAsia="等线" w:ascii="Arial" w:cs="Arial" w:hAnsi="Arial"/>
          <w:b w:val="true"/>
          <w:sz w:val="32"/>
        </w:rPr>
        <w:t>1.2 CSNP的核心哲学：法治化网络</w:t>
      </w:r>
      <w:bookmarkEnd w:id="7"/>
    </w:p>
    <w:p>
      <w:pPr>
        <w:spacing w:before="120" w:after="120" w:line="288" w:lineRule="auto"/>
        <w:ind w:left="0"/>
        <w:jc w:val="left"/>
      </w:pPr>
      <w:r>
        <w:rPr>
          <w:rFonts w:eastAsia="等线" w:ascii="Arial" w:cs="Arial" w:hAnsi="Arial"/>
          <w:sz w:val="22"/>
        </w:rPr>
        <w:t>CSNP的核心理念是将网络层从“</w:t>
      </w:r>
      <w:r>
        <w:rPr>
          <w:rFonts w:eastAsia="等线" w:ascii="Arial" w:cs="Arial" w:hAnsi="Arial"/>
          <w:b w:val="true"/>
          <w:sz w:val="22"/>
        </w:rPr>
        <w:t>自由博弈的无政府状态</w:t>
      </w:r>
      <w:r>
        <w:rPr>
          <w:rFonts w:eastAsia="等线" w:ascii="Arial" w:cs="Arial" w:hAnsi="Arial"/>
          <w:sz w:val="22"/>
        </w:rPr>
        <w:t>”升级为“</w:t>
      </w:r>
      <w:r>
        <w:rPr>
          <w:rFonts w:eastAsia="等线" w:ascii="Arial" w:cs="Arial" w:hAnsi="Arial"/>
          <w:b w:val="true"/>
          <w:sz w:val="22"/>
        </w:rPr>
        <w:t>宪法治理下的秩序空间</w:t>
      </w:r>
      <w:r>
        <w:rPr>
          <w:rFonts w:eastAsia="等线" w:ascii="Arial" w:cs="Arial" w:hAnsi="Arial"/>
          <w:sz w:val="22"/>
        </w:rPr>
        <w:t>”。</w:t>
      </w:r>
    </w:p>
    <w:p>
      <w:pPr>
        <w:numPr>
          <w:numId w:val="5"/>
        </w:numPr>
        <w:spacing w:before="120" w:after="120" w:line="288" w:lineRule="auto"/>
        <w:ind w:left="0"/>
        <w:jc w:val="left"/>
      </w:pPr>
      <w:r>
        <w:rPr>
          <w:rFonts w:eastAsia="等线" w:ascii="Arial" w:cs="Arial" w:hAnsi="Arial"/>
          <w:b w:val="true"/>
          <w:sz w:val="22"/>
        </w:rPr>
        <w:t>规则中心化设计，运行去中心化</w:t>
      </w:r>
      <w:r>
        <w:rPr>
          <w:rFonts w:eastAsia="等线" w:ascii="Arial" w:cs="Arial" w:hAnsi="Arial"/>
          <w:sz w:val="22"/>
        </w:rPr>
        <w:t>：网络的连接规则、传播策略、中继节点准入等核心参数，由L2宪法通过民主程序定义（中心化设计）。但具体的数据包转发、连接维护、路径选择则由全球节点独立执行（去中心化运行）。</w:t>
      </w:r>
    </w:p>
    <w:p>
      <w:pPr>
        <w:numPr>
          <w:numId w:val="6"/>
        </w:numPr>
        <w:spacing w:before="120" w:after="120" w:line="288" w:lineRule="auto"/>
        <w:ind w:left="0"/>
        <w:jc w:val="left"/>
      </w:pPr>
      <w:r>
        <w:rPr>
          <w:rFonts w:eastAsia="等线" w:ascii="Arial" w:cs="Arial" w:hAnsi="Arial"/>
          <w:b w:val="true"/>
          <w:sz w:val="22"/>
        </w:rPr>
        <w:t>身份即权限，编码即策略</w:t>
      </w:r>
      <w:r>
        <w:rPr>
          <w:rFonts w:eastAsia="等线" w:ascii="Arial" w:cs="Arial" w:hAnsi="Arial"/>
          <w:sz w:val="22"/>
        </w:rPr>
        <w:t>：节点的网络权限（如可连接对象、可接收数据类型）与其DID身份和角色绑定。交易的传播策略由其关联资产的GNACS编码自动触发。</w:t>
      </w:r>
    </w:p>
    <w:p>
      <w:pPr>
        <w:numPr>
          <w:numId w:val="7"/>
        </w:numPr>
        <w:spacing w:before="120" w:after="120" w:line="288" w:lineRule="auto"/>
        <w:ind w:left="0"/>
        <w:jc w:val="left"/>
      </w:pPr>
      <w:r>
        <w:rPr>
          <w:rFonts w:eastAsia="等线" w:ascii="Arial" w:cs="Arial" w:hAnsi="Arial"/>
          <w:b w:val="true"/>
          <w:sz w:val="22"/>
        </w:rPr>
        <w:t>网络行为是链上行为的延续</w:t>
      </w:r>
      <w:r>
        <w:rPr>
          <w:rFonts w:eastAsia="等线" w:ascii="Arial" w:cs="Arial" w:hAnsi="Arial"/>
          <w:sz w:val="22"/>
        </w:rPr>
        <w:t>：恶意不转发、选择性审查等网络层攻击，被视为违反宪法，可通过链上证据进行仲裁与惩罚（Slashing）。</w:t>
      </w:r>
    </w:p>
    <w:p>
      <w:pPr>
        <w:spacing w:before="120" w:after="120" w:line="288" w:lineRule="auto"/>
        <w:ind w:left="0"/>
        <w:jc w:val="left"/>
      </w:pPr>
      <w:r>
        <w:rPr>
          <w:rFonts w:eastAsia="等线" w:ascii="Arial" w:cs="Arial" w:hAnsi="Arial"/>
          <w:sz w:val="22"/>
        </w:rPr>
        <w:t>这一哲学是CBPP“共识即规则服从”理念在网络层的自然延伸，共同构成“完美中心化框架下的去中心化”完整技术栈。</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8" w:id="8"/>
      <w:r>
        <w:rPr>
          <w:rFonts w:eastAsia="等线" w:ascii="Arial" w:cs="Arial" w:hAnsi="Arial"/>
          <w:b w:val="true"/>
          <w:sz w:val="36"/>
        </w:rPr>
        <w:t>第二章：协议架构总览</w:t>
      </w:r>
      <w:bookmarkEnd w:id="8"/>
    </w:p>
    <w:p>
      <w:pPr>
        <w:pStyle w:val="2"/>
        <w:spacing w:before="320" w:after="120" w:line="288" w:lineRule="auto"/>
        <w:ind w:left="0"/>
        <w:jc w:val="left"/>
        <w:outlineLvl w:val="1"/>
      </w:pPr>
      <w:bookmarkStart w:name="heading_9" w:id="9"/>
      <w:r>
        <w:rPr>
          <w:rFonts w:eastAsia="等线" w:ascii="Arial" w:cs="Arial" w:hAnsi="Arial"/>
          <w:b w:val="true"/>
          <w:sz w:val="32"/>
        </w:rPr>
        <w:t>2.1 全域集成架构视图</w:t>
      </w:r>
      <w:bookmarkEnd w:id="9"/>
    </w:p>
    <w:p>
      <w:pPr>
        <w:spacing w:before="120" w:after="120" w:line="288" w:lineRule="auto"/>
        <w:ind w:left="0"/>
        <w:jc w:val="left"/>
      </w:pPr>
      <w:r>
        <w:rPr>
          <w:rFonts w:eastAsia="等线" w:ascii="Arial" w:cs="Arial" w:hAnsi="Arial"/>
          <w:sz w:val="22"/>
        </w:rPr>
        <w:t>CSNP作为L0网络层，向下抽象物理基础设施，向上服务所有平行链与上层协议，其架构如下：</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8280"/>
      </w:tblGrid>
      <w:tr>
        <w:tc>
          <w:tcPr>
            <w:tcW w:w="8280" w:type="dxa"/>
            <w:shd w:color="auto" w:val="clear" w:fill="f5f6f7"/>
            <w:tcMar>
              <w:top w:type="dxa" w:w="60"/>
              <w:left w:type="dxa" w:w="120"/>
              <w:bottom w:type="dxa" w:w="30"/>
              <w:right w:type="dxa" w:w="120"/>
            </w:tcMar>
          </w:tcPr>
          <w:p>
            <w:pPr>
              <w:spacing w:before="120" w:after="120" w:line="288" w:lineRule="auto"/>
              <w:jc w:val="left"/>
            </w:pPr>
            <w:r>
              <w:rPr>
                <w:rFonts w:eastAsia="Consolas" w:ascii="Consolas" w:cs="Consolas" w:hAnsi="Consolas"/>
                <w:color w:val="646a73"/>
                <w:sz w:val="22"/>
              </w:rPr>
              <w:t>plain text</w:t>
              <w:br w:type="textWrapping"/>
            </w:r>
            <w:r>
              <w:rPr>
                <w:rFonts w:eastAsia="Consolas" w:ascii="Consolas" w:cs="Consolas" w:hAnsi="Consolas"/>
                <w:sz w:val="22"/>
              </w:rPr>
              <w:t>┌─────────────────────────────────────────────────────────────┐</w:t>
              <w:br/>
              <w:t>│                  应用层 (L1/L2/L3)                           │</w:t>
              <w:br/>
              <w:t>│  ┌──────────┐ ┌──────────┐ ┌──────────┐ ┌──────────┐        │</w:t>
              <w:br/>
              <w:t>│  │ CBPP共识 ││ 碎片化协议││ 跨链管理器││   DApp    │        │</w:t>
              <w:br/>
              <w:t>│  │  链A     ││  链B      ││          ││          │        │</w:t>
              <w:br/>
              <w:t>│  └─────┬────┘ └─────┬────┘ └─────┬────┘ └─────┬────┘        │</w:t>
              <w:br/>
              <w:t>└────────┼─────────────┼────────────┼────────────┼─────────────┘</w:t>
              <w:br/>
              <w:t xml:space="preserve">         │             │             │             │ (标准接口)</w:t>
              <w:br/>
              <w:t>┌────────▼─────────────▼─────────────▼────────────▼─────────────┐</w:t>
              <w:br/>
              <w:t>│             宪政结构化网络协议 (CSNP)                         │</w:t>
              <w:br/>
              <w:t>│  ├─ 全域身份目录服务 (GIDS)                                   │</w:t>
              <w:br/>
              <w:t>│  ├─ 多链自适应连接管理器 (MA-RCM)                             │</w:t>
              <w:br/>
              <w:t>│  ├─ 资产感知传播引擎 (AA-PE) ◄───┐                           │</w:t>
              <w:br/>
              <w:t>│  ├─ 碎片化交易聚合网络 (FTAN)    │ 智能协作                  │</w:t>
              <w:br/>
              <w:t>│  └─ 统一跨链审计器 (UCA)         │                           │</w:t>
              <w:br/>
              <w:t>│         ▲                          │                           │</w:t>
              <w:br/>
              <w:t>│         │                          │                           │</w:t>
              <w:br/>
              <w:t>│         └─────── 宪法规则与 ───────┘                           │</w:t>
              <w:br/>
              <w:t>│               GNACS编码查询                                     │</w:t>
              <w:br/>
              <w:t>└──────────────────────────┬───────────────────────────────────┘</w:t>
              <w:br/>
              <w:t xml:space="preserve">                           │ (优化传输)</w:t>
              <w:br/>
              <w:t>┌──────────────────────────▼───────────────────────────────────┐</w:t>
              <w:br/>
              <w:t>│                  物理/逻辑传输层                              │</w:t>
              <w:br/>
              <w:t>│        · 公共互联网  · 专用中继链路  · 卫星通信 (可选)       │</w:t>
              <w:br/>
              <w:t>└────────────────────────────────────────────────</w:t>
            </w:r>
            <w:r>
              <w:rPr>
                <w:rFonts w:eastAsia="Consolas" w:ascii="Consolas" w:cs="Consolas" w:hAnsi="Consolas"/>
                <w:sz w:val="22"/>
              </w:rPr>
              <w:t>─────────────┘</w:t>
            </w:r>
          </w:p>
        </w:tc>
      </w:tr>
    </w:tbl>
    <w:p>
      <w:pPr>
        <w:pStyle w:val="2"/>
        <w:spacing w:before="320" w:after="120" w:line="288" w:lineRule="auto"/>
        <w:ind w:left="0"/>
        <w:jc w:val="left"/>
        <w:outlineLvl w:val="1"/>
      </w:pPr>
      <w:bookmarkStart w:name="heading_10" w:id="10"/>
      <w:r>
        <w:rPr>
          <w:rFonts w:eastAsia="等线" w:ascii="Arial" w:cs="Arial" w:hAnsi="Arial"/>
          <w:b w:val="true"/>
          <w:sz w:val="32"/>
        </w:rPr>
        <w:t>2.2 核心组件交互与工作流</w:t>
      </w:r>
      <w:bookmarkEnd w:id="10"/>
    </w:p>
    <w:p>
      <w:pPr>
        <w:spacing w:before="120" w:after="120" w:line="288" w:lineRule="auto"/>
        <w:ind w:left="0"/>
        <w:jc w:val="left"/>
      </w:pPr>
      <w:r>
        <w:rPr>
          <w:rFonts w:eastAsia="等线" w:ascii="Arial" w:cs="Arial" w:hAnsi="Arial"/>
          <w:b w:val="true"/>
          <w:sz w:val="22"/>
        </w:rPr>
        <w:t>典型工作流（一笔跨链高流动性资产交易）：</w:t>
      </w:r>
    </w:p>
    <w:p>
      <w:pPr>
        <w:numPr>
          <w:numId w:val="8"/>
        </w:numPr>
        <w:spacing w:before="120" w:after="120" w:line="288" w:lineRule="auto"/>
        <w:ind w:left="0"/>
        <w:jc w:val="left"/>
      </w:pPr>
      <w:r>
        <w:rPr>
          <w:rFonts w:eastAsia="等线" w:ascii="Arial" w:cs="Arial" w:hAnsi="Arial"/>
          <w:b w:val="true"/>
          <w:sz w:val="22"/>
        </w:rPr>
        <w:t>交易提交</w:t>
      </w:r>
      <w:r>
        <w:rPr>
          <w:rFonts w:eastAsia="等线" w:ascii="Arial" w:cs="Arial" w:hAnsi="Arial"/>
          <w:sz w:val="22"/>
        </w:rPr>
        <w:t>：用户在链A的应用层提交一笔转移高流动性资产X（GNACS编码中`GG=01`, `CC=02`）至链B的交易。</w:t>
      </w:r>
    </w:p>
    <w:p>
      <w:pPr>
        <w:numPr>
          <w:numId w:val="9"/>
        </w:numPr>
        <w:spacing w:before="120" w:after="120" w:line="288" w:lineRule="auto"/>
        <w:ind w:left="0"/>
        <w:jc w:val="left"/>
      </w:pPr>
      <w:r>
        <w:rPr>
          <w:rFonts w:eastAsia="等线" w:ascii="Arial" w:cs="Arial" w:hAnsi="Arial"/>
          <w:b w:val="true"/>
          <w:sz w:val="22"/>
        </w:rPr>
        <w:t>AA-PE策略决策</w:t>
      </w:r>
      <w:r>
        <w:rPr>
          <w:rFonts w:eastAsia="等线" w:ascii="Arial" w:cs="Arial" w:hAnsi="Arial"/>
          <w:sz w:val="22"/>
        </w:rPr>
        <w:t>：链A的AA-PE模块从交易或注册表中获取资产X的GNACS编码，解析出`GG=01`（全球主流交易所）和`CC=02`（低风险）。根据宪法附录中的</w:t>
      </w:r>
      <w:r>
        <w:rPr>
          <w:rFonts w:eastAsia="等线" w:ascii="Arial" w:cs="Arial" w:hAnsi="Arial"/>
          <w:b w:val="true"/>
          <w:sz w:val="22"/>
        </w:rPr>
        <w:t>传播策略矩阵</w:t>
      </w:r>
      <w:r>
        <w:rPr>
          <w:rFonts w:eastAsia="等线" w:ascii="Arial" w:cs="Arial" w:hAnsi="Arial"/>
          <w:sz w:val="22"/>
        </w:rPr>
        <w:t>，判定此交易需“即时全网广播”并标记为“跨链高优先级”。</w:t>
      </w:r>
    </w:p>
    <w:p>
      <w:pPr>
        <w:numPr>
          <w:numId w:val="10"/>
        </w:numPr>
        <w:spacing w:before="120" w:after="120" w:line="288" w:lineRule="auto"/>
        <w:ind w:left="0"/>
        <w:jc w:val="left"/>
      </w:pPr>
      <w:r>
        <w:rPr>
          <w:rFonts w:eastAsia="等线" w:ascii="Arial" w:cs="Arial" w:hAnsi="Arial"/>
          <w:b w:val="true"/>
          <w:sz w:val="22"/>
        </w:rPr>
        <w:t>MA-RCM路径选择</w:t>
      </w:r>
      <w:r>
        <w:rPr>
          <w:rFonts w:eastAsia="等线" w:ascii="Arial" w:cs="Arial" w:hAnsi="Arial"/>
          <w:sz w:val="22"/>
        </w:rPr>
        <w:t>：MA-RCM根据GIDS提供的链B中继节点列表和实时延迟数据，选择最优的</w:t>
      </w:r>
      <w:r>
        <w:rPr>
          <w:rFonts w:eastAsia="等线" w:ascii="Arial" w:cs="Arial" w:hAnsi="Arial"/>
          <w:b w:val="true"/>
          <w:sz w:val="22"/>
        </w:rPr>
        <w:t>跨链中继路径</w:t>
      </w:r>
      <w:r>
        <w:rPr>
          <w:rFonts w:eastAsia="等线" w:ascii="Arial" w:cs="Arial" w:hAnsi="Arial"/>
          <w:sz w:val="22"/>
        </w:rPr>
        <w:t>。</w:t>
      </w:r>
    </w:p>
    <w:p>
      <w:pPr>
        <w:numPr>
          <w:numId w:val="11"/>
        </w:numPr>
        <w:spacing w:before="120" w:after="120" w:line="288" w:lineRule="auto"/>
        <w:ind w:left="0"/>
        <w:jc w:val="left"/>
      </w:pPr>
      <w:r>
        <w:rPr>
          <w:rFonts w:eastAsia="等线" w:ascii="Arial" w:cs="Arial" w:hAnsi="Arial"/>
          <w:b w:val="true"/>
          <w:sz w:val="22"/>
        </w:rPr>
        <w:t>GIDS身份验证</w:t>
      </w:r>
      <w:r>
        <w:rPr>
          <w:rFonts w:eastAsia="等线" w:ascii="Arial" w:cs="Arial" w:hAnsi="Arial"/>
          <w:sz w:val="22"/>
        </w:rPr>
        <w:t>：通信双方（链A发出节点与链B中继节点）在建立连接或转发消息时，通过GIDS验证对方DID身份与角色权限。</w:t>
      </w:r>
    </w:p>
    <w:p>
      <w:pPr>
        <w:numPr>
          <w:numId w:val="12"/>
        </w:numPr>
        <w:spacing w:before="120" w:after="120" w:line="288" w:lineRule="auto"/>
        <w:ind w:left="0"/>
        <w:jc w:val="left"/>
      </w:pPr>
      <w:r>
        <w:rPr>
          <w:rFonts w:eastAsia="等线" w:ascii="Arial" w:cs="Arial" w:hAnsi="Arial"/>
          <w:b w:val="true"/>
          <w:sz w:val="22"/>
        </w:rPr>
        <w:t>定向高效传播</w:t>
      </w:r>
      <w:r>
        <w:rPr>
          <w:rFonts w:eastAsia="等线" w:ascii="Arial" w:cs="Arial" w:hAnsi="Arial"/>
          <w:sz w:val="22"/>
        </w:rPr>
        <w:t>：交易数据通过优化路径快速抵达链B，链B的AA-PE同样识别其为高优先级交易，迅速广播给本地CBP网络。</w:t>
      </w:r>
    </w:p>
    <w:p>
      <w:pPr>
        <w:numPr>
          <w:numId w:val="13"/>
        </w:numPr>
        <w:spacing w:before="120" w:after="120" w:line="288" w:lineRule="auto"/>
        <w:ind w:left="0"/>
        <w:jc w:val="left"/>
      </w:pPr>
      <w:r>
        <w:rPr>
          <w:rFonts w:eastAsia="等线" w:ascii="Arial" w:cs="Arial" w:hAnsi="Arial"/>
          <w:b w:val="true"/>
          <w:sz w:val="22"/>
        </w:rPr>
        <w:t>UCA行为记录</w:t>
      </w:r>
      <w:r>
        <w:rPr>
          <w:rFonts w:eastAsia="等线" w:ascii="Arial" w:cs="Arial" w:hAnsi="Arial"/>
          <w:sz w:val="22"/>
        </w:rPr>
        <w:t>：整个过程中，涉及转发、中继的节点行为被UCA记录，生成轻量级可验证证明。</w:t>
      </w:r>
    </w:p>
    <w:p>
      <w:pPr>
        <w:numPr>
          <w:numId w:val="14"/>
        </w:numPr>
        <w:spacing w:before="120" w:after="120" w:line="288" w:lineRule="auto"/>
        <w:ind w:left="0"/>
        <w:jc w:val="left"/>
      </w:pPr>
      <w:r>
        <w:rPr>
          <w:rFonts w:eastAsia="等线" w:ascii="Arial" w:cs="Arial" w:hAnsi="Arial"/>
          <w:b w:val="true"/>
          <w:sz w:val="22"/>
        </w:rPr>
        <w:t>FTAN旁路处理</w:t>
      </w:r>
      <w:r>
        <w:rPr>
          <w:rFonts w:eastAsia="等线" w:ascii="Arial" w:cs="Arial" w:hAnsi="Arial"/>
          <w:sz w:val="22"/>
        </w:rPr>
        <w:t>：若此交易实为同一碎片化资产的微额交易集合，可能被FTAN节点捕获并聚合，以批量方式传播，提升效率。</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11" w:id="11"/>
      <w:r>
        <w:rPr>
          <w:rFonts w:eastAsia="等线" w:ascii="Arial" w:cs="Arial" w:hAnsi="Arial"/>
          <w:b w:val="true"/>
          <w:sz w:val="36"/>
        </w:rPr>
        <w:t>第三章：核心组件详解</w:t>
      </w:r>
      <w:bookmarkEnd w:id="11"/>
    </w:p>
    <w:p>
      <w:pPr>
        <w:pStyle w:val="2"/>
        <w:spacing w:before="320" w:after="120" w:line="288" w:lineRule="auto"/>
        <w:ind w:left="0"/>
        <w:jc w:val="left"/>
        <w:outlineLvl w:val="1"/>
      </w:pPr>
      <w:bookmarkStart w:name="heading_12" w:id="12"/>
      <w:r>
        <w:rPr>
          <w:rFonts w:eastAsia="等线" w:ascii="Arial" w:cs="Arial" w:hAnsi="Arial"/>
          <w:b w:val="true"/>
          <w:sz w:val="32"/>
        </w:rPr>
        <w:t>3.1 全域身份目录服务</w:t>
      </w:r>
      <w:bookmarkEnd w:id="12"/>
    </w:p>
    <w:p>
      <w:pPr>
        <w:spacing w:before="120" w:after="120" w:line="288" w:lineRule="auto"/>
        <w:ind w:left="0"/>
        <w:jc w:val="left"/>
      </w:pPr>
      <w:r>
        <w:rPr>
          <w:rFonts w:eastAsia="等线" w:ascii="Arial" w:cs="Arial" w:hAnsi="Arial"/>
          <w:sz w:val="22"/>
        </w:rPr>
        <w:t>GIDS是CSNP的身份基石，实现了“一个身份，通行全域”。</w:t>
      </w:r>
    </w:p>
    <w:p>
      <w:pPr>
        <w:numPr>
          <w:numId w:val="15"/>
        </w:numPr>
        <w:spacing w:before="120" w:after="120" w:line="288" w:lineRule="auto"/>
        <w:ind w:left="0"/>
        <w:jc w:val="left"/>
      </w:pPr>
      <w:r>
        <w:rPr>
          <w:rFonts w:eastAsia="等线" w:ascii="Arial" w:cs="Arial" w:hAnsi="Arial"/>
          <w:b w:val="true"/>
          <w:sz w:val="22"/>
        </w:rPr>
        <w:t>扩展DID格式</w:t>
      </w:r>
      <w:r>
        <w:rPr>
          <w:rFonts w:eastAsia="等线" w:ascii="Arial" w:cs="Arial" w:hAnsi="Arial"/>
          <w:sz w:val="22"/>
        </w:rPr>
        <w:t>：`did:nac:&lt;root_chain_id&gt;:&lt;entity_type&gt;:&lt;unique_id&gt;`</w:t>
      </w:r>
    </w:p>
    <w:p>
      <w:pPr>
        <w:numPr>
          <w:numId w:val="16"/>
        </w:numPr>
        <w:spacing w:before="120" w:after="120" w:line="288" w:lineRule="auto"/>
        <w:ind w:left="0"/>
        <w:jc w:val="left"/>
      </w:pPr>
      <w:r>
        <w:rPr>
          <w:rFonts w:eastAsia="等线" w:ascii="Arial" w:cs="Arial" w:hAnsi="Arial"/>
          <w:sz w:val="22"/>
        </w:rPr>
        <w:t>示例：`did:nac:main:cbp:0x1234...` (主网CBP节点)，`did:nac:main:relay:5` (中继节点5号)。</w:t>
      </w:r>
    </w:p>
    <w:p>
      <w:pPr>
        <w:numPr>
          <w:numId w:val="17"/>
        </w:numPr>
        <w:spacing w:before="120" w:after="120" w:line="288" w:lineRule="auto"/>
        <w:ind w:left="0"/>
        <w:jc w:val="left"/>
      </w:pPr>
      <w:r>
        <w:rPr>
          <w:rFonts w:eastAsia="等线" w:ascii="Arial" w:cs="Arial" w:hAnsi="Arial"/>
          <w:b w:val="true"/>
          <w:sz w:val="22"/>
        </w:rPr>
        <w:t>身份-地址映射</w:t>
      </w:r>
      <w:r>
        <w:rPr>
          <w:rFonts w:eastAsia="等线" w:ascii="Arial" w:cs="Arial" w:hAnsi="Arial"/>
          <w:sz w:val="22"/>
        </w:rPr>
        <w:t>：维护一个全局映射表，将根DID与它在各条平行链上的</w:t>
      </w:r>
      <w:r>
        <w:rPr>
          <w:rFonts w:eastAsia="等线" w:ascii="Arial" w:cs="Arial" w:hAnsi="Arial"/>
          <w:b w:val="true"/>
          <w:sz w:val="22"/>
        </w:rPr>
        <w:t>实际通信地址</w:t>
      </w:r>
      <w:r>
        <w:rPr>
          <w:rFonts w:eastAsia="等线" w:ascii="Arial" w:cs="Arial" w:hAnsi="Arial"/>
          <w:sz w:val="22"/>
        </w:rPr>
        <w:t>（如IP+端口、公钥）关联。支持动态更新。</w:t>
      </w:r>
    </w:p>
    <w:p>
      <w:pPr>
        <w:numPr>
          <w:numId w:val="18"/>
        </w:numPr>
        <w:spacing w:before="120" w:after="120" w:line="288" w:lineRule="auto"/>
        <w:ind w:left="0"/>
        <w:jc w:val="left"/>
      </w:pPr>
      <w:r>
        <w:rPr>
          <w:rFonts w:eastAsia="等线" w:ascii="Arial" w:cs="Arial" w:hAnsi="Arial"/>
          <w:b w:val="true"/>
          <w:sz w:val="22"/>
        </w:rPr>
        <w:t>信誉聚合服务</w:t>
      </w:r>
      <w:r>
        <w:rPr>
          <w:rFonts w:eastAsia="等线" w:ascii="Arial" w:cs="Arial" w:hAnsi="Arial"/>
          <w:sz w:val="22"/>
        </w:rPr>
        <w:t>：收集来自各链UCA的节点行为评分，通过算法计算</w:t>
      </w:r>
      <w:r>
        <w:rPr>
          <w:rFonts w:eastAsia="等线" w:ascii="Arial" w:cs="Arial" w:hAnsi="Arial"/>
          <w:b w:val="true"/>
          <w:sz w:val="22"/>
        </w:rPr>
        <w:t>全域信誉分</w:t>
      </w:r>
      <w:r>
        <w:rPr>
          <w:rFonts w:eastAsia="等线" w:ascii="Arial" w:cs="Arial" w:hAnsi="Arial"/>
          <w:sz w:val="22"/>
        </w:rPr>
        <w:t>。此分数影响MA-RCM的连接偏好和AA-PE的信任权重。</w:t>
      </w:r>
    </w:p>
    <w:p>
      <w:pPr>
        <w:pStyle w:val="2"/>
        <w:spacing w:before="320" w:after="120" w:line="288" w:lineRule="auto"/>
        <w:ind w:left="0"/>
        <w:jc w:val="left"/>
        <w:outlineLvl w:val="1"/>
      </w:pPr>
      <w:bookmarkStart w:name="heading_13" w:id="13"/>
      <w:r>
        <w:rPr>
          <w:rFonts w:eastAsia="等线" w:ascii="Arial" w:cs="Arial" w:hAnsi="Arial"/>
          <w:b w:val="true"/>
          <w:sz w:val="32"/>
        </w:rPr>
        <w:t>3.2 多链自适应连接管理器</w:t>
      </w:r>
      <w:bookmarkEnd w:id="13"/>
    </w:p>
    <w:p>
      <w:pPr>
        <w:spacing w:before="120" w:after="120" w:line="288" w:lineRule="auto"/>
        <w:ind w:left="0"/>
        <w:jc w:val="left"/>
      </w:pPr>
      <w:r>
        <w:rPr>
          <w:rFonts w:eastAsia="等线" w:ascii="Arial" w:cs="Arial" w:hAnsi="Arial"/>
          <w:sz w:val="22"/>
        </w:rPr>
        <w:t>MA-RCM负责在宪法规则框架下，建立并维护一个全局优化的节点连接拓扑。</w:t>
      </w:r>
    </w:p>
    <w:p>
      <w:pPr>
        <w:numPr>
          <w:numId w:val="19"/>
        </w:numPr>
        <w:spacing w:before="120" w:after="120" w:line="288" w:lineRule="auto"/>
        <w:ind w:left="0"/>
        <w:jc w:val="left"/>
      </w:pPr>
      <w:r>
        <w:rPr>
          <w:rFonts w:eastAsia="等线" w:ascii="Arial" w:cs="Arial" w:hAnsi="Arial"/>
          <w:b w:val="true"/>
          <w:sz w:val="22"/>
        </w:rPr>
        <w:t>连接规则宪法化</w:t>
      </w:r>
      <w:r>
        <w:rPr>
          <w:rFonts w:eastAsia="等线" w:ascii="Arial" w:cs="Arial" w:hAnsi="Arial"/>
          <w:sz w:val="22"/>
        </w:rPr>
        <w:t>：宪法定义基础规则，例如：</w:t>
        <w:br/>
        <w:t xml:space="preserve">        </w:t>
      </w:r>
    </w:p>
    <w:p>
      <w:pPr>
        <w:numPr>
          <w:numId w:val="20"/>
        </w:numPr>
        <w:spacing w:before="120" w:after="120" w:line="288" w:lineRule="auto"/>
        <w:ind w:left="453"/>
        <w:jc w:val="left"/>
      </w:pPr>
      <w:r>
        <w:rPr>
          <w:rFonts w:eastAsia="等线" w:ascii="Arial" w:cs="Arial" w:hAnsi="Arial"/>
          <w:sz w:val="22"/>
        </w:rPr>
        <w:t>“每个CBP节点必须与至少12个同链CBP保持连接。”</w:t>
      </w:r>
    </w:p>
    <w:p>
      <w:pPr>
        <w:numPr>
          <w:numId w:val="21"/>
        </w:numPr>
        <w:spacing w:before="120" w:after="120" w:line="288" w:lineRule="auto"/>
        <w:ind w:left="453"/>
        <w:jc w:val="left"/>
      </w:pPr>
      <w:r>
        <w:rPr>
          <w:rFonts w:eastAsia="等线" w:ascii="Arial" w:cs="Arial" w:hAnsi="Arial"/>
          <w:sz w:val="22"/>
        </w:rPr>
        <w:t>“跨链中继节点必须与至少3条不同链的至少2个中继节点连接。”</w:t>
      </w:r>
    </w:p>
    <w:p>
      <w:pPr>
        <w:numPr>
          <w:numId w:val="22"/>
        </w:numPr>
        <w:spacing w:before="120" w:after="120" w:line="288" w:lineRule="auto"/>
        <w:ind w:left="453"/>
        <w:jc w:val="left"/>
      </w:pPr>
      <w:r>
        <w:rPr>
          <w:rFonts w:eastAsia="等线" w:ascii="Arial" w:cs="Arial" w:hAnsi="Arial"/>
          <w:sz w:val="22"/>
        </w:rPr>
        <w:t>“连接选择应优先考虑低延迟与高信誉节点。”</w:t>
      </w:r>
    </w:p>
    <w:p>
      <w:pPr>
        <w:numPr>
          <w:numId w:val="23"/>
        </w:numPr>
        <w:spacing w:before="120" w:after="120" w:line="288" w:lineRule="auto"/>
        <w:ind w:left="0"/>
        <w:jc w:val="left"/>
      </w:pPr>
      <w:r>
        <w:rPr>
          <w:rFonts w:eastAsia="等线" w:ascii="Arial" w:cs="Arial" w:hAnsi="Arial"/>
          <w:b w:val="true"/>
          <w:sz w:val="22"/>
        </w:rPr>
        <w:t>动态拓扑优化</w:t>
      </w:r>
      <w:r>
        <w:rPr>
          <w:rFonts w:eastAsia="等线" w:ascii="Arial" w:cs="Arial" w:hAnsi="Arial"/>
          <w:sz w:val="22"/>
        </w:rPr>
        <w:t>：MA-RCM持续探测网络状况，在规则范围内主动优化连接。例如，当检测到某条链交易激增时，可临时增加与该链关键节点的连接权重。</w:t>
      </w:r>
    </w:p>
    <w:p>
      <w:pPr>
        <w:numPr>
          <w:numId w:val="24"/>
        </w:numPr>
        <w:spacing w:before="120" w:after="120" w:line="288" w:lineRule="auto"/>
        <w:ind w:left="0"/>
        <w:jc w:val="left"/>
      </w:pPr>
      <w:r>
        <w:rPr>
          <w:rFonts w:eastAsia="等线" w:ascii="Arial" w:cs="Arial" w:hAnsi="Arial"/>
          <w:b w:val="true"/>
          <w:sz w:val="22"/>
        </w:rPr>
        <w:t>跨链连接预热</w:t>
      </w:r>
      <w:r>
        <w:rPr>
          <w:rFonts w:eastAsia="等线" w:ascii="Arial" w:cs="Arial" w:hAnsi="Arial"/>
          <w:sz w:val="22"/>
        </w:rPr>
        <w:t>：对于频繁发生跨链交互的链对，MA-RCM可鼓励双方节点预先建立直接或间接的稳定连接，减少跨链延迟。</w:t>
      </w:r>
    </w:p>
    <w:p>
      <w:pPr>
        <w:pStyle w:val="2"/>
        <w:spacing w:before="320" w:after="120" w:line="288" w:lineRule="auto"/>
        <w:ind w:left="0"/>
        <w:jc w:val="left"/>
        <w:outlineLvl w:val="1"/>
      </w:pPr>
      <w:bookmarkStart w:name="heading_14" w:id="14"/>
      <w:r>
        <w:rPr>
          <w:rFonts w:eastAsia="等线" w:ascii="Arial" w:cs="Arial" w:hAnsi="Arial"/>
          <w:b w:val="true"/>
          <w:sz w:val="32"/>
        </w:rPr>
        <w:t>3.3 资产感知传播引擎</w:t>
      </w:r>
      <w:bookmarkEnd w:id="14"/>
    </w:p>
    <w:p>
      <w:pPr>
        <w:spacing w:before="120" w:after="120" w:line="288" w:lineRule="auto"/>
        <w:ind w:left="0"/>
        <w:jc w:val="left"/>
      </w:pPr>
      <w:r>
        <w:rPr>
          <w:rFonts w:eastAsia="等线" w:ascii="Arial" w:cs="Arial" w:hAnsi="Arial"/>
          <w:sz w:val="22"/>
        </w:rPr>
        <w:t>AA-PE是CSNP的智能中枢，赋予网络“理解”资产的能力。</w:t>
      </w:r>
    </w:p>
    <w:p>
      <w:pPr>
        <w:numPr>
          <w:numId w:val="25"/>
        </w:numPr>
        <w:spacing w:before="120" w:after="120" w:line="288" w:lineRule="auto"/>
        <w:ind w:left="0"/>
        <w:jc w:val="left"/>
      </w:pPr>
      <w:r>
        <w:rPr>
          <w:rFonts w:eastAsia="等线" w:ascii="Arial" w:cs="Arial" w:hAnsi="Arial"/>
          <w:b w:val="true"/>
          <w:sz w:val="22"/>
        </w:rPr>
        <w:t>策略决策矩阵</w:t>
      </w:r>
      <w:r>
        <w:rPr>
          <w:rFonts w:eastAsia="等线" w:ascii="Arial" w:cs="Arial" w:hAnsi="Arial"/>
          <w:sz w:val="22"/>
        </w:rPr>
        <w:t>：该矩阵是宪法的一部分，定义了从</w:t>
      </w:r>
      <w:r>
        <w:rPr>
          <w:rFonts w:eastAsia="等线" w:ascii="Arial" w:cs="Arial" w:hAnsi="Arial"/>
          <w:b w:val="true"/>
          <w:sz w:val="22"/>
        </w:rPr>
        <w:t>GNACS编码组合</w:t>
      </w:r>
      <w:r>
        <w:rPr>
          <w:rFonts w:eastAsia="等线" w:ascii="Arial" w:cs="Arial" w:hAnsi="Arial"/>
          <w:sz w:val="22"/>
        </w:rPr>
        <w:t>到</w:t>
      </w:r>
      <w:r>
        <w:rPr>
          <w:rFonts w:eastAsia="等线" w:ascii="Arial" w:cs="Arial" w:hAnsi="Arial"/>
          <w:b w:val="true"/>
          <w:sz w:val="22"/>
        </w:rPr>
        <w:t>传播动作</w:t>
      </w:r>
      <w:r>
        <w:rPr>
          <w:rFonts w:eastAsia="等线" w:ascii="Arial" w:cs="Arial" w:hAnsi="Arial"/>
          <w:sz w:val="22"/>
        </w:rPr>
        <w:t>的映射。核心字段包括：</w:t>
      </w:r>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2070"/>
        <w:gridCol w:w="2070"/>
        <w:gridCol w:w="2070"/>
        <w:gridCol w:w="2070"/>
      </w:tblGrid>
      <w:tr>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触发条件 (GNACS字段)</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传播动作</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目标</w:t>
            </w:r>
            <w:r>
              <w:rPr>
                <w:rFonts w:eastAsia="等线" w:ascii="Arial" w:cs="Arial" w:hAnsi="Arial"/>
                <w:sz w:val="22"/>
              </w:rPr>
              <w:t>节点</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超时要求</w:t>
            </w:r>
          </w:p>
        </w:tc>
      </w:tr>
      <w:tr>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`GG=01` (高流动性)</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即时全网</w:t>
            </w:r>
            <w:r>
              <w:rPr>
                <w:rFonts w:eastAsia="等线" w:ascii="Arial" w:cs="Arial" w:hAnsi="Arial"/>
                <w:sz w:val="22"/>
              </w:rPr>
              <w:t>广播</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全CBP + 主要全节点</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&lt;200ms</w:t>
            </w:r>
          </w:p>
        </w:tc>
      </w:tr>
      <w:tr>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`OO≠00` (状态异常)</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警报通道广播</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监管节点、预言机、相关CBP</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&lt;1s</w:t>
            </w:r>
          </w:p>
        </w:tc>
      </w:tr>
      <w:tr>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`GG=05` (无公开市场) &amp; `LL</w:t>
            </w:r>
            <w:r>
              <w:rPr>
                <w:rFonts w:eastAsia="等线" w:ascii="Arial" w:cs="Arial" w:hAnsi="Arial"/>
                <w:sz w:val="22"/>
              </w:rPr>
              <w:t>=04` (结构化)</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定向推送</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订阅该资产类别的做市商、OTC平台</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&lt;5s</w:t>
            </w:r>
          </w:p>
        </w:tc>
      </w:tr>
      <w:tr>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`HH=02/03` (NFT)</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按需拉取+兴趣订阅</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NFT市场节点、持有者</w:t>
            </w:r>
          </w:p>
        </w:tc>
        <w:tc>
          <w:tcPr>
            <w:tcW w:w="207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宽松</w:t>
            </w:r>
          </w:p>
        </w:tc>
      </w:tr>
    </w:tbl>
    <w:p>
      <w:pPr>
        <w:numPr>
          <w:numId w:val="26"/>
        </w:numPr>
        <w:spacing w:before="120" w:after="120" w:line="288" w:lineRule="auto"/>
        <w:ind w:left="0"/>
        <w:jc w:val="left"/>
      </w:pPr>
      <w:r>
        <w:rPr>
          <w:rFonts w:eastAsia="等线" w:ascii="Arial" w:cs="Arial" w:hAnsi="Arial"/>
          <w:b w:val="true"/>
          <w:sz w:val="22"/>
        </w:rPr>
        <w:t>集成GNACS注册表</w:t>
      </w:r>
      <w:r>
        <w:rPr>
          <w:rFonts w:eastAsia="等线" w:ascii="Arial" w:cs="Arial" w:hAnsi="Arial"/>
          <w:sz w:val="22"/>
        </w:rPr>
        <w:t>：AA-PE通过轻量级查询接口，能够根据代币合约地址快速反查其对应的完整GNACS编码。</w:t>
      </w:r>
    </w:p>
    <w:p>
      <w:pPr>
        <w:numPr>
          <w:numId w:val="27"/>
        </w:numPr>
        <w:spacing w:before="120" w:after="120" w:line="288" w:lineRule="auto"/>
        <w:ind w:left="0"/>
        <w:jc w:val="left"/>
      </w:pPr>
      <w:r>
        <w:rPr>
          <w:rFonts w:eastAsia="等线" w:ascii="Arial" w:cs="Arial" w:hAnsi="Arial"/>
          <w:b w:val="true"/>
          <w:sz w:val="22"/>
        </w:rPr>
        <w:t>优先级队列</w:t>
      </w:r>
      <w:r>
        <w:rPr>
          <w:rFonts w:eastAsia="等线" w:ascii="Arial" w:cs="Arial" w:hAnsi="Arial"/>
          <w:sz w:val="22"/>
        </w:rPr>
        <w:t>：对不同传播策略的交易，进入不同的网络发送优先级队列，确保高优先级交易总能获得带宽保障。</w:t>
      </w:r>
    </w:p>
    <w:p>
      <w:pPr>
        <w:pStyle w:val="2"/>
        <w:spacing w:before="320" w:after="120" w:line="288" w:lineRule="auto"/>
        <w:ind w:left="0"/>
        <w:jc w:val="left"/>
        <w:outlineLvl w:val="1"/>
      </w:pPr>
      <w:bookmarkStart w:name="heading_15" w:id="15"/>
      <w:r>
        <w:rPr>
          <w:rFonts w:eastAsia="等线" w:ascii="Arial" w:cs="Arial" w:hAnsi="Arial"/>
          <w:b w:val="true"/>
          <w:sz w:val="32"/>
        </w:rPr>
        <w:t>3.4 碎片化交易聚合网络</w:t>
      </w:r>
      <w:bookmarkEnd w:id="15"/>
    </w:p>
    <w:p>
      <w:pPr>
        <w:spacing w:before="120" w:after="120" w:line="288" w:lineRule="auto"/>
        <w:ind w:left="0"/>
        <w:jc w:val="left"/>
      </w:pPr>
      <w:r>
        <w:rPr>
          <w:rFonts w:eastAsia="等线" w:ascii="Arial" w:cs="Arial" w:hAnsi="Arial"/>
          <w:sz w:val="22"/>
        </w:rPr>
        <w:t>FTAN专门为优化海量、同质、微额的碎片化资产交易而设计。</w:t>
      </w:r>
    </w:p>
    <w:p>
      <w:pPr>
        <w:numPr>
          <w:numId w:val="28"/>
        </w:numPr>
        <w:spacing w:before="120" w:after="120" w:line="288" w:lineRule="auto"/>
        <w:ind w:left="0"/>
        <w:jc w:val="left"/>
      </w:pPr>
      <w:r>
        <w:rPr>
          <w:rFonts w:eastAsia="等线" w:ascii="Arial" w:cs="Arial" w:hAnsi="Arial"/>
          <w:b w:val="true"/>
          <w:sz w:val="22"/>
        </w:rPr>
        <w:t>聚合节点角色</w:t>
      </w:r>
      <w:r>
        <w:rPr>
          <w:rFonts w:eastAsia="等线" w:ascii="Arial" w:cs="Arial" w:hAnsi="Arial"/>
          <w:sz w:val="22"/>
        </w:rPr>
        <w:t>：专门有一类节点角色（可兼任）负责监听特定碎片化资产池的交易。它们在极短时间窗口（如50ms）内收集多笔交易。</w:t>
      </w:r>
    </w:p>
    <w:p>
      <w:pPr>
        <w:numPr>
          <w:numId w:val="29"/>
        </w:numPr>
        <w:spacing w:before="120" w:after="120" w:line="288" w:lineRule="auto"/>
        <w:ind w:left="0"/>
        <w:jc w:val="left"/>
      </w:pPr>
      <w:r>
        <w:rPr>
          <w:rFonts w:eastAsia="等线" w:ascii="Arial" w:cs="Arial" w:hAnsi="Arial"/>
          <w:b w:val="true"/>
          <w:sz w:val="22"/>
        </w:rPr>
        <w:t>BLS签名聚合</w:t>
      </w:r>
      <w:r>
        <w:rPr>
          <w:rFonts w:eastAsia="等线" w:ascii="Arial" w:cs="Arial" w:hAnsi="Arial"/>
          <w:sz w:val="22"/>
        </w:rPr>
        <w:t>：聚合节点使用BLS门限签名等技术，将收集到的交易签名聚合成一个</w:t>
      </w:r>
      <w:r>
        <w:rPr>
          <w:rFonts w:eastAsia="等线" w:ascii="Arial" w:cs="Arial" w:hAnsi="Arial"/>
          <w:b w:val="true"/>
          <w:sz w:val="22"/>
        </w:rPr>
        <w:t>聚合签名</w:t>
      </w:r>
      <w:r>
        <w:rPr>
          <w:rFonts w:eastAsia="等线" w:ascii="Arial" w:cs="Arial" w:hAnsi="Arial"/>
          <w:sz w:val="22"/>
        </w:rPr>
        <w:t>，与交易数据包一同广播。</w:t>
      </w:r>
    </w:p>
    <w:p>
      <w:pPr>
        <w:numPr>
          <w:numId w:val="30"/>
        </w:numPr>
        <w:spacing w:before="120" w:after="120" w:line="288" w:lineRule="auto"/>
        <w:ind w:left="0"/>
        <w:jc w:val="left"/>
      </w:pPr>
      <w:r>
        <w:rPr>
          <w:rFonts w:eastAsia="等线" w:ascii="Arial" w:cs="Arial" w:hAnsi="Arial"/>
          <w:b w:val="true"/>
          <w:sz w:val="22"/>
        </w:rPr>
        <w:t>接收与验证</w:t>
      </w:r>
      <w:r>
        <w:rPr>
          <w:rFonts w:eastAsia="等线" w:ascii="Arial" w:cs="Arial" w:hAnsi="Arial"/>
          <w:sz w:val="22"/>
        </w:rPr>
        <w:t>：接收节点验证聚合签名的有效性。验证通过后，节点并行处理包内交易，或将其拆分后放入本地内存池。</w:t>
      </w:r>
    </w:p>
    <w:p>
      <w:pPr>
        <w:numPr>
          <w:numId w:val="31"/>
        </w:numPr>
        <w:spacing w:before="120" w:after="120" w:line="288" w:lineRule="auto"/>
        <w:ind w:left="0"/>
        <w:jc w:val="left"/>
      </w:pPr>
      <w:r>
        <w:rPr>
          <w:rFonts w:eastAsia="等线" w:ascii="Arial" w:cs="Arial" w:hAnsi="Arial"/>
          <w:b w:val="true"/>
          <w:sz w:val="22"/>
        </w:rPr>
        <w:t>经济激励</w:t>
      </w:r>
      <w:r>
        <w:rPr>
          <w:rFonts w:eastAsia="等线" w:ascii="Arial" w:cs="Arial" w:hAnsi="Arial"/>
          <w:sz w:val="22"/>
        </w:rPr>
        <w:t>：聚合节点通过协议获得微量手续费奖励。提供无效聚合包将被UCA记录并处罚。</w:t>
      </w:r>
    </w:p>
    <w:p>
      <w:pPr>
        <w:pStyle w:val="2"/>
        <w:spacing w:before="320" w:after="120" w:line="288" w:lineRule="auto"/>
        <w:ind w:left="0"/>
        <w:jc w:val="left"/>
        <w:outlineLvl w:val="1"/>
      </w:pPr>
      <w:bookmarkStart w:name="heading_16" w:id="16"/>
      <w:r>
        <w:rPr>
          <w:rFonts w:eastAsia="等线" w:ascii="Arial" w:cs="Arial" w:hAnsi="Arial"/>
          <w:b w:val="true"/>
          <w:sz w:val="32"/>
        </w:rPr>
        <w:t>3.5 统一跨链审计器</w:t>
      </w:r>
      <w:bookmarkEnd w:id="16"/>
    </w:p>
    <w:p>
      <w:pPr>
        <w:spacing w:before="120" w:after="120" w:line="288" w:lineRule="auto"/>
        <w:ind w:left="0"/>
        <w:jc w:val="left"/>
      </w:pPr>
      <w:r>
        <w:rPr>
          <w:rFonts w:eastAsia="等线" w:ascii="Arial" w:cs="Arial" w:hAnsi="Arial"/>
          <w:sz w:val="22"/>
        </w:rPr>
        <w:t>UCA确保网络行为符合宪法，并为纠纷仲裁提供证据。</w:t>
      </w:r>
    </w:p>
    <w:p>
      <w:pPr>
        <w:numPr>
          <w:numId w:val="32"/>
        </w:numPr>
        <w:spacing w:before="120" w:after="120" w:line="288" w:lineRule="auto"/>
        <w:ind w:left="0"/>
        <w:jc w:val="left"/>
      </w:pPr>
      <w:r>
        <w:rPr>
          <w:rFonts w:eastAsia="等线" w:ascii="Arial" w:cs="Arial" w:hAnsi="Arial"/>
          <w:b w:val="true"/>
          <w:sz w:val="22"/>
        </w:rPr>
        <w:t>可验证行为日志</w:t>
      </w:r>
      <w:r>
        <w:rPr>
          <w:rFonts w:eastAsia="等线" w:ascii="Arial" w:cs="Arial" w:hAnsi="Arial"/>
          <w:sz w:val="22"/>
        </w:rPr>
        <w:t>：节点在转发关键消息（如跨链交易、区块）时，可生成包含时间戳、消息哈希、下一跳DID的轻量级签名收据。</w:t>
      </w:r>
    </w:p>
    <w:p>
      <w:pPr>
        <w:numPr>
          <w:numId w:val="33"/>
        </w:numPr>
        <w:spacing w:before="120" w:after="120" w:line="288" w:lineRule="auto"/>
        <w:ind w:left="0"/>
        <w:jc w:val="left"/>
      </w:pPr>
      <w:r>
        <w:rPr>
          <w:rFonts w:eastAsia="等线" w:ascii="Arial" w:cs="Arial" w:hAnsi="Arial"/>
          <w:b w:val="true"/>
          <w:sz w:val="22"/>
        </w:rPr>
        <w:t>零知识证明兼容</w:t>
      </w:r>
      <w:r>
        <w:rPr>
          <w:rFonts w:eastAsia="等线" w:ascii="Arial" w:cs="Arial" w:hAnsi="Arial"/>
          <w:sz w:val="22"/>
        </w:rPr>
        <w:t>：为保护隐私，未来可升级为使用ZK-SNARK证明“节点在特定时间内转发了特定集合的交易”，而无需透露交易细节。</w:t>
      </w:r>
    </w:p>
    <w:p>
      <w:pPr>
        <w:numPr>
          <w:numId w:val="34"/>
        </w:numPr>
        <w:spacing w:before="120" w:after="120" w:line="288" w:lineRule="auto"/>
        <w:ind w:left="0"/>
        <w:jc w:val="left"/>
      </w:pPr>
      <w:r>
        <w:rPr>
          <w:rFonts w:eastAsia="等线" w:ascii="Arial" w:cs="Arial" w:hAnsi="Arial"/>
          <w:b w:val="true"/>
          <w:sz w:val="22"/>
        </w:rPr>
        <w:t>违规证据包</w:t>
      </w:r>
      <w:r>
        <w:rPr>
          <w:rFonts w:eastAsia="等线" w:ascii="Arial" w:cs="Arial" w:hAnsi="Arial"/>
          <w:sz w:val="22"/>
        </w:rPr>
        <w:t>：当节点怀疑其他节点恶意行为（如持续丢弃某类交易），可收集相关收据，形成证据包，提交至L2治理仲裁合约。</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17" w:id="17"/>
      <w:r>
        <w:rPr>
          <w:rFonts w:eastAsia="等线" w:ascii="Arial" w:cs="Arial" w:hAnsi="Arial"/>
          <w:b w:val="true"/>
          <w:sz w:val="36"/>
        </w:rPr>
        <w:t>第四章：与NAC全域生态的集成</w:t>
      </w:r>
      <w:bookmarkEnd w:id="17"/>
    </w:p>
    <w:p>
      <w:pPr>
        <w:pStyle w:val="2"/>
        <w:spacing w:before="320" w:after="120" w:line="288" w:lineRule="auto"/>
        <w:ind w:left="0"/>
        <w:jc w:val="left"/>
        <w:outlineLvl w:val="1"/>
      </w:pPr>
      <w:bookmarkStart w:name="heading_18" w:id="18"/>
      <w:r>
        <w:rPr>
          <w:rFonts w:eastAsia="等线" w:ascii="Arial" w:cs="Arial" w:hAnsi="Arial"/>
          <w:b w:val="true"/>
          <w:sz w:val="32"/>
        </w:rPr>
        <w:t>4.1 与GNACS编码体系的深度绑定</w:t>
      </w:r>
      <w:bookmarkEnd w:id="18"/>
    </w:p>
    <w:p>
      <w:pPr>
        <w:spacing w:before="120" w:after="120" w:line="288" w:lineRule="auto"/>
        <w:ind w:left="0"/>
        <w:jc w:val="left"/>
      </w:pPr>
      <w:r>
        <w:rPr>
          <w:rFonts w:eastAsia="等线" w:ascii="Arial" w:cs="Arial" w:hAnsi="Arial"/>
          <w:sz w:val="22"/>
        </w:rPr>
        <w:t>GNACS是AA-PE的策略输入源。集成方式包括：</w:t>
      </w:r>
    </w:p>
    <w:p>
      <w:pPr>
        <w:numPr>
          <w:numId w:val="35"/>
        </w:numPr>
        <w:spacing w:before="120" w:after="120" w:line="288" w:lineRule="auto"/>
        <w:ind w:left="0"/>
        <w:jc w:val="left"/>
      </w:pPr>
      <w:r>
        <w:rPr>
          <w:rFonts w:eastAsia="等线" w:ascii="Arial" w:cs="Arial" w:hAnsi="Arial"/>
          <w:b w:val="true"/>
          <w:sz w:val="22"/>
        </w:rPr>
        <w:t>链上策略合约</w:t>
      </w:r>
      <w:r>
        <w:rPr>
          <w:rFonts w:eastAsia="等线" w:ascii="Arial" w:cs="Arial" w:hAnsi="Arial"/>
          <w:sz w:val="22"/>
        </w:rPr>
        <w:t>：将“GNACS-传播策略”映射表部署为智能合约，供所有节点同步和查询。</w:t>
      </w:r>
    </w:p>
    <w:p>
      <w:pPr>
        <w:numPr>
          <w:numId w:val="36"/>
        </w:numPr>
        <w:spacing w:before="120" w:after="120" w:line="288" w:lineRule="auto"/>
        <w:ind w:left="0"/>
        <w:jc w:val="left"/>
      </w:pPr>
      <w:r>
        <w:rPr>
          <w:rFonts w:eastAsia="等线" w:ascii="Arial" w:cs="Arial" w:hAnsi="Arial"/>
          <w:b w:val="true"/>
          <w:sz w:val="22"/>
        </w:rPr>
        <w:t>编译器支持</w:t>
      </w:r>
      <w:r>
        <w:rPr>
          <w:rFonts w:eastAsia="等线" w:ascii="Arial" w:cs="Arial" w:hAnsi="Arial"/>
          <w:sz w:val="22"/>
        </w:rPr>
        <w:t>：Charter语言编译器在编译资产相关合约时，可将资产的GNACS编码预注册到网络策略合约中。</w:t>
      </w:r>
    </w:p>
    <w:p>
      <w:pPr>
        <w:numPr>
          <w:numId w:val="37"/>
        </w:numPr>
        <w:spacing w:before="120" w:after="120" w:line="288" w:lineRule="auto"/>
        <w:ind w:left="0"/>
        <w:jc w:val="left"/>
      </w:pPr>
      <w:r>
        <w:rPr>
          <w:rFonts w:eastAsia="等线" w:ascii="Arial" w:cs="Arial" w:hAnsi="Arial"/>
          <w:b w:val="true"/>
          <w:sz w:val="22"/>
        </w:rPr>
        <w:t>预言机联动</w:t>
      </w:r>
      <w:r>
        <w:rPr>
          <w:rFonts w:eastAsia="等线" w:ascii="Arial" w:cs="Arial" w:hAnsi="Arial"/>
          <w:sz w:val="22"/>
        </w:rPr>
        <w:t>：当GNACS中的动态字段（如`OO`状态标识）更新时，预言机在更新链上状态的同时，可触发网络层策略的重新评估。</w:t>
      </w:r>
    </w:p>
    <w:p>
      <w:pPr>
        <w:pStyle w:val="2"/>
        <w:spacing w:before="320" w:after="120" w:line="288" w:lineRule="auto"/>
        <w:ind w:left="0"/>
        <w:jc w:val="left"/>
        <w:outlineLvl w:val="1"/>
      </w:pPr>
      <w:bookmarkStart w:name="heading_19" w:id="19"/>
      <w:r>
        <w:rPr>
          <w:rFonts w:eastAsia="等线" w:ascii="Arial" w:cs="Arial" w:hAnsi="Arial"/>
          <w:b w:val="true"/>
          <w:sz w:val="32"/>
        </w:rPr>
        <w:t>4.2 支撑碎片化协议的高效流通</w:t>
      </w:r>
      <w:bookmarkEnd w:id="19"/>
    </w:p>
    <w:p>
      <w:pPr>
        <w:numPr>
          <w:numId w:val="38"/>
        </w:numPr>
        <w:spacing w:before="120" w:after="120" w:line="288" w:lineRule="auto"/>
        <w:ind w:left="0"/>
        <w:jc w:val="left"/>
      </w:pPr>
      <w:r>
        <w:rPr>
          <w:rFonts w:eastAsia="等线" w:ascii="Arial" w:cs="Arial" w:hAnsi="Arial"/>
          <w:b w:val="true"/>
          <w:sz w:val="22"/>
        </w:rPr>
        <w:t>工厂合约注册钩子</w:t>
      </w:r>
      <w:r>
        <w:rPr>
          <w:rFonts w:eastAsia="等线" w:ascii="Arial" w:cs="Arial" w:hAnsi="Arial"/>
          <w:sz w:val="22"/>
        </w:rPr>
        <w:t>：碎片化工厂合约在创建新碎片代币时，自动向FTAN注册该代币地址及其对应的底层资产GNACS编码。</w:t>
      </w:r>
    </w:p>
    <w:p>
      <w:pPr>
        <w:numPr>
          <w:numId w:val="39"/>
        </w:numPr>
        <w:spacing w:before="120" w:after="120" w:line="288" w:lineRule="auto"/>
        <w:ind w:left="0"/>
        <w:jc w:val="left"/>
      </w:pPr>
      <w:r>
        <w:rPr>
          <w:rFonts w:eastAsia="等线" w:ascii="Arial" w:cs="Arial" w:hAnsi="Arial"/>
          <w:b w:val="true"/>
          <w:sz w:val="22"/>
        </w:rPr>
        <w:t>流动性提供者目录</w:t>
      </w:r>
      <w:r>
        <w:rPr>
          <w:rFonts w:eastAsia="等线" w:ascii="Arial" w:cs="Arial" w:hAnsi="Arial"/>
          <w:sz w:val="22"/>
        </w:rPr>
        <w:t>：做市商、OTC平台等流动性提供者可在GIDS声明其服务的碎片化资产列表，使AA-PE能进行精准的定向传播。</w:t>
      </w:r>
    </w:p>
    <w:p>
      <w:pPr>
        <w:pStyle w:val="2"/>
        <w:spacing w:before="320" w:after="120" w:line="288" w:lineRule="auto"/>
        <w:ind w:left="0"/>
        <w:jc w:val="left"/>
        <w:outlineLvl w:val="1"/>
      </w:pPr>
      <w:bookmarkStart w:name="heading_20" w:id="20"/>
      <w:r>
        <w:rPr>
          <w:rFonts w:eastAsia="等线" w:ascii="Arial" w:cs="Arial" w:hAnsi="Arial"/>
          <w:b w:val="true"/>
          <w:sz w:val="32"/>
        </w:rPr>
        <w:t>4.3 赋能“一币多链、多链并行”架构</w:t>
      </w:r>
      <w:bookmarkEnd w:id="20"/>
    </w:p>
    <w:p>
      <w:pPr>
        <w:numPr>
          <w:numId w:val="40"/>
        </w:numPr>
        <w:spacing w:before="120" w:after="120" w:line="288" w:lineRule="auto"/>
        <w:ind w:left="0"/>
        <w:jc w:val="left"/>
      </w:pPr>
      <w:r>
        <w:rPr>
          <w:rFonts w:eastAsia="等线" w:ascii="Arial" w:cs="Arial" w:hAnsi="Arial"/>
          <w:b w:val="true"/>
          <w:sz w:val="22"/>
        </w:rPr>
        <w:t>跨链消息标准化</w:t>
      </w:r>
      <w:r>
        <w:rPr>
          <w:rFonts w:eastAsia="等线" w:ascii="Arial" w:cs="Arial" w:hAnsi="Arial"/>
          <w:sz w:val="22"/>
        </w:rPr>
        <w:t>：定义基于CSNP的</w:t>
      </w:r>
      <w:r>
        <w:rPr>
          <w:rFonts w:eastAsia="等线" w:ascii="Arial" w:cs="Arial" w:hAnsi="Arial"/>
          <w:b w:val="true"/>
          <w:sz w:val="22"/>
        </w:rPr>
        <w:t>标准跨链消息信封</w:t>
      </w:r>
      <w:r>
        <w:rPr>
          <w:rFonts w:eastAsia="等线" w:ascii="Arial" w:cs="Arial" w:hAnsi="Arial"/>
          <w:sz w:val="22"/>
        </w:rPr>
        <w:t>，包含源链ID、目标链ID、消息类型、荷载、路径签名等，由AA-PE统一路由。</w:t>
      </w:r>
    </w:p>
    <w:p>
      <w:pPr>
        <w:numPr>
          <w:numId w:val="41"/>
        </w:numPr>
        <w:spacing w:before="120" w:after="120" w:line="288" w:lineRule="auto"/>
        <w:ind w:left="0"/>
        <w:jc w:val="left"/>
      </w:pPr>
      <w:r>
        <w:rPr>
          <w:rFonts w:eastAsia="等线" w:ascii="Arial" w:cs="Arial" w:hAnsi="Arial"/>
          <w:b w:val="true"/>
          <w:sz w:val="22"/>
        </w:rPr>
        <w:t>链间状态感知</w:t>
      </w:r>
      <w:r>
        <w:rPr>
          <w:rFonts w:eastAsia="等线" w:ascii="Arial" w:cs="Arial" w:hAnsi="Arial"/>
          <w:sz w:val="22"/>
        </w:rPr>
        <w:t>：MA-RCM可订阅各链的负载监控服务，动态调整跨链链路资源，实现负载均衡。</w:t>
      </w:r>
    </w:p>
    <w:p>
      <w:pPr>
        <w:pStyle w:val="2"/>
        <w:spacing w:before="320" w:after="120" w:line="288" w:lineRule="auto"/>
        <w:ind w:left="0"/>
        <w:jc w:val="left"/>
        <w:outlineLvl w:val="1"/>
      </w:pPr>
      <w:bookmarkStart w:name="heading_21" w:id="21"/>
      <w:r>
        <w:rPr>
          <w:rFonts w:eastAsia="等线" w:ascii="Arial" w:cs="Arial" w:hAnsi="Arial"/>
          <w:b w:val="true"/>
          <w:sz w:val="32"/>
        </w:rPr>
        <w:t>4.4 作为CBPP共识的通信基石</w:t>
      </w:r>
      <w:bookmarkEnd w:id="21"/>
    </w:p>
    <w:p>
      <w:pPr>
        <w:numPr>
          <w:numId w:val="42"/>
        </w:numPr>
        <w:spacing w:before="120" w:after="120" w:line="288" w:lineRule="auto"/>
        <w:ind w:left="0"/>
        <w:jc w:val="left"/>
      </w:pPr>
      <w:r>
        <w:rPr>
          <w:rFonts w:eastAsia="等线" w:ascii="Arial" w:cs="Arial" w:hAnsi="Arial"/>
          <w:b w:val="true"/>
          <w:sz w:val="22"/>
        </w:rPr>
        <w:t>CBP骨干网</w:t>
      </w:r>
      <w:r>
        <w:rPr>
          <w:rFonts w:eastAsia="等线" w:ascii="Arial" w:cs="Arial" w:hAnsi="Arial"/>
          <w:sz w:val="22"/>
        </w:rPr>
        <w:t>：强制要求所有CBP节点间建立低延迟、高带宽的专用通信通道，作为区块传播的“高速公路”。</w:t>
      </w:r>
    </w:p>
    <w:p>
      <w:pPr>
        <w:numPr>
          <w:numId w:val="43"/>
        </w:numPr>
        <w:spacing w:before="120" w:after="120" w:line="288" w:lineRule="auto"/>
        <w:ind w:left="0"/>
        <w:jc w:val="left"/>
      </w:pPr>
      <w:r>
        <w:rPr>
          <w:rFonts w:eastAsia="等线" w:ascii="Arial" w:cs="Arial" w:hAnsi="Arial"/>
          <w:b w:val="true"/>
          <w:sz w:val="22"/>
        </w:rPr>
        <w:t>交易打包建议</w:t>
      </w:r>
      <w:r>
        <w:rPr>
          <w:rFonts w:eastAsia="等线" w:ascii="Arial" w:cs="Arial" w:hAnsi="Arial"/>
          <w:sz w:val="22"/>
        </w:rPr>
        <w:t>：AA-PE可向CBP节点提供内存池视图的增强分析，例如“按收据权重排序的前N笔交易”，辅助其构建更具竞争力的区块。</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22" w:id="22"/>
      <w:r>
        <w:rPr>
          <w:rFonts w:eastAsia="等线" w:ascii="Arial" w:cs="Arial" w:hAnsi="Arial"/>
          <w:b w:val="true"/>
          <w:sz w:val="36"/>
        </w:rPr>
        <w:t>第五章：安全、性能与治理分析</w:t>
      </w:r>
      <w:bookmarkEnd w:id="22"/>
    </w:p>
    <w:p>
      <w:pPr>
        <w:pStyle w:val="2"/>
        <w:spacing w:before="320" w:after="120" w:line="288" w:lineRule="auto"/>
        <w:ind w:left="0"/>
        <w:jc w:val="left"/>
        <w:outlineLvl w:val="1"/>
      </w:pPr>
      <w:bookmarkStart w:name="heading_23" w:id="23"/>
      <w:r>
        <w:rPr>
          <w:rFonts w:eastAsia="等线" w:ascii="Arial" w:cs="Arial" w:hAnsi="Arial"/>
          <w:b w:val="true"/>
          <w:sz w:val="32"/>
        </w:rPr>
        <w:t>5.1 增强的安全模型</w:t>
      </w:r>
      <w:bookmarkEnd w:id="23"/>
    </w:p>
    <w:p>
      <w:pPr>
        <w:numPr>
          <w:numId w:val="44"/>
        </w:numPr>
        <w:spacing w:before="120" w:after="120" w:line="288" w:lineRule="auto"/>
        <w:ind w:left="0"/>
        <w:jc w:val="left"/>
      </w:pPr>
      <w:r>
        <w:rPr>
          <w:rFonts w:eastAsia="等线" w:ascii="Arial" w:cs="Arial" w:hAnsi="Arial"/>
          <w:b w:val="true"/>
          <w:sz w:val="22"/>
        </w:rPr>
        <w:t>抗女巫攻击</w:t>
      </w:r>
      <w:r>
        <w:rPr>
          <w:rFonts w:eastAsia="等线" w:ascii="Arial" w:cs="Arial" w:hAnsi="Arial"/>
          <w:sz w:val="22"/>
        </w:rPr>
        <w:t>：攻击者必须在每条链上使用KYC过的DID注册节点，且维持多个节点的成本因质押和信誉关联而极高。</w:t>
      </w:r>
    </w:p>
    <w:p>
      <w:pPr>
        <w:numPr>
          <w:numId w:val="45"/>
        </w:numPr>
        <w:spacing w:before="120" w:after="120" w:line="288" w:lineRule="auto"/>
        <w:ind w:left="0"/>
        <w:jc w:val="left"/>
      </w:pPr>
      <w:r>
        <w:rPr>
          <w:rFonts w:eastAsia="等线" w:ascii="Arial" w:cs="Arial" w:hAnsi="Arial"/>
          <w:b w:val="true"/>
          <w:sz w:val="22"/>
        </w:rPr>
        <w:t>抗拓扑攻击（审查小团体）</w:t>
      </w:r>
      <w:r>
        <w:rPr>
          <w:rFonts w:eastAsia="等线" w:ascii="Arial" w:cs="Arial" w:hAnsi="Arial"/>
          <w:sz w:val="22"/>
        </w:rPr>
        <w:t>：宪法强制连接多样性规则（如必须连接随机指派的陌生节点），打破了恶意节点试图形成封闭网络以实施审查的可能性。</w:t>
      </w:r>
    </w:p>
    <w:p>
      <w:pPr>
        <w:numPr>
          <w:numId w:val="46"/>
        </w:numPr>
        <w:spacing w:before="120" w:after="120" w:line="288" w:lineRule="auto"/>
        <w:ind w:left="0"/>
        <w:jc w:val="left"/>
      </w:pPr>
      <w:r>
        <w:rPr>
          <w:rFonts w:eastAsia="等线" w:ascii="Arial" w:cs="Arial" w:hAnsi="Arial"/>
          <w:b w:val="true"/>
          <w:sz w:val="22"/>
        </w:rPr>
        <w:t>抗跨链双花</w:t>
      </w:r>
      <w:r>
        <w:rPr>
          <w:rFonts w:eastAsia="等线" w:ascii="Arial" w:cs="Arial" w:hAnsi="Arial"/>
          <w:sz w:val="22"/>
        </w:rPr>
        <w:t>：UCA提供的可验证时间戳和路径证明，结合各链的交易序列号，可有效检测和阻止跨链双花尝试。</w:t>
      </w:r>
    </w:p>
    <w:p>
      <w:pPr>
        <w:numPr>
          <w:numId w:val="47"/>
        </w:numPr>
        <w:spacing w:before="120" w:after="120" w:line="288" w:lineRule="auto"/>
        <w:ind w:left="0"/>
        <w:jc w:val="left"/>
      </w:pPr>
      <w:r>
        <w:rPr>
          <w:rFonts w:eastAsia="等线" w:ascii="Arial" w:cs="Arial" w:hAnsi="Arial"/>
          <w:b w:val="true"/>
          <w:sz w:val="22"/>
        </w:rPr>
        <w:t>中继节点安全</w:t>
      </w:r>
      <w:r>
        <w:rPr>
          <w:rFonts w:eastAsia="等线" w:ascii="Arial" w:cs="Arial" w:hAnsi="Arial"/>
          <w:sz w:val="22"/>
        </w:rPr>
        <w:t>：采用阈值签名或可信执行环境（TEE）保护跨链中继节点的私钥，防止单点作恶。</w:t>
      </w:r>
    </w:p>
    <w:p>
      <w:pPr>
        <w:pStyle w:val="2"/>
        <w:spacing w:before="320" w:after="120" w:line="288" w:lineRule="auto"/>
        <w:ind w:left="0"/>
        <w:jc w:val="left"/>
        <w:outlineLvl w:val="1"/>
      </w:pPr>
      <w:bookmarkStart w:name="heading_24" w:id="24"/>
      <w:r>
        <w:rPr>
          <w:rFonts w:eastAsia="等线" w:ascii="Arial" w:cs="Arial" w:hAnsi="Arial"/>
          <w:b w:val="true"/>
          <w:sz w:val="32"/>
        </w:rPr>
        <w:t>5.2 预期性能指标</w:t>
      </w:r>
      <w:bookmarkEnd w:id="24"/>
    </w:p>
    <w:tbl>
      <w:tblPr>
        <w:tblW w:w="0" w:type="auto"/>
        <w:tblInd w:w="0" w:type="dxa"/>
        <w:tblBorders>
          <w:top w:val="single" w:color="dee0e3"/>
          <w:left w:val="single" w:color="dee0e3"/>
          <w:bottom w:val="single" w:color="dee0e3"/>
          <w:right w:val="single" w:color="dee0e3"/>
          <w:insideH w:val="single" w:color="dee0e3"/>
          <w:insideV w:val="single" w:color="dee0e3"/>
        </w:tblBorders>
        <w:tblLayout w:type="fixed"/>
      </w:tblPr>
      <w:tblGrid>
        <w:gridCol w:w="2760"/>
        <w:gridCol w:w="2760"/>
        <w:gridCol w:w="2760"/>
      </w:tblGrid>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指标</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目标</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说明</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CBPP区块传播延迟</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 100ms (骨干网内)</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为CBPP的快速最终</w:t>
            </w:r>
            <w:r>
              <w:rPr>
                <w:rFonts w:eastAsia="等线" w:ascii="Arial" w:cs="Arial" w:hAnsi="Arial"/>
                <w:sz w:val="22"/>
              </w:rPr>
              <w:t>性提供基础</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跨链消息延迟</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1-3秒 (端</w:t>
            </w:r>
            <w:r>
              <w:rPr>
                <w:rFonts w:eastAsia="等线" w:ascii="Arial" w:cs="Arial" w:hAnsi="Arial"/>
                <w:sz w:val="22"/>
              </w:rPr>
              <w:t>到端)</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依赖于中继网络质量与链间共识</w:t>
            </w:r>
            <w:r>
              <w:rPr>
                <w:rFonts w:eastAsia="等线" w:ascii="Arial" w:cs="Arial" w:hAnsi="Arial"/>
                <w:sz w:val="22"/>
              </w:rPr>
              <w:t>速度</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碎片化交易网络吞吐量增益</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5-10倍 (vs. 原生广播)</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通过</w:t>
            </w:r>
            <w:r>
              <w:rPr>
                <w:rFonts w:eastAsia="等线" w:ascii="Arial" w:cs="Arial" w:hAnsi="Arial"/>
                <w:sz w:val="22"/>
              </w:rPr>
              <w:t>FTAN聚合实现</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高优先级交易全网感知延迟</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 200ms</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满足高频交易类应用需求</w:t>
            </w:r>
          </w:p>
        </w:tc>
      </w:tr>
      <w:tr>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网络协议开销</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&lt; 5% (额外带宽)</w:t>
            </w:r>
          </w:p>
        </w:tc>
        <w:tc>
          <w:tcPr>
            <w:tcW w:w="2760" w:type="dxa"/>
            <w:tcMar>
              <w:top w:type="dxa" w:w="60"/>
              <w:left w:type="dxa" w:w="120"/>
              <w:bottom w:type="dxa" w:w="30"/>
              <w:right w:type="dxa" w:w="120"/>
            </w:tcMar>
          </w:tcPr>
          <w:p>
            <w:pPr>
              <w:spacing w:before="120" w:after="120" w:line="288" w:lineRule="auto"/>
              <w:ind w:left="0"/>
              <w:jc w:val="left"/>
            </w:pPr>
            <w:r>
              <w:rPr>
                <w:rFonts w:eastAsia="等线" w:ascii="Arial" w:cs="Arial" w:hAnsi="Arial"/>
                <w:sz w:val="22"/>
              </w:rPr>
              <w:t>相对于传输的交易数据本身</w:t>
            </w:r>
          </w:p>
        </w:tc>
      </w:tr>
    </w:tbl>
    <w:p>
      <w:pPr>
        <w:pStyle w:val="2"/>
        <w:spacing w:before="320" w:after="120" w:line="288" w:lineRule="auto"/>
        <w:ind w:left="0"/>
        <w:jc w:val="left"/>
        <w:outlineLvl w:val="1"/>
      </w:pPr>
      <w:bookmarkStart w:name="heading_25" w:id="25"/>
      <w:r>
        <w:rPr>
          <w:rFonts w:eastAsia="等线" w:ascii="Arial" w:cs="Arial" w:hAnsi="Arial"/>
          <w:b w:val="true"/>
          <w:sz w:val="32"/>
        </w:rPr>
        <w:t>5.3 网络层宪法治理</w:t>
      </w:r>
      <w:bookmarkEnd w:id="25"/>
    </w:p>
    <w:p>
      <w:pPr>
        <w:spacing w:before="120" w:after="120" w:line="288" w:lineRule="auto"/>
        <w:ind w:left="0"/>
        <w:jc w:val="left"/>
      </w:pPr>
      <w:r>
        <w:rPr>
          <w:rFonts w:eastAsia="等线" w:ascii="Arial" w:cs="Arial" w:hAnsi="Arial"/>
          <w:sz w:val="22"/>
        </w:rPr>
        <w:t>CSNP的参数与规则并非一成不变，而是通过L2宪法进行民主治理：</w:t>
      </w:r>
    </w:p>
    <w:p>
      <w:pPr>
        <w:numPr>
          <w:numId w:val="48"/>
        </w:numPr>
        <w:spacing w:before="120" w:after="120" w:line="288" w:lineRule="auto"/>
        <w:ind w:left="0"/>
        <w:jc w:val="left"/>
      </w:pPr>
      <w:r>
        <w:rPr>
          <w:rFonts w:eastAsia="等线" w:ascii="Arial" w:cs="Arial" w:hAnsi="Arial"/>
          <w:b w:val="true"/>
          <w:sz w:val="22"/>
        </w:rPr>
        <w:t>可治理参数</w:t>
      </w:r>
      <w:r>
        <w:rPr>
          <w:rFonts w:eastAsia="等线" w:ascii="Arial" w:cs="Arial" w:hAnsi="Arial"/>
          <w:sz w:val="22"/>
        </w:rPr>
        <w:t>：包括连接规则的具体数值（如`MIN_CBP_PEERS`）、AA-PE策略矩阵、FTAN聚合窗口、中继节点白名单等。</w:t>
      </w:r>
    </w:p>
    <w:p>
      <w:pPr>
        <w:numPr>
          <w:numId w:val="49"/>
        </w:numPr>
        <w:spacing w:before="120" w:after="120" w:line="288" w:lineRule="auto"/>
        <w:ind w:left="0"/>
        <w:jc w:val="left"/>
      </w:pPr>
      <w:r>
        <w:rPr>
          <w:rFonts w:eastAsia="等线" w:ascii="Arial" w:cs="Arial" w:hAnsi="Arial"/>
          <w:b w:val="true"/>
          <w:sz w:val="22"/>
        </w:rPr>
        <w:t>升级流程</w:t>
      </w:r>
      <w:r>
        <w:rPr>
          <w:rFonts w:eastAsia="等线" w:ascii="Arial" w:cs="Arial" w:hAnsi="Arial"/>
          <w:sz w:val="22"/>
        </w:rPr>
        <w:t>：任何网络协议升级提案，需经过社区讨论、测试网部署、链上投票等标准治理流程，最终由宪法执行。</w:t>
      </w:r>
    </w:p>
    <w:p>
      <w:pPr>
        <w:numPr>
          <w:numId w:val="50"/>
        </w:numPr>
        <w:spacing w:before="120" w:after="120" w:line="288" w:lineRule="auto"/>
        <w:ind w:left="0"/>
        <w:jc w:val="left"/>
      </w:pPr>
      <w:r>
        <w:rPr>
          <w:rFonts w:eastAsia="等线" w:ascii="Arial" w:cs="Arial" w:hAnsi="Arial"/>
          <w:b w:val="true"/>
          <w:sz w:val="22"/>
        </w:rPr>
        <w:t>纠纷仲裁</w:t>
      </w:r>
      <w:r>
        <w:rPr>
          <w:rFonts w:eastAsia="等线" w:ascii="Arial" w:cs="Arial" w:hAnsi="Arial"/>
          <w:sz w:val="22"/>
        </w:rPr>
        <w:t>：针对网络行为的举报和争议，由UCA提供证据，L2仲裁委员会进行裁决，并执行惩罚（如罚没保证金、降低信誉分）。</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26" w:id="26"/>
      <w:r>
        <w:rPr>
          <w:rFonts w:eastAsia="等线" w:ascii="Arial" w:cs="Arial" w:hAnsi="Arial"/>
          <w:b w:val="true"/>
          <w:sz w:val="36"/>
        </w:rPr>
        <w:t>第六章：实施路线图</w:t>
      </w:r>
      <w:bookmarkEnd w:id="26"/>
    </w:p>
    <w:p>
      <w:pPr>
        <w:pStyle w:val="2"/>
        <w:spacing w:before="320" w:after="120" w:line="288" w:lineRule="auto"/>
        <w:ind w:left="0"/>
        <w:jc w:val="left"/>
        <w:outlineLvl w:val="1"/>
      </w:pPr>
      <w:bookmarkStart w:name="heading_27" w:id="27"/>
      <w:r>
        <w:rPr>
          <w:rFonts w:eastAsia="等线" w:ascii="Arial" w:cs="Arial" w:hAnsi="Arial"/>
          <w:b w:val="true"/>
          <w:sz w:val="32"/>
        </w:rPr>
        <w:t>阶段一：核心协议开发与单链验证 (0-4个月)</w:t>
      </w:r>
      <w:bookmarkEnd w:id="27"/>
    </w:p>
    <w:p>
      <w:pPr>
        <w:numPr>
          <w:numId w:val="51"/>
        </w:numPr>
        <w:spacing w:before="120" w:after="120" w:line="288" w:lineRule="auto"/>
        <w:ind w:left="0"/>
        <w:jc w:val="left"/>
      </w:pPr>
      <w:r>
        <w:rPr>
          <w:rFonts w:eastAsia="等线" w:ascii="Arial" w:cs="Arial" w:hAnsi="Arial"/>
          <w:sz w:val="22"/>
        </w:rPr>
        <w:t>完成CSNP V2.0核心组件（GIDS, AA-PE, MA-RCM）的原型开发。</w:t>
      </w:r>
    </w:p>
    <w:p>
      <w:pPr>
        <w:numPr>
          <w:numId w:val="52"/>
        </w:numPr>
        <w:spacing w:before="120" w:after="120" w:line="288" w:lineRule="auto"/>
        <w:ind w:left="0"/>
        <w:jc w:val="left"/>
      </w:pPr>
      <w:r>
        <w:rPr>
          <w:rFonts w:eastAsia="等线" w:ascii="Arial" w:cs="Arial" w:hAnsi="Arial"/>
          <w:sz w:val="22"/>
        </w:rPr>
        <w:t>在单条NAC测试链（模拟CBPP环境）上集成CSNP，替换原有P2P层。</w:t>
      </w:r>
    </w:p>
    <w:p>
      <w:pPr>
        <w:numPr>
          <w:numId w:val="53"/>
        </w:numPr>
        <w:spacing w:before="120" w:after="120" w:line="288" w:lineRule="auto"/>
        <w:ind w:left="0"/>
        <w:jc w:val="left"/>
      </w:pPr>
      <w:r>
        <w:rPr>
          <w:rFonts w:eastAsia="等线" w:ascii="Arial" w:cs="Arial" w:hAnsi="Arial"/>
          <w:sz w:val="22"/>
        </w:rPr>
        <w:t>验证资产感知传播逻辑与基础性能。</w:t>
      </w:r>
    </w:p>
    <w:p>
      <w:pPr>
        <w:pStyle w:val="2"/>
        <w:spacing w:before="320" w:after="120" w:line="288" w:lineRule="auto"/>
        <w:ind w:left="0"/>
        <w:jc w:val="left"/>
        <w:outlineLvl w:val="1"/>
      </w:pPr>
      <w:bookmarkStart w:name="heading_28" w:id="28"/>
      <w:r>
        <w:rPr>
          <w:rFonts w:eastAsia="等线" w:ascii="Arial" w:cs="Arial" w:hAnsi="Arial"/>
          <w:b w:val="true"/>
          <w:sz w:val="32"/>
        </w:rPr>
        <w:t>阶段二：跨链与碎片化集成测试 (5-9个月)</w:t>
      </w:r>
      <w:bookmarkEnd w:id="28"/>
    </w:p>
    <w:p>
      <w:pPr>
        <w:numPr>
          <w:numId w:val="54"/>
        </w:numPr>
        <w:spacing w:before="120" w:after="120" w:line="288" w:lineRule="auto"/>
        <w:ind w:left="0"/>
        <w:jc w:val="left"/>
      </w:pPr>
      <w:r>
        <w:rPr>
          <w:rFonts w:eastAsia="等线" w:ascii="Arial" w:cs="Arial" w:hAnsi="Arial"/>
          <w:sz w:val="22"/>
        </w:rPr>
        <w:t>开发FTAN和UCA模块，并与碎片化协议测试网集成。</w:t>
      </w:r>
    </w:p>
    <w:p>
      <w:pPr>
        <w:numPr>
          <w:numId w:val="55"/>
        </w:numPr>
        <w:spacing w:before="120" w:after="120" w:line="288" w:lineRule="auto"/>
        <w:ind w:left="0"/>
        <w:jc w:val="left"/>
      </w:pPr>
      <w:r>
        <w:rPr>
          <w:rFonts w:eastAsia="等线" w:ascii="Arial" w:cs="Arial" w:hAnsi="Arial"/>
          <w:sz w:val="22"/>
        </w:rPr>
        <w:t>部署两条平行测试链，建立跨链中继网络，测试资产跨链转移的全流程。</w:t>
      </w:r>
    </w:p>
    <w:p>
      <w:pPr>
        <w:numPr>
          <w:numId w:val="56"/>
        </w:numPr>
        <w:spacing w:before="120" w:after="120" w:line="288" w:lineRule="auto"/>
        <w:ind w:left="0"/>
        <w:jc w:val="left"/>
      </w:pPr>
      <w:r>
        <w:rPr>
          <w:rFonts w:eastAsia="等线" w:ascii="Arial" w:cs="Arial" w:hAnsi="Arial"/>
          <w:sz w:val="22"/>
        </w:rPr>
        <w:t>进行碎片化资产高并发交易压力测试，评估FTAN效果。</w:t>
      </w:r>
    </w:p>
    <w:p>
      <w:pPr>
        <w:pStyle w:val="2"/>
        <w:spacing w:before="320" w:after="120" w:line="288" w:lineRule="auto"/>
        <w:ind w:left="0"/>
        <w:jc w:val="left"/>
        <w:outlineLvl w:val="1"/>
      </w:pPr>
      <w:bookmarkStart w:name="heading_29" w:id="29"/>
      <w:r>
        <w:rPr>
          <w:rFonts w:eastAsia="等线" w:ascii="Arial" w:cs="Arial" w:hAnsi="Arial"/>
          <w:b w:val="true"/>
          <w:sz w:val="32"/>
        </w:rPr>
        <w:t>阶段三：全域模拟与治理上线 (10-14个月)</w:t>
      </w:r>
      <w:bookmarkEnd w:id="29"/>
    </w:p>
    <w:p>
      <w:pPr>
        <w:numPr>
          <w:numId w:val="57"/>
        </w:numPr>
        <w:spacing w:before="120" w:after="120" w:line="288" w:lineRule="auto"/>
        <w:ind w:left="0"/>
        <w:jc w:val="left"/>
      </w:pPr>
      <w:r>
        <w:rPr>
          <w:rFonts w:eastAsia="等线" w:ascii="Arial" w:cs="Arial" w:hAnsi="Arial"/>
          <w:sz w:val="22"/>
        </w:rPr>
        <w:t>搭建包含3-5条异构平行链的模拟主网环境。</w:t>
      </w:r>
    </w:p>
    <w:p>
      <w:pPr>
        <w:numPr>
          <w:numId w:val="58"/>
        </w:numPr>
        <w:spacing w:before="120" w:after="120" w:line="288" w:lineRule="auto"/>
        <w:ind w:left="0"/>
        <w:jc w:val="left"/>
      </w:pPr>
      <w:r>
        <w:rPr>
          <w:rFonts w:eastAsia="等线" w:ascii="Arial" w:cs="Arial" w:hAnsi="Arial"/>
          <w:sz w:val="22"/>
        </w:rPr>
        <w:t>引入完整的网络层宪法治理模块，测试参数投票与升级流程。</w:t>
      </w:r>
    </w:p>
    <w:p>
      <w:pPr>
        <w:numPr>
          <w:numId w:val="59"/>
        </w:numPr>
        <w:spacing w:before="120" w:after="120" w:line="288" w:lineRule="auto"/>
        <w:ind w:left="0"/>
        <w:jc w:val="left"/>
      </w:pPr>
      <w:r>
        <w:rPr>
          <w:rFonts w:eastAsia="等线" w:ascii="Arial" w:cs="Arial" w:hAnsi="Arial"/>
          <w:sz w:val="22"/>
        </w:rPr>
        <w:t>进行大规模安全攻防演练，包括女巫攻击、DDoS、分区攻击等。</w:t>
      </w:r>
    </w:p>
    <w:p>
      <w:pPr>
        <w:pStyle w:val="2"/>
        <w:spacing w:before="320" w:after="120" w:line="288" w:lineRule="auto"/>
        <w:ind w:left="0"/>
        <w:jc w:val="left"/>
        <w:outlineLvl w:val="1"/>
      </w:pPr>
      <w:bookmarkStart w:name="heading_30" w:id="30"/>
      <w:r>
        <w:rPr>
          <w:rFonts w:eastAsia="等线" w:ascii="Arial" w:cs="Arial" w:hAnsi="Arial"/>
          <w:b w:val="true"/>
          <w:sz w:val="32"/>
        </w:rPr>
        <w:t>阶段四：主网分阶段部署与生态迁移 (15-24个月)</w:t>
      </w:r>
      <w:bookmarkEnd w:id="30"/>
    </w:p>
    <w:p>
      <w:pPr>
        <w:numPr>
          <w:numId w:val="60"/>
        </w:numPr>
        <w:spacing w:before="120" w:after="120" w:line="288" w:lineRule="auto"/>
        <w:ind w:left="0"/>
        <w:jc w:val="left"/>
      </w:pPr>
      <w:r>
        <w:rPr>
          <w:rFonts w:eastAsia="等线" w:ascii="Arial" w:cs="Arial" w:hAnsi="Arial"/>
          <w:b w:val="true"/>
          <w:sz w:val="22"/>
        </w:rPr>
        <w:t>第一阶段</w:t>
      </w:r>
      <w:r>
        <w:rPr>
          <w:rFonts w:eastAsia="等线" w:ascii="Arial" w:cs="Arial" w:hAnsi="Arial"/>
          <w:sz w:val="22"/>
        </w:rPr>
        <w:t>：在NAC根链率先部署CSNP，作为示范。</w:t>
      </w:r>
    </w:p>
    <w:p>
      <w:pPr>
        <w:numPr>
          <w:numId w:val="61"/>
        </w:numPr>
        <w:spacing w:before="120" w:after="120" w:line="288" w:lineRule="auto"/>
        <w:ind w:left="0"/>
        <w:jc w:val="left"/>
      </w:pPr>
      <w:r>
        <w:rPr>
          <w:rFonts w:eastAsia="等线" w:ascii="Arial" w:cs="Arial" w:hAnsi="Arial"/>
          <w:b w:val="true"/>
          <w:sz w:val="22"/>
        </w:rPr>
        <w:t>第二阶段</w:t>
      </w:r>
      <w:r>
        <w:rPr>
          <w:rFonts w:eastAsia="等线" w:ascii="Arial" w:cs="Arial" w:hAnsi="Arial"/>
          <w:sz w:val="22"/>
        </w:rPr>
        <w:t>：推动核心应用链、侧链升级兼容CSNP，提供迁移工具与激励。</w:t>
      </w:r>
    </w:p>
    <w:p>
      <w:pPr>
        <w:numPr>
          <w:numId w:val="62"/>
        </w:numPr>
        <w:spacing w:before="120" w:after="120" w:line="288" w:lineRule="auto"/>
        <w:ind w:left="0"/>
        <w:jc w:val="left"/>
      </w:pPr>
      <w:r>
        <w:rPr>
          <w:rFonts w:eastAsia="等线" w:ascii="Arial" w:cs="Arial" w:hAnsi="Arial"/>
          <w:b w:val="true"/>
          <w:sz w:val="22"/>
        </w:rPr>
        <w:t>第三阶段</w:t>
      </w:r>
      <w:r>
        <w:rPr>
          <w:rFonts w:eastAsia="等线" w:ascii="Arial" w:cs="Arial" w:hAnsi="Arial"/>
          <w:sz w:val="22"/>
        </w:rPr>
        <w:t>：全面启用跨链审计与治理功能，完成整个NAC生态向宪政结构化网络的过渡。</w:t>
      </w:r>
    </w:p>
    <w:p>
      <w:pPr>
        <w:pBdr>
          <w:bottom w:val="single" w:color="dee0e3"/>
          <w:between w:val="single" w:color="dee0e3"/>
        </w:pBdr>
        <w:spacing w:before="120" w:after="120" w:line="288" w:lineRule="auto"/>
        <w:ind w:left="0"/>
      </w:pPr>
    </w:p>
    <w:p>
      <w:pPr>
        <w:pStyle w:val="1"/>
        <w:spacing w:before="380" w:after="140" w:line="288" w:lineRule="auto"/>
        <w:ind w:left="0"/>
        <w:jc w:val="left"/>
        <w:outlineLvl w:val="0"/>
      </w:pPr>
      <w:bookmarkStart w:name="heading_31" w:id="31"/>
      <w:r>
        <w:rPr>
          <w:rFonts w:eastAsia="等线" w:ascii="Arial" w:cs="Arial" w:hAnsi="Arial"/>
          <w:b w:val="true"/>
          <w:sz w:val="36"/>
        </w:rPr>
        <w:t>结论：迈向秩序互联网</w:t>
      </w:r>
      <w:bookmarkEnd w:id="31"/>
    </w:p>
    <w:p>
      <w:pPr>
        <w:spacing w:before="120" w:after="120" w:line="288" w:lineRule="auto"/>
        <w:ind w:left="0"/>
        <w:jc w:val="left"/>
      </w:pPr>
      <w:r>
        <w:rPr>
          <w:rFonts w:eastAsia="等线" w:ascii="Arial" w:cs="Arial" w:hAnsi="Arial"/>
          <w:sz w:val="22"/>
        </w:rPr>
        <w:t>宪政结构化网络协议标志着区块链网络层设计的一次根本性范式转移。它不再将网络视为一个需要克服的、充满不确定性的“黑暗森林”，而是将其塑造为一个可以设计、可以优化、可以治理的“光明花园”。</w:t>
      </w:r>
    </w:p>
    <w:p>
      <w:pPr>
        <w:spacing w:before="120" w:after="120" w:line="288" w:lineRule="auto"/>
        <w:ind w:left="0"/>
        <w:jc w:val="left"/>
      </w:pPr>
      <w:r>
        <w:rPr>
          <w:rFonts w:eastAsia="等线" w:ascii="Arial" w:cs="Arial" w:hAnsi="Arial"/>
          <w:sz w:val="22"/>
        </w:rPr>
        <w:t>在CSNP的支撑下，NAC公链的宏大愿景得以夯实：</w:t>
      </w:r>
    </w:p>
    <w:p>
      <w:pPr>
        <w:numPr>
          <w:numId w:val="63"/>
        </w:numPr>
        <w:spacing w:before="120" w:after="120" w:line="288" w:lineRule="auto"/>
        <w:ind w:left="0"/>
        <w:jc w:val="left"/>
      </w:pPr>
      <w:r>
        <w:rPr>
          <w:rFonts w:eastAsia="等线" w:ascii="Arial" w:cs="Arial" w:hAnsi="Arial"/>
          <w:b w:val="true"/>
          <w:sz w:val="22"/>
        </w:rPr>
        <w:t>CBPP共识</w:t>
      </w:r>
      <w:r>
        <w:rPr>
          <w:rFonts w:eastAsia="等线" w:ascii="Arial" w:cs="Arial" w:hAnsi="Arial"/>
          <w:sz w:val="22"/>
        </w:rPr>
        <w:t>得以在确定性的低延迟网络上运行，使“宪法即共识”不仅是理念，更是可测量的工程现实。</w:t>
      </w:r>
    </w:p>
    <w:p>
      <w:pPr>
        <w:numPr>
          <w:numId w:val="64"/>
        </w:numPr>
        <w:spacing w:before="120" w:after="120" w:line="288" w:lineRule="auto"/>
        <w:ind w:left="0"/>
        <w:jc w:val="left"/>
      </w:pPr>
      <w:r>
        <w:rPr>
          <w:rFonts w:eastAsia="等线" w:ascii="Arial" w:cs="Arial" w:hAnsi="Arial"/>
          <w:b w:val="true"/>
          <w:sz w:val="22"/>
        </w:rPr>
        <w:t>GNACS编码</w:t>
      </w:r>
      <w:r>
        <w:rPr>
          <w:rFonts w:eastAsia="等线" w:ascii="Arial" w:cs="Arial" w:hAnsi="Arial"/>
          <w:sz w:val="22"/>
        </w:rPr>
        <w:t>从静态的资产标签，变为动态的网络路由指令，资产的价值属性直接转化为通信优先级。</w:t>
      </w:r>
    </w:p>
    <w:p>
      <w:pPr>
        <w:numPr>
          <w:numId w:val="65"/>
        </w:numPr>
        <w:spacing w:before="120" w:after="120" w:line="288" w:lineRule="auto"/>
        <w:ind w:left="0"/>
        <w:jc w:val="left"/>
      </w:pPr>
      <w:r>
        <w:rPr>
          <w:rFonts w:eastAsia="等线" w:ascii="Arial" w:cs="Arial" w:hAnsi="Arial"/>
          <w:b w:val="true"/>
          <w:sz w:val="22"/>
        </w:rPr>
        <w:t>碎片化协议</w:t>
      </w:r>
      <w:r>
        <w:rPr>
          <w:rFonts w:eastAsia="等线" w:ascii="Arial" w:cs="Arial" w:hAnsi="Arial"/>
          <w:sz w:val="22"/>
        </w:rPr>
        <w:t>与</w:t>
      </w:r>
      <w:r>
        <w:rPr>
          <w:rFonts w:eastAsia="等线" w:ascii="Arial" w:cs="Arial" w:hAnsi="Arial"/>
          <w:b w:val="true"/>
          <w:sz w:val="22"/>
        </w:rPr>
        <w:t>跨链架构</w:t>
      </w:r>
      <w:r>
        <w:rPr>
          <w:rFonts w:eastAsia="等线" w:ascii="Arial" w:cs="Arial" w:hAnsi="Arial"/>
          <w:sz w:val="22"/>
        </w:rPr>
        <w:t>获得了专属的、高效的流通管道， scalability瓶颈得到系统性缓解。</w:t>
      </w:r>
    </w:p>
    <w:p>
      <w:pPr>
        <w:spacing w:before="120" w:after="120" w:line="288" w:lineRule="auto"/>
        <w:ind w:left="0"/>
        <w:jc w:val="left"/>
      </w:pPr>
      <w:r>
        <w:rPr>
          <w:rFonts w:eastAsia="等线" w:ascii="Arial" w:cs="Arial" w:hAnsi="Arial"/>
          <w:sz w:val="22"/>
        </w:rPr>
        <w:t>最终，CSNP与CBPP、GNACS、碎片化协议等一起，共同构筑了“完美中心化框架下的去中心化”这一治理哲学的完整技术实现。它不仅是NAC公链的神经系统，更是未来价值互联网中，连接实体资产与数字权益、平衡效率与合规、统一规则与创新的</w:t>
      </w:r>
      <w:r>
        <w:rPr>
          <w:rFonts w:eastAsia="等线" w:ascii="Arial" w:cs="Arial" w:hAnsi="Arial"/>
          <w:b w:val="true"/>
          <w:sz w:val="22"/>
        </w:rPr>
        <w:t>秩序基石</w:t>
      </w:r>
      <w:r>
        <w:rPr>
          <w:rFonts w:eastAsia="等线" w:ascii="Arial" w:cs="Arial" w:hAnsi="Arial"/>
          <w:sz w:val="22"/>
        </w:rPr>
        <w:t>。</w:t>
      </w:r>
    </w:p>
    <w:p>
      <w:pPr>
        <w:spacing w:before="120" w:after="120" w:line="288" w:lineRule="auto"/>
        <w:ind w:left="0"/>
        <w:jc w:val="left"/>
      </w:pPr>
      <w:r>
        <w:rPr>
          <w:rFonts w:eastAsia="等线" w:ascii="Arial" w:cs="Arial" w:hAnsi="Arial"/>
          <w:sz w:val="22"/>
        </w:rPr>
        <w:t>在这个网络中，自由源于对共同规则的遵守，效率生于对资产本质的理解，安全成于对每一条通信的问责。这便是宪政结构化网络协议所承诺的，一个更具秩序、也更具潜力的数字未来。</w:t>
      </w:r>
    </w:p>
    <w:p>
      <w:pPr>
        <w:pBdr>
          <w:bottom w:val="single" w:color="dee0e3"/>
          <w:between w:val="single" w:color="dee0e3"/>
        </w:pBdr>
        <w:spacing w:before="120" w:after="120" w:line="288" w:lineRule="auto"/>
        <w:ind w:left="0"/>
      </w:pPr>
    </w:p>
    <w:p>
      <w:pPr>
        <w:spacing w:before="120" w:after="120" w:line="288" w:lineRule="auto"/>
        <w:ind w:left="0"/>
        <w:jc w:val="left"/>
      </w:pPr>
      <w:r>
        <w:rPr>
          <w:rFonts w:eastAsia="等线" w:ascii="Arial" w:cs="Arial" w:hAnsi="Arial"/>
          <w:b w:val="true"/>
          <w:sz w:val="22"/>
        </w:rPr>
        <w:t>免责声明：</w:t>
      </w:r>
      <w:r>
        <w:rPr>
          <w:rFonts w:eastAsia="等线" w:ascii="Arial" w:cs="Arial" w:hAnsi="Arial"/>
          <w:sz w:val="22"/>
        </w:rPr>
        <w:t xml:space="preserve"> 本白皮书旨在阐述技术理念与设计，不构成任何投资建议。具体实现可能随技术发展与社区共识而调整。</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1433823">
    <w:lvl>
      <w:start w:val="1"/>
      <w:numFmt w:val="decimal"/>
      <w:suff w:val="tab"/>
      <w:lvlText w:val="%1."/>
      <w:rPr>
        <w:color w:val="3370ff"/>
      </w:rPr>
    </w:lvl>
  </w:abstractNum>
  <w:abstractNum w:abstractNumId="1433824">
    <w:lvl>
      <w:start w:val="2"/>
      <w:numFmt w:val="decimal"/>
      <w:suff w:val="tab"/>
      <w:lvlText w:val="%1."/>
      <w:rPr>
        <w:color w:val="3370ff"/>
      </w:rPr>
    </w:lvl>
  </w:abstractNum>
  <w:abstractNum w:abstractNumId="1433825">
    <w:lvl>
      <w:start w:val="3"/>
      <w:numFmt w:val="decimal"/>
      <w:suff w:val="tab"/>
      <w:lvlText w:val="%1."/>
      <w:rPr>
        <w:color w:val="3370ff"/>
      </w:rPr>
    </w:lvl>
  </w:abstractNum>
  <w:abstractNum w:abstractNumId="1433826">
    <w:lvl>
      <w:start w:val="4"/>
      <w:numFmt w:val="decimal"/>
      <w:suff w:val="tab"/>
      <w:lvlText w:val="%1."/>
      <w:rPr>
        <w:color w:val="3370ff"/>
      </w:rPr>
    </w:lvl>
  </w:abstractNum>
  <w:abstractNum w:abstractNumId="1433827">
    <w:lvl>
      <w:numFmt w:val="bullet"/>
      <w:suff w:val="tab"/>
      <w:lvlText w:val="•"/>
      <w:rPr>
        <w:color w:val="3370ff"/>
      </w:rPr>
    </w:lvl>
  </w:abstractNum>
  <w:abstractNum w:abstractNumId="1433828">
    <w:lvl>
      <w:numFmt w:val="bullet"/>
      <w:suff w:val="tab"/>
      <w:lvlText w:val="•"/>
      <w:rPr>
        <w:color w:val="3370ff"/>
      </w:rPr>
    </w:lvl>
  </w:abstractNum>
  <w:abstractNum w:abstractNumId="1433829">
    <w:lvl>
      <w:numFmt w:val="bullet"/>
      <w:suff w:val="tab"/>
      <w:lvlText w:val="•"/>
      <w:rPr>
        <w:color w:val="3370ff"/>
      </w:rPr>
    </w:lvl>
  </w:abstractNum>
  <w:abstractNum w:abstractNumId="1433830">
    <w:lvl>
      <w:start w:val="1"/>
      <w:numFmt w:val="decimal"/>
      <w:suff w:val="tab"/>
      <w:lvlText w:val="%1."/>
      <w:rPr>
        <w:color w:val="3370ff"/>
      </w:rPr>
    </w:lvl>
  </w:abstractNum>
  <w:abstractNum w:abstractNumId="1433831">
    <w:lvl>
      <w:start w:val="2"/>
      <w:numFmt w:val="decimal"/>
      <w:suff w:val="tab"/>
      <w:lvlText w:val="%1."/>
      <w:rPr>
        <w:color w:val="3370ff"/>
      </w:rPr>
    </w:lvl>
  </w:abstractNum>
  <w:abstractNum w:abstractNumId="1433832">
    <w:lvl>
      <w:start w:val="3"/>
      <w:numFmt w:val="decimal"/>
      <w:suff w:val="tab"/>
      <w:lvlText w:val="%1."/>
      <w:rPr>
        <w:color w:val="3370ff"/>
      </w:rPr>
    </w:lvl>
  </w:abstractNum>
  <w:abstractNum w:abstractNumId="1433833">
    <w:lvl>
      <w:start w:val="4"/>
      <w:numFmt w:val="decimal"/>
      <w:suff w:val="tab"/>
      <w:lvlText w:val="%1."/>
      <w:rPr>
        <w:color w:val="3370ff"/>
      </w:rPr>
    </w:lvl>
  </w:abstractNum>
  <w:abstractNum w:abstractNumId="1433834">
    <w:lvl>
      <w:start w:val="5"/>
      <w:numFmt w:val="decimal"/>
      <w:suff w:val="tab"/>
      <w:lvlText w:val="%1."/>
      <w:rPr>
        <w:color w:val="3370ff"/>
      </w:rPr>
    </w:lvl>
  </w:abstractNum>
  <w:abstractNum w:abstractNumId="1433835">
    <w:lvl>
      <w:start w:val="6"/>
      <w:numFmt w:val="decimal"/>
      <w:suff w:val="tab"/>
      <w:lvlText w:val="%1."/>
      <w:rPr>
        <w:color w:val="3370ff"/>
      </w:rPr>
    </w:lvl>
  </w:abstractNum>
  <w:abstractNum w:abstractNumId="1433836">
    <w:lvl>
      <w:start w:val="7"/>
      <w:numFmt w:val="decimal"/>
      <w:suff w:val="tab"/>
      <w:lvlText w:val="%1."/>
      <w:rPr>
        <w:color w:val="3370ff"/>
      </w:rPr>
    </w:lvl>
  </w:abstractNum>
  <w:abstractNum w:abstractNumId="1433837">
    <w:lvl>
      <w:numFmt w:val="bullet"/>
      <w:suff w:val="tab"/>
      <w:lvlText w:val="•"/>
      <w:rPr>
        <w:color w:val="3370ff"/>
      </w:rPr>
    </w:lvl>
  </w:abstractNum>
  <w:abstractNum w:abstractNumId="1433838">
    <w:lvl>
      <w:numFmt w:val="bullet"/>
      <w:suff w:val="tab"/>
      <w:lvlText w:val="•"/>
      <w:rPr>
        <w:color w:val="3370ff"/>
      </w:rPr>
    </w:lvl>
  </w:abstractNum>
  <w:abstractNum w:abstractNumId="1433839">
    <w:lvl>
      <w:numFmt w:val="bullet"/>
      <w:suff w:val="tab"/>
      <w:lvlText w:val="•"/>
      <w:rPr>
        <w:color w:val="3370ff"/>
      </w:rPr>
    </w:lvl>
  </w:abstractNum>
  <w:abstractNum w:abstractNumId="1433840">
    <w:lvl>
      <w:numFmt w:val="bullet"/>
      <w:suff w:val="tab"/>
      <w:lvlText w:val="•"/>
      <w:rPr>
        <w:color w:val="3370ff"/>
      </w:rPr>
    </w:lvl>
  </w:abstractNum>
  <w:abstractNum w:abstractNumId="1433841">
    <w:lvl>
      <w:numFmt w:val="bullet"/>
      <w:suff w:val="tab"/>
      <w:lvlText w:val="•"/>
      <w:rPr>
        <w:color w:val="3370ff"/>
      </w:rPr>
    </w:lvl>
  </w:abstractNum>
  <w:abstractNum w:abstractNumId="1433842">
    <w:lvl>
      <w:numFmt w:val="bullet"/>
      <w:suff w:val="tab"/>
      <w:lvlText w:val="￮"/>
      <w:rPr>
        <w:color w:val="3370ff"/>
      </w:rPr>
    </w:lvl>
  </w:abstractNum>
  <w:abstractNum w:abstractNumId="1433843">
    <w:lvl>
      <w:numFmt w:val="bullet"/>
      <w:suff w:val="tab"/>
      <w:lvlText w:val="￮"/>
      <w:rPr>
        <w:color w:val="3370ff"/>
      </w:rPr>
    </w:lvl>
  </w:abstractNum>
  <w:abstractNum w:abstractNumId="1433844">
    <w:lvl>
      <w:numFmt w:val="bullet"/>
      <w:suff w:val="tab"/>
      <w:lvlText w:val="￮"/>
      <w:rPr>
        <w:color w:val="3370ff"/>
      </w:rPr>
    </w:lvl>
  </w:abstractNum>
  <w:abstractNum w:abstractNumId="1433845">
    <w:lvl>
      <w:numFmt w:val="bullet"/>
      <w:suff w:val="tab"/>
      <w:lvlText w:val="•"/>
      <w:rPr>
        <w:color w:val="3370ff"/>
      </w:rPr>
    </w:lvl>
  </w:abstractNum>
  <w:abstractNum w:abstractNumId="1433846">
    <w:lvl>
      <w:numFmt w:val="bullet"/>
      <w:suff w:val="tab"/>
      <w:lvlText w:val="•"/>
      <w:rPr>
        <w:color w:val="3370ff"/>
      </w:rPr>
    </w:lvl>
  </w:abstractNum>
  <w:abstractNum w:abstractNumId="1433847">
    <w:lvl>
      <w:numFmt w:val="bullet"/>
      <w:suff w:val="tab"/>
      <w:lvlText w:val="•"/>
      <w:rPr>
        <w:color w:val="3370ff"/>
      </w:rPr>
    </w:lvl>
  </w:abstractNum>
  <w:abstractNum w:abstractNumId="1433848">
    <w:lvl>
      <w:numFmt w:val="bullet"/>
      <w:suff w:val="tab"/>
      <w:lvlText w:val="•"/>
      <w:rPr>
        <w:color w:val="3370ff"/>
      </w:rPr>
    </w:lvl>
  </w:abstractNum>
  <w:abstractNum w:abstractNumId="1433849">
    <w:lvl>
      <w:numFmt w:val="bullet"/>
      <w:suff w:val="tab"/>
      <w:lvlText w:val="•"/>
      <w:rPr>
        <w:color w:val="3370ff"/>
      </w:rPr>
    </w:lvl>
  </w:abstractNum>
  <w:abstractNum w:abstractNumId="1433850">
    <w:lvl>
      <w:numFmt w:val="bullet"/>
      <w:suff w:val="tab"/>
      <w:lvlText w:val="•"/>
      <w:rPr>
        <w:color w:val="3370ff"/>
      </w:rPr>
    </w:lvl>
  </w:abstractNum>
  <w:abstractNum w:abstractNumId="1433851">
    <w:lvl>
      <w:numFmt w:val="bullet"/>
      <w:suff w:val="tab"/>
      <w:lvlText w:val="•"/>
      <w:rPr>
        <w:color w:val="3370ff"/>
      </w:rPr>
    </w:lvl>
  </w:abstractNum>
  <w:abstractNum w:abstractNumId="1433852">
    <w:lvl>
      <w:numFmt w:val="bullet"/>
      <w:suff w:val="tab"/>
      <w:lvlText w:val="•"/>
      <w:rPr>
        <w:color w:val="3370ff"/>
      </w:rPr>
    </w:lvl>
  </w:abstractNum>
  <w:abstractNum w:abstractNumId="1433853">
    <w:lvl>
      <w:numFmt w:val="bullet"/>
      <w:suff w:val="tab"/>
      <w:lvlText w:val="•"/>
      <w:rPr>
        <w:color w:val="3370ff"/>
      </w:rPr>
    </w:lvl>
  </w:abstractNum>
  <w:abstractNum w:abstractNumId="1433854">
    <w:lvl>
      <w:numFmt w:val="bullet"/>
      <w:suff w:val="tab"/>
      <w:lvlText w:val="•"/>
      <w:rPr>
        <w:color w:val="3370ff"/>
      </w:rPr>
    </w:lvl>
  </w:abstractNum>
  <w:abstractNum w:abstractNumId="1433855">
    <w:lvl>
      <w:numFmt w:val="bullet"/>
      <w:suff w:val="tab"/>
      <w:lvlText w:val="•"/>
      <w:rPr>
        <w:color w:val="3370ff"/>
      </w:rPr>
    </w:lvl>
  </w:abstractNum>
  <w:abstractNum w:abstractNumId="1433856">
    <w:lvl>
      <w:numFmt w:val="bullet"/>
      <w:suff w:val="tab"/>
      <w:lvlText w:val="•"/>
      <w:rPr>
        <w:color w:val="3370ff"/>
      </w:rPr>
    </w:lvl>
  </w:abstractNum>
  <w:abstractNum w:abstractNumId="1433857">
    <w:lvl>
      <w:start w:val="1"/>
      <w:numFmt w:val="decimal"/>
      <w:suff w:val="tab"/>
      <w:lvlText w:val="%1."/>
      <w:rPr>
        <w:color w:val="3370ff"/>
      </w:rPr>
    </w:lvl>
  </w:abstractNum>
  <w:abstractNum w:abstractNumId="1433858">
    <w:lvl>
      <w:start w:val="2"/>
      <w:numFmt w:val="decimal"/>
      <w:suff w:val="tab"/>
      <w:lvlText w:val="%1."/>
      <w:rPr>
        <w:color w:val="3370ff"/>
      </w:rPr>
    </w:lvl>
  </w:abstractNum>
  <w:abstractNum w:abstractNumId="1433859">
    <w:lvl>
      <w:start w:val="3"/>
      <w:numFmt w:val="decimal"/>
      <w:suff w:val="tab"/>
      <w:lvlText w:val="%1."/>
      <w:rPr>
        <w:color w:val="3370ff"/>
      </w:rPr>
    </w:lvl>
  </w:abstractNum>
  <w:abstractNum w:abstractNumId="1433860">
    <w:lvl>
      <w:start w:val="1"/>
      <w:numFmt w:val="decimal"/>
      <w:suff w:val="tab"/>
      <w:lvlText w:val="%1."/>
      <w:rPr>
        <w:color w:val="3370ff"/>
      </w:rPr>
    </w:lvl>
  </w:abstractNum>
  <w:abstractNum w:abstractNumId="1433861">
    <w:lvl>
      <w:start w:val="2"/>
      <w:numFmt w:val="decimal"/>
      <w:suff w:val="tab"/>
      <w:lvlText w:val="%1."/>
      <w:rPr>
        <w:color w:val="3370ff"/>
      </w:rPr>
    </w:lvl>
  </w:abstractNum>
  <w:abstractNum w:abstractNumId="1433862">
    <w:lvl>
      <w:start w:val="1"/>
      <w:numFmt w:val="decimal"/>
      <w:suff w:val="tab"/>
      <w:lvlText w:val="%1."/>
      <w:rPr>
        <w:color w:val="3370ff"/>
      </w:rPr>
    </w:lvl>
  </w:abstractNum>
  <w:abstractNum w:abstractNumId="1433863">
    <w:lvl>
      <w:start w:val="2"/>
      <w:numFmt w:val="decimal"/>
      <w:suff w:val="tab"/>
      <w:lvlText w:val="%1."/>
      <w:rPr>
        <w:color w:val="3370ff"/>
      </w:rPr>
    </w:lvl>
  </w:abstractNum>
  <w:abstractNum w:abstractNumId="1433864">
    <w:lvl>
      <w:start w:val="1"/>
      <w:numFmt w:val="decimal"/>
      <w:suff w:val="tab"/>
      <w:lvlText w:val="%1."/>
      <w:rPr>
        <w:color w:val="3370ff"/>
      </w:rPr>
    </w:lvl>
  </w:abstractNum>
  <w:abstractNum w:abstractNumId="1433865">
    <w:lvl>
      <w:start w:val="2"/>
      <w:numFmt w:val="decimal"/>
      <w:suff w:val="tab"/>
      <w:lvlText w:val="%1."/>
      <w:rPr>
        <w:color w:val="3370ff"/>
      </w:rPr>
    </w:lvl>
  </w:abstractNum>
  <w:abstractNum w:abstractNumId="1433866">
    <w:lvl>
      <w:numFmt w:val="bullet"/>
      <w:suff w:val="tab"/>
      <w:lvlText w:val="•"/>
      <w:rPr>
        <w:color w:val="3370ff"/>
      </w:rPr>
    </w:lvl>
  </w:abstractNum>
  <w:abstractNum w:abstractNumId="1433867">
    <w:lvl>
      <w:numFmt w:val="bullet"/>
      <w:suff w:val="tab"/>
      <w:lvlText w:val="•"/>
      <w:rPr>
        <w:color w:val="3370ff"/>
      </w:rPr>
    </w:lvl>
  </w:abstractNum>
  <w:abstractNum w:abstractNumId="1433868">
    <w:lvl>
      <w:numFmt w:val="bullet"/>
      <w:suff w:val="tab"/>
      <w:lvlText w:val="•"/>
      <w:rPr>
        <w:color w:val="3370ff"/>
      </w:rPr>
    </w:lvl>
  </w:abstractNum>
  <w:abstractNum w:abstractNumId="1433869">
    <w:lvl>
      <w:numFmt w:val="bullet"/>
      <w:suff w:val="tab"/>
      <w:lvlText w:val="•"/>
      <w:rPr>
        <w:color w:val="3370ff"/>
      </w:rPr>
    </w:lvl>
  </w:abstractNum>
  <w:abstractNum w:abstractNumId="1433870">
    <w:lvl>
      <w:start w:val="1"/>
      <w:numFmt w:val="decimal"/>
      <w:suff w:val="tab"/>
      <w:lvlText w:val="%1."/>
      <w:rPr>
        <w:color w:val="3370ff"/>
      </w:rPr>
    </w:lvl>
  </w:abstractNum>
  <w:abstractNum w:abstractNumId="1433871">
    <w:lvl>
      <w:start w:val="2"/>
      <w:numFmt w:val="decimal"/>
      <w:suff w:val="tab"/>
      <w:lvlText w:val="%1."/>
      <w:rPr>
        <w:color w:val="3370ff"/>
      </w:rPr>
    </w:lvl>
  </w:abstractNum>
  <w:abstractNum w:abstractNumId="1433872">
    <w:lvl>
      <w:start w:val="3"/>
      <w:numFmt w:val="decimal"/>
      <w:suff w:val="tab"/>
      <w:lvlText w:val="%1."/>
      <w:rPr>
        <w:color w:val="3370ff"/>
      </w:rPr>
    </w:lvl>
  </w:abstractNum>
  <w:abstractNum w:abstractNumId="1433873">
    <w:lvl>
      <w:numFmt w:val="bullet"/>
      <w:suff w:val="tab"/>
      <w:lvlText w:val="•"/>
      <w:rPr>
        <w:color w:val="3370ff"/>
      </w:rPr>
    </w:lvl>
  </w:abstractNum>
  <w:abstractNum w:abstractNumId="1433874">
    <w:lvl>
      <w:numFmt w:val="bullet"/>
      <w:suff w:val="tab"/>
      <w:lvlText w:val="•"/>
      <w:rPr>
        <w:color w:val="3370ff"/>
      </w:rPr>
    </w:lvl>
  </w:abstractNum>
  <w:abstractNum w:abstractNumId="1433875">
    <w:lvl>
      <w:numFmt w:val="bullet"/>
      <w:suff w:val="tab"/>
      <w:lvlText w:val="•"/>
      <w:rPr>
        <w:color w:val="3370ff"/>
      </w:rPr>
    </w:lvl>
  </w:abstractNum>
  <w:abstractNum w:abstractNumId="1433876">
    <w:lvl>
      <w:numFmt w:val="bullet"/>
      <w:suff w:val="tab"/>
      <w:lvlText w:val="•"/>
      <w:rPr>
        <w:color w:val="3370ff"/>
      </w:rPr>
    </w:lvl>
  </w:abstractNum>
  <w:abstractNum w:abstractNumId="1433877">
    <w:lvl>
      <w:numFmt w:val="bullet"/>
      <w:suff w:val="tab"/>
      <w:lvlText w:val="•"/>
      <w:rPr>
        <w:color w:val="3370ff"/>
      </w:rPr>
    </w:lvl>
  </w:abstractNum>
  <w:abstractNum w:abstractNumId="1433878">
    <w:lvl>
      <w:numFmt w:val="bullet"/>
      <w:suff w:val="tab"/>
      <w:lvlText w:val="•"/>
      <w:rPr>
        <w:color w:val="3370ff"/>
      </w:rPr>
    </w:lvl>
  </w:abstractNum>
  <w:abstractNum w:abstractNumId="1433879">
    <w:lvl>
      <w:numFmt w:val="bullet"/>
      <w:suff w:val="tab"/>
      <w:lvlText w:val="•"/>
      <w:rPr>
        <w:color w:val="3370ff"/>
      </w:rPr>
    </w:lvl>
  </w:abstractNum>
  <w:abstractNum w:abstractNumId="1433880">
    <w:lvl>
      <w:numFmt w:val="bullet"/>
      <w:suff w:val="tab"/>
      <w:lvlText w:val="•"/>
      <w:rPr>
        <w:color w:val="3370ff"/>
      </w:rPr>
    </w:lvl>
  </w:abstractNum>
  <w:abstractNum w:abstractNumId="1433881">
    <w:lvl>
      <w:numFmt w:val="bullet"/>
      <w:suff w:val="tab"/>
      <w:lvlText w:val="•"/>
      <w:rPr>
        <w:color w:val="3370ff"/>
      </w:rPr>
    </w:lvl>
  </w:abstractNum>
  <w:abstractNum w:abstractNumId="1433882">
    <w:lvl>
      <w:numFmt w:val="bullet"/>
      <w:suff w:val="tab"/>
      <w:lvlText w:val="•"/>
      <w:rPr>
        <w:color w:val="3370ff"/>
      </w:rPr>
    </w:lvl>
  </w:abstractNum>
  <w:abstractNum w:abstractNumId="1433883">
    <w:lvl>
      <w:numFmt w:val="bullet"/>
      <w:suff w:val="tab"/>
      <w:lvlText w:val="•"/>
      <w:rPr>
        <w:color w:val="3370ff"/>
      </w:rPr>
    </w:lvl>
  </w:abstractNum>
  <w:abstractNum w:abstractNumId="1433884">
    <w:lvl>
      <w:numFmt w:val="bullet"/>
      <w:suff w:val="tab"/>
      <w:lvlText w:val="•"/>
      <w:rPr>
        <w:color w:val="3370ff"/>
      </w:rPr>
    </w:lvl>
  </w:abstractNum>
  <w:abstractNum w:abstractNumId="1433885">
    <w:lvl>
      <w:numFmt w:val="bullet"/>
      <w:suff w:val="tab"/>
      <w:lvlText w:val="•"/>
      <w:rPr>
        <w:color w:val="3370ff"/>
      </w:rPr>
    </w:lvl>
  </w:abstractNum>
  <w:abstractNum w:abstractNumId="1433886">
    <w:lvl>
      <w:numFmt w:val="bullet"/>
      <w:suff w:val="tab"/>
      <w:lvlText w:val="•"/>
      <w:rPr>
        <w:color w:val="3370ff"/>
      </w:rPr>
    </w:lvl>
  </w:abstractNum>
  <w:abstractNum w:abstractNumId="1433887">
    <w:lvl>
      <w:numFmt w:val="bullet"/>
      <w:suff w:val="tab"/>
      <w:lvlText w:val="•"/>
      <w:rPr>
        <w:color w:val="3370ff"/>
      </w:rPr>
    </w:lvl>
  </w:abstractNum>
  <w:num w:numId="1">
    <w:abstractNumId w:val="1433823"/>
  </w:num>
  <w:num w:numId="2">
    <w:abstractNumId w:val="1433824"/>
  </w:num>
  <w:num w:numId="3">
    <w:abstractNumId w:val="1433825"/>
  </w:num>
  <w:num w:numId="4">
    <w:abstractNumId w:val="1433826"/>
  </w:num>
  <w:num w:numId="5">
    <w:abstractNumId w:val="1433827"/>
  </w:num>
  <w:num w:numId="6">
    <w:abstractNumId w:val="1433828"/>
  </w:num>
  <w:num w:numId="7">
    <w:abstractNumId w:val="1433829"/>
  </w:num>
  <w:num w:numId="8">
    <w:abstractNumId w:val="1433830"/>
  </w:num>
  <w:num w:numId="9">
    <w:abstractNumId w:val="1433831"/>
  </w:num>
  <w:num w:numId="10">
    <w:abstractNumId w:val="1433832"/>
  </w:num>
  <w:num w:numId="11">
    <w:abstractNumId w:val="1433833"/>
  </w:num>
  <w:num w:numId="12">
    <w:abstractNumId w:val="1433834"/>
  </w:num>
  <w:num w:numId="13">
    <w:abstractNumId w:val="1433835"/>
  </w:num>
  <w:num w:numId="14">
    <w:abstractNumId w:val="1433836"/>
  </w:num>
  <w:num w:numId="15">
    <w:abstractNumId w:val="1433837"/>
  </w:num>
  <w:num w:numId="16">
    <w:abstractNumId w:val="1433838"/>
  </w:num>
  <w:num w:numId="17">
    <w:abstractNumId w:val="1433839"/>
  </w:num>
  <w:num w:numId="18">
    <w:abstractNumId w:val="1433840"/>
  </w:num>
  <w:num w:numId="19">
    <w:abstractNumId w:val="1433841"/>
  </w:num>
  <w:num w:numId="20">
    <w:abstractNumId w:val="1433842"/>
  </w:num>
  <w:num w:numId="21">
    <w:abstractNumId w:val="1433843"/>
  </w:num>
  <w:num w:numId="22">
    <w:abstractNumId w:val="1433844"/>
  </w:num>
  <w:num w:numId="23">
    <w:abstractNumId w:val="1433845"/>
  </w:num>
  <w:num w:numId="24">
    <w:abstractNumId w:val="1433846"/>
  </w:num>
  <w:num w:numId="25">
    <w:abstractNumId w:val="1433847"/>
  </w:num>
  <w:num w:numId="26">
    <w:abstractNumId w:val="1433848"/>
  </w:num>
  <w:num w:numId="27">
    <w:abstractNumId w:val="1433849"/>
  </w:num>
  <w:num w:numId="28">
    <w:abstractNumId w:val="1433850"/>
  </w:num>
  <w:num w:numId="29">
    <w:abstractNumId w:val="1433851"/>
  </w:num>
  <w:num w:numId="30">
    <w:abstractNumId w:val="1433852"/>
  </w:num>
  <w:num w:numId="31">
    <w:abstractNumId w:val="1433853"/>
  </w:num>
  <w:num w:numId="32">
    <w:abstractNumId w:val="1433854"/>
  </w:num>
  <w:num w:numId="33">
    <w:abstractNumId w:val="1433855"/>
  </w:num>
  <w:num w:numId="34">
    <w:abstractNumId w:val="1433856"/>
  </w:num>
  <w:num w:numId="35">
    <w:abstractNumId w:val="1433857"/>
  </w:num>
  <w:num w:numId="36">
    <w:abstractNumId w:val="1433858"/>
  </w:num>
  <w:num w:numId="37">
    <w:abstractNumId w:val="1433859"/>
  </w:num>
  <w:num w:numId="38">
    <w:abstractNumId w:val="1433860"/>
  </w:num>
  <w:num w:numId="39">
    <w:abstractNumId w:val="1433861"/>
  </w:num>
  <w:num w:numId="40">
    <w:abstractNumId w:val="1433862"/>
  </w:num>
  <w:num w:numId="41">
    <w:abstractNumId w:val="1433863"/>
  </w:num>
  <w:num w:numId="42">
    <w:abstractNumId w:val="1433864"/>
  </w:num>
  <w:num w:numId="43">
    <w:abstractNumId w:val="1433865"/>
  </w:num>
  <w:num w:numId="44">
    <w:abstractNumId w:val="1433866"/>
  </w:num>
  <w:num w:numId="45">
    <w:abstractNumId w:val="1433867"/>
  </w:num>
  <w:num w:numId="46">
    <w:abstractNumId w:val="1433868"/>
  </w:num>
  <w:num w:numId="47">
    <w:abstractNumId w:val="1433869"/>
  </w:num>
  <w:num w:numId="48">
    <w:abstractNumId w:val="1433870"/>
  </w:num>
  <w:num w:numId="49">
    <w:abstractNumId w:val="1433871"/>
  </w:num>
  <w:num w:numId="50">
    <w:abstractNumId w:val="1433872"/>
  </w:num>
  <w:num w:numId="51">
    <w:abstractNumId w:val="1433873"/>
  </w:num>
  <w:num w:numId="52">
    <w:abstractNumId w:val="1433874"/>
  </w:num>
  <w:num w:numId="53">
    <w:abstractNumId w:val="1433875"/>
  </w:num>
  <w:num w:numId="54">
    <w:abstractNumId w:val="1433876"/>
  </w:num>
  <w:num w:numId="55">
    <w:abstractNumId w:val="1433877"/>
  </w:num>
  <w:num w:numId="56">
    <w:abstractNumId w:val="1433878"/>
  </w:num>
  <w:num w:numId="57">
    <w:abstractNumId w:val="1433879"/>
  </w:num>
  <w:num w:numId="58">
    <w:abstractNumId w:val="1433880"/>
  </w:num>
  <w:num w:numId="59">
    <w:abstractNumId w:val="1433881"/>
  </w:num>
  <w:num w:numId="60">
    <w:abstractNumId w:val="1433882"/>
  </w:num>
  <w:num w:numId="61">
    <w:abstractNumId w:val="1433883"/>
  </w:num>
  <w:num w:numId="62">
    <w:abstractNumId w:val="1433884"/>
  </w:num>
  <w:num w:numId="63">
    <w:abstractNumId w:val="1433885"/>
  </w:num>
  <w:num w:numId="64">
    <w:abstractNumId w:val="1433886"/>
  </w:num>
  <w:num w:numId="65">
    <w:abstractNumId w:val="1433887"/>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2026-02-04T19:39:48Z</dcterms:created>
  <dc:creator>Apache POI</dc:creator>
</cp:coreProperties>
</file>