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oter+xml" PartName="/word/footer1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</Types>
</file>

<file path=_rels/.rels><?xml version="1.0" encoding="UTF-8" standalone="yes"?><Relationships xmlns="http://schemas.openxmlformats.org/package/2006/relationships"><Relationship Id="rId1" Target="word/document.xml" Type="http://schemas.openxmlformats.org/officeDocument/2006/relationships/officeDocument"/><Relationship Id="rId2" Target="docProps/app.xml" Type="http://schemas.openxmlformats.org/officeDocument/2006/relationships/extended-properties"/><Relationship Id="rId3" Target="docProps/core.xml" Type="http://schemas.openxmlformats.org/package/2006/relationships/metadata/core-properties"/></Relationships>
</file>

<file path=word/document.xml><?xml version="1.0" encoding="utf-8"?>
<w:document xmlns:w="http://schemas.openxmlformats.org/wordprocessingml/2006/main" xmlns:r="http://schemas.openxmlformats.org/officeDocument/2006/relationships">
  <w:body>
    <w:p>
      <w:pPr>
        <w:spacing w:before="480" w:after="480" w:line="288" w:lineRule="auto"/>
        <w:ind w:left="0"/>
      </w:pPr>
      <w:r>
        <w:rPr>
          <w:rFonts w:eastAsia="等线" w:ascii="Arial" w:cs="Arial" w:hAnsi="Arial"/>
          <w:b w:val="true"/>
          <w:sz w:val="52"/>
        </w:rPr>
        <w:t>宪政结构化网络协议（CSNP）V2.0 技术白皮书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——面向多链并行、碎片化资产与宪政共识的统一网络层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0" w:id="0"/>
      <w:r>
        <w:rPr>
          <w:rFonts w:eastAsia="等线" w:ascii="Arial" w:cs="Arial" w:hAnsi="Arial"/>
          <w:b w:val="true"/>
          <w:sz w:val="36"/>
        </w:rPr>
        <w:t>摘要</w:t>
      </w:r>
      <w:bookmarkEnd w:id="0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基于NAC公链“资产分叉+一币多链+一链多层+多链并行+一链多叉”的复杂架构，以及碎片化协议的深度集成需求，原始CSNP设计需要进行系统性升级。CSNP V2.0在保持“法治化网络层”核心哲学的基础上，引入</w:t>
      </w:r>
      <w:r>
        <w:rPr>
          <w:rFonts w:eastAsia="等线" w:ascii="Arial" w:cs="Arial" w:hAnsi="Arial"/>
          <w:b w:val="true"/>
          <w:sz w:val="22"/>
        </w:rPr>
        <w:t>多链身份路由</w:t>
      </w:r>
      <w:r>
        <w:rPr>
          <w:rFonts w:eastAsia="等线" w:ascii="Arial" w:cs="Arial" w:hAnsi="Arial"/>
          <w:sz w:val="22"/>
        </w:rPr>
        <w:t>、</w:t>
      </w:r>
      <w:r>
        <w:rPr>
          <w:rFonts w:eastAsia="等线" w:ascii="Arial" w:cs="Arial" w:hAnsi="Arial"/>
          <w:b w:val="true"/>
          <w:sz w:val="22"/>
        </w:rPr>
        <w:t>资产感知传播</w:t>
      </w:r>
      <w:r>
        <w:rPr>
          <w:rFonts w:eastAsia="等线" w:ascii="Arial" w:cs="Arial" w:hAnsi="Arial"/>
          <w:sz w:val="22"/>
        </w:rPr>
        <w:t>、</w:t>
      </w:r>
      <w:r>
        <w:rPr>
          <w:rFonts w:eastAsia="等线" w:ascii="Arial" w:cs="Arial" w:hAnsi="Arial"/>
          <w:b w:val="true"/>
          <w:sz w:val="22"/>
        </w:rPr>
        <w:t>碎片化交易优化</w:t>
      </w:r>
      <w:r>
        <w:rPr>
          <w:rFonts w:eastAsia="等线" w:ascii="Arial" w:cs="Arial" w:hAnsi="Arial"/>
          <w:sz w:val="22"/>
        </w:rPr>
        <w:t>和</w:t>
      </w:r>
      <w:r>
        <w:rPr>
          <w:rFonts w:eastAsia="等线" w:ascii="Arial" w:cs="Arial" w:hAnsi="Arial"/>
          <w:b w:val="true"/>
          <w:sz w:val="22"/>
        </w:rPr>
        <w:t>GNACS编码驱动</w:t>
      </w:r>
      <w:r>
        <w:rPr>
          <w:rFonts w:eastAsia="等线" w:ascii="Arial" w:cs="Arial" w:hAnsi="Arial"/>
          <w:sz w:val="22"/>
        </w:rPr>
        <w:t>四大创新，构建一个既能服务CBPP共识、又能支撑全生态复杂交互的统一网络基础设施。本协议实现了网络层从“单一共识服务”到“全域资产流通管道”的范式跃迁。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1" w:id="1"/>
      <w:r>
        <w:rPr>
          <w:rFonts w:eastAsia="等线" w:ascii="Arial" w:cs="Arial" w:hAnsi="Arial"/>
          <w:b w:val="true"/>
          <w:sz w:val="36"/>
        </w:rPr>
        <w:t>第一章：设计哲学演进——从单链共识到全域流通</w:t>
      </w:r>
      <w:bookmarkEnd w:id="1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" w:id="2"/>
      <w:r>
        <w:rPr>
          <w:rFonts w:eastAsia="等线" w:ascii="Arial" w:cs="Arial" w:hAnsi="Arial"/>
          <w:b w:val="true"/>
          <w:sz w:val="32"/>
        </w:rPr>
        <w:t>1.1 面临的复杂架构挑战</w:t>
      </w:r>
      <w:bookmarkEnd w:id="2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NAC公链的多维度架构对网络层提出了前所未有的要求：</w:t>
      </w:r>
    </w:p>
    <w:p>
      <w:pPr>
        <w:numPr>
          <w:numId w:val="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跨链通信需求</w:t>
      </w:r>
      <w:r>
        <w:rPr>
          <w:rFonts w:eastAsia="等线" w:ascii="Arial" w:cs="Arial" w:hAnsi="Arial"/>
          <w:sz w:val="22"/>
        </w:rPr>
        <w:t>：资产在根链、应用链、分层链间频繁转移，需高效、安全的跨链消息传递。</w:t>
      </w:r>
    </w:p>
    <w:p>
      <w:pPr>
        <w:numPr>
          <w:numId w:val="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碎片化交易特征</w:t>
      </w:r>
      <w:r>
        <w:rPr>
          <w:rFonts w:eastAsia="等线" w:ascii="Arial" w:cs="Arial" w:hAnsi="Arial"/>
          <w:sz w:val="22"/>
        </w:rPr>
        <w:t>：碎片化资产（同质化/非同质化）产生海量小额高频交易，传统广播模式效率低下。</w:t>
      </w:r>
    </w:p>
    <w:p>
      <w:pPr>
        <w:numPr>
          <w:numId w:val="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GNACS编码驱动</w:t>
      </w:r>
      <w:r>
        <w:rPr>
          <w:rFonts w:eastAsia="等线" w:ascii="Arial" w:cs="Arial" w:hAnsi="Arial"/>
          <w:sz w:val="22"/>
        </w:rPr>
        <w:t>：资产的48位GNACS编码蕴含了风险、合规、流动性等关键属性，网络传播应能“理解”并优化。</w:t>
      </w:r>
    </w:p>
    <w:p>
      <w:pPr>
        <w:numPr>
          <w:numId w:val="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共识异构性</w:t>
      </w:r>
      <w:r>
        <w:rPr>
          <w:rFonts w:eastAsia="等线" w:ascii="Arial" w:cs="Arial" w:hAnsi="Arial"/>
          <w:sz w:val="22"/>
        </w:rPr>
        <w:t>：CBPP（宪政共识）与其他潜在共识机制（如PoS、BFT）可能共存，网络层需提供统一抽象。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3" w:id="3"/>
      <w:r>
        <w:rPr>
          <w:rFonts w:eastAsia="等线" w:ascii="Arial" w:cs="Arial" w:hAnsi="Arial"/>
          <w:b w:val="true"/>
          <w:sz w:val="32"/>
        </w:rPr>
        <w:t>1.2 CSNP V2.0 核心设计原则</w:t>
      </w:r>
      <w:bookmarkEnd w:id="3"/>
    </w:p>
    <w:p>
      <w:pPr>
        <w:numPr>
          <w:numId w:val="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统一身份，多链路由</w:t>
      </w:r>
      <w:r>
        <w:rPr>
          <w:rFonts w:eastAsia="等线" w:ascii="Arial" w:cs="Arial" w:hAnsi="Arial"/>
          <w:sz w:val="22"/>
        </w:rPr>
        <w:t>：一个DID身份可在多链间通行，网络层根据链标识（ChainID）和GNACS资产标识智能路由。</w:t>
      </w:r>
    </w:p>
    <w:p>
      <w:pPr>
        <w:numPr>
          <w:numId w:val="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资产感知，分级传播</w:t>
      </w:r>
      <w:r>
        <w:rPr>
          <w:rFonts w:eastAsia="等线" w:ascii="Arial" w:cs="Arial" w:hAnsi="Arial"/>
          <w:sz w:val="22"/>
        </w:rPr>
        <w:t>：传播策略由交易中的资产属性（GNACS编码）动态决定，而非固定规则。</w:t>
      </w:r>
    </w:p>
    <w:p>
      <w:pPr>
        <w:numPr>
          <w:numId w:val="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碎片优化，聚合批处理</w:t>
      </w:r>
      <w:r>
        <w:rPr>
          <w:rFonts w:eastAsia="等线" w:ascii="Arial" w:cs="Arial" w:hAnsi="Arial"/>
          <w:sz w:val="22"/>
        </w:rPr>
        <w:t>：为碎片化交易设计专用的聚合传播通道，减少冗余流量。</w:t>
      </w:r>
    </w:p>
    <w:p>
      <w:pPr>
        <w:numPr>
          <w:numId w:val="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宪法延伸，跨链治理</w:t>
      </w:r>
      <w:r>
        <w:rPr>
          <w:rFonts w:eastAsia="等线" w:ascii="Arial" w:cs="Arial" w:hAnsi="Arial"/>
          <w:sz w:val="22"/>
        </w:rPr>
        <w:t>：网络行为规则（连接、转发、审计）由L2宪法统一制定，并适用于所有平行链。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4" w:id="4"/>
      <w:r>
        <w:rPr>
          <w:rFonts w:eastAsia="等线" w:ascii="Arial" w:cs="Arial" w:hAnsi="Arial"/>
          <w:b w:val="true"/>
          <w:sz w:val="36"/>
        </w:rPr>
        <w:t>第二章：CSNP V2.0 核心架构与组件</w:t>
      </w:r>
      <w:bookmarkEnd w:id="4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5" w:id="5"/>
      <w:r>
        <w:rPr>
          <w:rFonts w:eastAsia="等线" w:ascii="Arial" w:cs="Arial" w:hAnsi="Arial"/>
          <w:b w:val="true"/>
          <w:sz w:val="32"/>
        </w:rPr>
        <w:t>2.1 系统层级视图（全域集成）</w:t>
      </w:r>
      <w:bookmarkEnd w:id="5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plain text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┌─────────────────────────────────────────────────────────────┐</w:t>
              <w:br/>
              <w:t>│                L2: 宪法治理层                               │</w:t>
              <w:br/>
              <w:t>│  · 定义网络连接规则、传播规则、惩罚条款（跨链适用）        │</w:t>
              <w:br/>
              <w:t>│  · 授权跨链中继节点（CCRN）列表                            │</w:t>
              <w:br/>
              <w:t>└───────────────────────────┬──────────────────────────────────┘</w:t>
              <w:br/>
              <w:t xml:space="preserve">                            │ (宪法哈希与跨链网络参数同步)</w:t>
              <w:br/>
              <w:t>┌───────────────────────────▼──────────────────────────────────┐</w:t>
              <w:br/>
              <w:t>│                L1: 多链协议层                               │</w:t>
              <w:br/>
              <w:t>│  ┌────────────┐  ┌────────────┐  ┌────────────┐             │</w:t>
              <w:br/>
              <w:t>│  │  链A       │  │  链B       │  │  链C       │             │</w:t>
              <w:br/>
              <w:t>│  │ (CBPP共识) │  │ (其他共识) │  │ (碎片化链) │             │</w:t>
              <w:br/>
              <w:t>│  └─────┬──────┘  └─────┬──────┘  └─────┬──────┘             │</w:t>
              <w:br/>
              <w:t>└────────┼────────────────┼────────────────┼────────────────────┘</w:t>
              <w:br/>
              <w:t xml:space="preserve">         │                │                │</w:t>
              <w:br/>
              <w:t xml:space="preserve">         └────────────────┼────────────────┘</w:t>
              <w:br/>
              <w:t xml:space="preserve">                          │ (通过CSNP全域接口)</w:t>
              <w:br/>
              <w:t>┌─────────────────────────▼───────────────────────────────────┐</w:t>
              <w:br/>
              <w:t>│             L0: 宪政结构化网络层 (CSNP V2.0)                │</w:t>
              <w:br/>
              <w:t>│  ├─ 全域身份目录服务 (GIDS)                                 │</w:t>
              <w:br/>
              <w:t>│  ├─ 多链自适应连接管理器 (MA-RCM)                           │</w:t>
              <w:br/>
              <w:t>│  ├─ 资产感知传播引擎 (AA-PE)                                │</w:t>
              <w:br/>
              <w:t>│  ├─ 碎片化交易聚合网络 (FTAN)                               │</w:t>
              <w:br/>
              <w:t>│  └─ 统一跨链审计器 (UCA)                                    │</w:t>
              <w:br/>
              <w:t>└─────────────────────────┬───────────────────────────────────┘</w:t>
              <w:br/>
              <w:t xml:space="preserve">                          │ (物理互联网与专用中继链路)</w:t>
              <w:br/>
              <w:t>┌─────────────────────────▼───────────────────────────────────┐</w:t>
              <w:br/>
              <w:t>│                    物理网络基础设施                          │</w:t>
              <w:br/>
              <w:t>│          · 公共互联网  · 专用中继节点  · 卫星链路(可选)     │</w:t>
              <w:br/>
              <w:t>└────────────────────────────────────────────────────────</w:t>
            </w:r>
            <w:r>
              <w:rPr>
                <w:rFonts w:eastAsia="Consolas" w:ascii="Consolas" w:cs="Consolas" w:hAnsi="Consolas"/>
                <w:sz w:val="22"/>
              </w:rPr>
              <w:t>─────┘</w:t>
            </w:r>
          </w:p>
        </w:tc>
      </w:tr>
    </w:tbl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6" w:id="6"/>
      <w:r>
        <w:rPr>
          <w:rFonts w:eastAsia="等线" w:ascii="Arial" w:cs="Arial" w:hAnsi="Arial"/>
          <w:b w:val="true"/>
          <w:sz w:val="32"/>
        </w:rPr>
        <w:t>2.2 五大核心升级组件</w:t>
      </w:r>
      <w:bookmarkEnd w:id="6"/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7" w:id="7"/>
      <w:r>
        <w:rPr>
          <w:rFonts w:eastAsia="等线" w:ascii="Arial" w:cs="Arial" w:hAnsi="Arial"/>
          <w:b w:val="true"/>
          <w:sz w:val="30"/>
        </w:rPr>
        <w:t>组件一：全域身份目录服务</w:t>
      </w:r>
      <w:bookmarkEnd w:id="7"/>
    </w:p>
    <w:p>
      <w:pPr>
        <w:numPr>
          <w:numId w:val="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多链DID解析</w:t>
      </w:r>
      <w:r>
        <w:rPr>
          <w:rFonts w:eastAsia="等线" w:ascii="Arial" w:cs="Arial" w:hAnsi="Arial"/>
          <w:sz w:val="22"/>
        </w:rPr>
        <w:t>：将DID扩展为`did:nac:&lt;chain_id&gt;:&lt;unique_id&gt;`格式。GIDS维护一个全局映射，将一个根DID与其在各链上的具体地址（公钥）关联。</w:t>
      </w:r>
    </w:p>
    <w:p>
      <w:pPr>
        <w:numPr>
          <w:numId w:val="1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信誉聚合</w:t>
      </w:r>
      <w:r>
        <w:rPr>
          <w:rFonts w:eastAsia="等线" w:ascii="Arial" w:cs="Arial" w:hAnsi="Arial"/>
          <w:sz w:val="22"/>
        </w:rPr>
        <w:t>：收集节点在不同链上的网络行为评分（来自UCA），计算一个</w:t>
      </w:r>
      <w:r>
        <w:rPr>
          <w:rFonts w:eastAsia="等线" w:ascii="Arial" w:cs="Arial" w:hAnsi="Arial"/>
          <w:b w:val="true"/>
          <w:sz w:val="22"/>
        </w:rPr>
        <w:t>全域信誉分</w:t>
      </w:r>
      <w:r>
        <w:rPr>
          <w:rFonts w:eastAsia="等线" w:ascii="Arial" w:cs="Arial" w:hAnsi="Arial"/>
          <w:sz w:val="22"/>
        </w:rPr>
        <w:t>。高信誉节点在跨链路由和传播中拥有更高权重。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8" w:id="8"/>
      <w:r>
        <w:rPr>
          <w:rFonts w:eastAsia="等线" w:ascii="Arial" w:cs="Arial" w:hAnsi="Arial"/>
          <w:b w:val="true"/>
          <w:sz w:val="30"/>
        </w:rPr>
        <w:t>组件二：多链自适应连接管理器</w:t>
      </w:r>
      <w:bookmarkEnd w:id="8"/>
    </w:p>
    <w:p>
      <w:pPr>
        <w:numPr>
          <w:numId w:val="1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连接策略矩阵</w:t>
      </w:r>
      <w:r>
        <w:rPr>
          <w:rFonts w:eastAsia="等线" w:ascii="Arial" w:cs="Arial" w:hAnsi="Arial"/>
          <w:sz w:val="22"/>
        </w:rPr>
        <w:t>：不再为每条链独立维护连接池，而是根据节点的</w:t>
      </w:r>
      <w:r>
        <w:rPr>
          <w:rFonts w:eastAsia="等线" w:ascii="Arial" w:cs="Arial" w:hAnsi="Arial"/>
          <w:b w:val="true"/>
          <w:sz w:val="22"/>
        </w:rPr>
        <w:t>角色</w:t>
      </w:r>
      <w:r>
        <w:rPr>
          <w:rFonts w:eastAsia="等线" w:ascii="Arial" w:cs="Arial" w:hAnsi="Arial"/>
          <w:sz w:val="22"/>
        </w:rPr>
        <w:t>（CBP/全节点/中继）和</w:t>
      </w:r>
      <w:r>
        <w:rPr>
          <w:rFonts w:eastAsia="等线" w:ascii="Arial" w:cs="Arial" w:hAnsi="Arial"/>
          <w:b w:val="true"/>
          <w:sz w:val="22"/>
        </w:rPr>
        <w:t>兴趣链</w:t>
      </w:r>
      <w:r>
        <w:rPr>
          <w:rFonts w:eastAsia="等线" w:ascii="Arial" w:cs="Arial" w:hAnsi="Arial"/>
          <w:sz w:val="22"/>
        </w:rPr>
        <w:t>，动态建立一个跨链优化的连接拓扑。</w:t>
      </w:r>
    </w:p>
    <w:p>
      <w:pPr>
        <w:numPr>
          <w:numId w:val="1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跨链连接发现</w:t>
      </w:r>
      <w:r>
        <w:rPr>
          <w:rFonts w:eastAsia="等线" w:ascii="Arial" w:cs="Arial" w:hAnsi="Arial"/>
          <w:sz w:val="22"/>
        </w:rPr>
        <w:t>：节点可主动发现并连接到其他链的关键节点（如目标链的CBP或中继），为跨链交易预建低延迟通道。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9" w:id="9"/>
      <w:r>
        <w:rPr>
          <w:rFonts w:eastAsia="等线" w:ascii="Arial" w:cs="Arial" w:hAnsi="Arial"/>
          <w:b w:val="true"/>
          <w:sz w:val="30"/>
        </w:rPr>
        <w:t>组件三：资产感知传播引擎</w:t>
      </w:r>
      <w:bookmarkEnd w:id="9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AA-PE是CSNP V2.0的智能核心。它解析交易中涉及的资产GNACS编码（或通过交易元数据获取），并据此选择传播策略。</w:t>
      </w: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2070"/>
        <w:gridCol w:w="2070"/>
        <w:gridCol w:w="2070"/>
        <w:gridCol w:w="2070"/>
      </w:tblGrid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GNACS关键字段组合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传播策略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目标网络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说明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GG=01 (高流动性)</w:t>
            </w:r>
            <w:r>
              <w:rPr>
                <w:rFonts w:eastAsia="等线" w:ascii="Arial" w:cs="Arial" w:hAnsi="Arial"/>
                <w:b w:val="true"/>
                <w:sz w:val="22"/>
              </w:rPr>
              <w:t>CC≤02 (低风险)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即时全网广播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CBP骨干网 + 全节点网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高流动性、低风险资产交易要求最快确认，优先传播。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GG=05 (无公开市场)</w:t>
            </w:r>
            <w:r>
              <w:rPr>
                <w:rFonts w:eastAsia="等线" w:ascii="Arial" w:cs="Arial" w:hAnsi="Arial"/>
                <w:b w:val="true"/>
                <w:sz w:val="22"/>
              </w:rPr>
              <w:t>LL=04/05 (衍生/结构化)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定向推送+订阅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仅限相关方（如OTC交易对手</w:t>
            </w:r>
            <w:r>
              <w:rPr>
                <w:rFonts w:eastAsia="等线" w:ascii="Arial" w:cs="Arial" w:hAnsi="Arial"/>
                <w:sz w:val="22"/>
              </w:rPr>
              <w:t>、做市商）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复杂或场外资产交易，避免</w:t>
            </w:r>
            <w:r>
              <w:rPr>
                <w:rFonts w:eastAsia="等线" w:ascii="Arial" w:cs="Arial" w:hAnsi="Arial"/>
                <w:sz w:val="22"/>
              </w:rPr>
              <w:t>无关节点负载。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OO≠00 (非正常状态)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警报传播通道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监管节点、预言机、相关CBP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资产状态</w:t>
            </w:r>
            <w:r>
              <w:rPr>
                <w:rFonts w:eastAsia="等线" w:ascii="Arial" w:cs="Arial" w:hAnsi="Arial"/>
                <w:sz w:val="22"/>
              </w:rPr>
              <w:t>异常（冻结、损耗），需立即通知监管和关键节点。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HH=02/03 (NFT/多代币标准)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按需请求+缓存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兴趣节点网络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NFT交易可能只需在收藏者、市场</w:t>
            </w:r>
            <w:r>
              <w:rPr>
                <w:rFonts w:eastAsia="等线" w:ascii="Arial" w:cs="Arial" w:hAnsi="Arial"/>
                <w:sz w:val="22"/>
              </w:rPr>
              <w:t>相关节点间传播。</w:t>
            </w:r>
          </w:p>
        </w:tc>
      </w:tr>
    </w:tbl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10" w:id="10"/>
      <w:r>
        <w:rPr>
          <w:rFonts w:eastAsia="等线" w:ascii="Arial" w:cs="Arial" w:hAnsi="Arial"/>
          <w:b w:val="true"/>
          <w:sz w:val="30"/>
        </w:rPr>
        <w:t>组件四：碎片化交易聚合网络</w:t>
      </w:r>
      <w:bookmarkEnd w:id="10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为应对碎片化协议产生的海量小额交易，FTAN引入</w:t>
      </w:r>
      <w:r>
        <w:rPr>
          <w:rFonts w:eastAsia="等线" w:ascii="Arial" w:cs="Arial" w:hAnsi="Arial"/>
          <w:b w:val="true"/>
          <w:sz w:val="22"/>
        </w:rPr>
        <w:t>交易聚合中继</w:t>
      </w:r>
      <w:r>
        <w:rPr>
          <w:rFonts w:eastAsia="等线" w:ascii="Arial" w:cs="Arial" w:hAnsi="Arial"/>
          <w:sz w:val="22"/>
        </w:rPr>
        <w:t>。</w:t>
      </w:r>
    </w:p>
    <w:p>
      <w:pPr>
        <w:numPr>
          <w:numId w:val="1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聚合节点</w:t>
      </w:r>
      <w:r>
        <w:rPr>
          <w:rFonts w:eastAsia="等线" w:ascii="Arial" w:cs="Arial" w:hAnsi="Arial"/>
          <w:sz w:val="22"/>
        </w:rPr>
        <w:t>：专门节点负责收集短时间内同一碎片化资产池（相同`fragmentToken`）的多笔交易。</w:t>
      </w:r>
    </w:p>
    <w:p>
      <w:pPr>
        <w:numPr>
          <w:numId w:val="1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批量签名与传播</w:t>
      </w:r>
      <w:r>
        <w:rPr>
          <w:rFonts w:eastAsia="等线" w:ascii="Arial" w:cs="Arial" w:hAnsi="Arial"/>
          <w:sz w:val="22"/>
        </w:rPr>
        <w:t>：聚合节点将这些交易打包成一个</w:t>
      </w:r>
      <w:r>
        <w:rPr>
          <w:rFonts w:eastAsia="等线" w:ascii="Arial" w:cs="Arial" w:hAnsi="Arial"/>
          <w:b w:val="true"/>
          <w:sz w:val="22"/>
        </w:rPr>
        <w:t>聚合交易包</w:t>
      </w:r>
      <w:r>
        <w:rPr>
          <w:rFonts w:eastAsia="等线" w:ascii="Arial" w:cs="Arial" w:hAnsi="Arial"/>
          <w:sz w:val="22"/>
        </w:rPr>
        <w:t>，使用BLS签名等聚合签名技术，一次性广播。接收节点验证聚合签名后拆包处理。</w:t>
      </w:r>
    </w:p>
    <w:p>
      <w:pPr>
        <w:numPr>
          <w:numId w:val="1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经济激励</w:t>
      </w:r>
      <w:r>
        <w:rPr>
          <w:rFonts w:eastAsia="等线" w:ascii="Arial" w:cs="Arial" w:hAnsi="Arial"/>
          <w:sz w:val="22"/>
        </w:rPr>
        <w:t>：聚合节点可收取微量手续费，鼓励其提供服务。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11" w:id="11"/>
      <w:r>
        <w:rPr>
          <w:rFonts w:eastAsia="等线" w:ascii="Arial" w:cs="Arial" w:hAnsi="Arial"/>
          <w:b w:val="true"/>
          <w:sz w:val="30"/>
        </w:rPr>
        <w:t>组件五：统一跨链审计器</w:t>
      </w:r>
      <w:bookmarkEnd w:id="11"/>
    </w:p>
    <w:p>
      <w:pPr>
        <w:numPr>
          <w:numId w:val="1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跨链行为追踪</w:t>
      </w:r>
      <w:r>
        <w:rPr>
          <w:rFonts w:eastAsia="等线" w:ascii="Arial" w:cs="Arial" w:hAnsi="Arial"/>
          <w:sz w:val="22"/>
        </w:rPr>
        <w:t>：UCA记录节点在所有链上的转发、中继行为，并生成可验证的</w:t>
      </w:r>
      <w:r>
        <w:rPr>
          <w:rFonts w:eastAsia="等线" w:ascii="Arial" w:cs="Arial" w:hAnsi="Arial"/>
          <w:b w:val="true"/>
          <w:sz w:val="22"/>
        </w:rPr>
        <w:t>跨链行为证明</w:t>
      </w:r>
      <w:r>
        <w:rPr>
          <w:rFonts w:eastAsia="等线" w:ascii="Arial" w:cs="Arial" w:hAnsi="Arial"/>
          <w:sz w:val="22"/>
        </w:rPr>
        <w:t>。</w:t>
      </w:r>
    </w:p>
    <w:p>
      <w:pPr>
        <w:numPr>
          <w:numId w:val="1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违规跨链惩罚</w:t>
      </w:r>
      <w:r>
        <w:rPr>
          <w:rFonts w:eastAsia="等线" w:ascii="Arial" w:cs="Arial" w:hAnsi="Arial"/>
          <w:sz w:val="22"/>
        </w:rPr>
        <w:t>：如果在一条链上发现节点恶意审查交易，UCA可提供证据，触发宪法治理下的</w:t>
      </w:r>
      <w:r>
        <w:rPr>
          <w:rFonts w:eastAsia="等线" w:ascii="Arial" w:cs="Arial" w:hAnsi="Arial"/>
          <w:b w:val="true"/>
          <w:sz w:val="22"/>
        </w:rPr>
        <w:t>跨链处罚</w:t>
      </w:r>
      <w:r>
        <w:rPr>
          <w:rFonts w:eastAsia="等线" w:ascii="Arial" w:cs="Arial" w:hAnsi="Arial"/>
          <w:sz w:val="22"/>
        </w:rPr>
        <w:t>（如在其他链上降低其信誉或暂时冻结资格）。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12" w:id="12"/>
      <w:r>
        <w:rPr>
          <w:rFonts w:eastAsia="等线" w:ascii="Arial" w:cs="Arial" w:hAnsi="Arial"/>
          <w:b w:val="true"/>
          <w:sz w:val="36"/>
        </w:rPr>
        <w:t>第三章：关键协议流程详述</w:t>
      </w:r>
      <w:bookmarkEnd w:id="12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3" w:id="13"/>
      <w:r>
        <w:rPr>
          <w:rFonts w:eastAsia="等线" w:ascii="Arial" w:cs="Arial" w:hAnsi="Arial"/>
          <w:b w:val="true"/>
          <w:sz w:val="32"/>
        </w:rPr>
        <w:t>3.1 跨链资产转移的网络流程</w:t>
      </w:r>
      <w:bookmarkEnd w:id="13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假设用户将资产X从</w:t>
      </w:r>
      <w:r>
        <w:rPr>
          <w:rFonts w:eastAsia="等线" w:ascii="Arial" w:cs="Arial" w:hAnsi="Arial"/>
          <w:b w:val="true"/>
          <w:sz w:val="22"/>
        </w:rPr>
        <w:t>链A</w:t>
      </w:r>
      <w:r>
        <w:rPr>
          <w:rFonts w:eastAsia="等线" w:ascii="Arial" w:cs="Arial" w:hAnsi="Arial"/>
          <w:sz w:val="22"/>
        </w:rPr>
        <w:t>转移到</w:t>
      </w:r>
      <w:r>
        <w:rPr>
          <w:rFonts w:eastAsia="等线" w:ascii="Arial" w:cs="Arial" w:hAnsi="Arial"/>
          <w:b w:val="true"/>
          <w:sz w:val="22"/>
        </w:rPr>
        <w:t>链B</w:t>
      </w:r>
      <w:r>
        <w:rPr>
          <w:rFonts w:eastAsia="等线" w:ascii="Arial" w:cs="Arial" w:hAnsi="Arial"/>
          <w:sz w:val="22"/>
        </w:rPr>
        <w:t>：</w:t>
      </w:r>
    </w:p>
    <w:p>
      <w:pPr>
        <w:numPr>
          <w:numId w:val="1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链A锁定</w:t>
      </w:r>
      <w:r>
        <w:rPr>
          <w:rFonts w:eastAsia="等线" w:ascii="Arial" w:cs="Arial" w:hAnsi="Arial"/>
          <w:sz w:val="22"/>
        </w:rPr>
        <w:t>：用户在链A发起锁定交易。链A的AA-PE识别此为跨链交易（目标链ID在交易中），将其标记为</w:t>
      </w:r>
      <w:r>
        <w:rPr>
          <w:rFonts w:eastAsia="等线" w:ascii="Arial" w:cs="Arial" w:hAnsi="Arial"/>
          <w:b w:val="true"/>
          <w:sz w:val="22"/>
        </w:rPr>
        <w:t>高优先级</w:t>
      </w:r>
      <w:r>
        <w:rPr>
          <w:rFonts w:eastAsia="等线" w:ascii="Arial" w:cs="Arial" w:hAnsi="Arial"/>
          <w:sz w:val="22"/>
        </w:rPr>
        <w:t>，并通过</w:t>
      </w:r>
      <w:r>
        <w:rPr>
          <w:rFonts w:eastAsia="等线" w:ascii="Arial" w:cs="Arial" w:hAnsi="Arial"/>
          <w:b w:val="true"/>
          <w:sz w:val="22"/>
        </w:rPr>
        <w:t>跨链中继通道</w:t>
      </w:r>
      <w:r>
        <w:rPr>
          <w:rFonts w:eastAsia="等线" w:ascii="Arial" w:cs="Arial" w:hAnsi="Arial"/>
          <w:sz w:val="22"/>
        </w:rPr>
        <w:t>快速广播给链A的跨链中继节点。</w:t>
      </w:r>
    </w:p>
    <w:p>
      <w:pPr>
        <w:numPr>
          <w:numId w:val="1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跨链中继</w:t>
      </w:r>
      <w:r>
        <w:rPr>
          <w:rFonts w:eastAsia="等线" w:ascii="Arial" w:cs="Arial" w:hAnsi="Arial"/>
          <w:sz w:val="22"/>
        </w:rPr>
        <w:t>：链A的中继节点将消息打包，附带链A的状态证明，通过</w:t>
      </w:r>
      <w:r>
        <w:rPr>
          <w:rFonts w:eastAsia="等线" w:ascii="Arial" w:cs="Arial" w:hAnsi="Arial"/>
          <w:b w:val="true"/>
          <w:sz w:val="22"/>
        </w:rPr>
        <w:t>点对点中继链路</w:t>
      </w:r>
      <w:r>
        <w:rPr>
          <w:rFonts w:eastAsia="等线" w:ascii="Arial" w:cs="Arial" w:hAnsi="Arial"/>
          <w:sz w:val="22"/>
        </w:rPr>
        <w:t>（可能基于libp2p的私有通道）发送给链B的对应中继节点。</w:t>
      </w:r>
    </w:p>
    <w:p>
      <w:pPr>
        <w:numPr>
          <w:numId w:val="2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链B铸造</w:t>
      </w:r>
      <w:r>
        <w:rPr>
          <w:rFonts w:eastAsia="等线" w:ascii="Arial" w:cs="Arial" w:hAnsi="Arial"/>
          <w:sz w:val="22"/>
        </w:rPr>
        <w:t>：链B的中继节点验证证明，将消息提交给链B的AA-PE。AA-PE识别此为跨链铸造请求，广播给链B的CBP节点进行打包。</w:t>
      </w:r>
    </w:p>
    <w:p>
      <w:pPr>
        <w:numPr>
          <w:numId w:val="2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网络优化</w:t>
      </w:r>
      <w:r>
        <w:rPr>
          <w:rFonts w:eastAsia="等线" w:ascii="Arial" w:cs="Arial" w:hAnsi="Arial"/>
          <w:sz w:val="22"/>
        </w:rPr>
        <w:t>：中继节点之间维护持久连接，且GIDS确保它们身份可信。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4" w:id="14"/>
      <w:r>
        <w:rPr>
          <w:rFonts w:eastAsia="等线" w:ascii="Arial" w:cs="Arial" w:hAnsi="Arial"/>
          <w:b w:val="true"/>
          <w:sz w:val="32"/>
        </w:rPr>
        <w:t>3.2 碎片化资产交易的优化流程</w:t>
      </w:r>
      <w:bookmarkEnd w:id="14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用户交易“上海中心大厦”碎片化代币 `Frag_SH_001`：</w:t>
      </w:r>
    </w:p>
    <w:p>
      <w:pPr>
        <w:numPr>
          <w:numId w:val="2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交易提交</w:t>
      </w:r>
      <w:r>
        <w:rPr>
          <w:rFonts w:eastAsia="等线" w:ascii="Arial" w:cs="Arial" w:hAnsi="Arial"/>
          <w:sz w:val="22"/>
        </w:rPr>
        <w:t>：用户发送交易到网络。</w:t>
      </w:r>
    </w:p>
    <w:p>
      <w:pPr>
        <w:numPr>
          <w:numId w:val="2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GNACS识别</w:t>
      </w:r>
      <w:r>
        <w:rPr>
          <w:rFonts w:eastAsia="等线" w:ascii="Arial" w:cs="Arial" w:hAnsi="Arial"/>
          <w:sz w:val="22"/>
        </w:rPr>
        <w:t>：AA-PE识别该交易的代币地址，并通过注册表查询其对应的</w:t>
      </w:r>
      <w:r>
        <w:rPr>
          <w:rFonts w:eastAsia="等线" w:ascii="Arial" w:cs="Arial" w:hAnsi="Arial"/>
          <w:b w:val="true"/>
          <w:sz w:val="22"/>
        </w:rPr>
        <w:t>底层资产GNACS编码</w:t>
      </w:r>
      <w:r>
        <w:rPr>
          <w:rFonts w:eastAsia="等线" w:ascii="Arial" w:cs="Arial" w:hAnsi="Arial"/>
          <w:sz w:val="22"/>
        </w:rPr>
        <w:t>（如`940100...`）。发现其`GG=03`（专业OTC平台），`HH=01`（同质化代币）。</w:t>
      </w:r>
    </w:p>
    <w:p>
      <w:pPr>
        <w:numPr>
          <w:numId w:val="2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路由决策</w:t>
      </w:r>
      <w:r>
        <w:rPr>
          <w:rFonts w:eastAsia="等线" w:ascii="Arial" w:cs="Arial" w:hAnsi="Arial"/>
          <w:sz w:val="22"/>
        </w:rPr>
        <w:t>：结合GNACS信息，AA-PE判定该交易属于</w:t>
      </w:r>
      <w:r>
        <w:rPr>
          <w:rFonts w:eastAsia="等线" w:ascii="Arial" w:cs="Arial" w:hAnsi="Arial"/>
          <w:b w:val="true"/>
          <w:sz w:val="22"/>
        </w:rPr>
        <w:t>碎片化高价值不动产</w:t>
      </w:r>
      <w:r>
        <w:rPr>
          <w:rFonts w:eastAsia="等线" w:ascii="Arial" w:cs="Arial" w:hAnsi="Arial"/>
          <w:sz w:val="22"/>
        </w:rPr>
        <w:t>。策略：优先传播给</w:t>
      </w:r>
      <w:r>
        <w:rPr>
          <w:rFonts w:eastAsia="等线" w:ascii="Arial" w:cs="Arial" w:hAnsi="Arial"/>
          <w:b w:val="true"/>
          <w:sz w:val="22"/>
        </w:rPr>
        <w:t>不动产碎片化做市商节点</w:t>
      </w:r>
      <w:r>
        <w:rPr>
          <w:rFonts w:eastAsia="等线" w:ascii="Arial" w:cs="Arial" w:hAnsi="Arial"/>
          <w:sz w:val="22"/>
        </w:rPr>
        <w:t>（通过订阅列表）和CBP骨干网。</w:t>
      </w:r>
    </w:p>
    <w:p>
      <w:pPr>
        <w:numPr>
          <w:numId w:val="2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可选聚合</w:t>
      </w:r>
      <w:r>
        <w:rPr>
          <w:rFonts w:eastAsia="等线" w:ascii="Arial" w:cs="Arial" w:hAnsi="Arial"/>
          <w:sz w:val="22"/>
        </w:rPr>
        <w:t>：如果该碎片代币交易活跃，FTAN的聚合节点会尝试在毫秒级窗口内聚合多笔交易，批量广播。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5" w:id="15"/>
      <w:r>
        <w:rPr>
          <w:rFonts w:eastAsia="等线" w:ascii="Arial" w:cs="Arial" w:hAnsi="Arial"/>
          <w:b w:val="true"/>
          <w:sz w:val="32"/>
        </w:rPr>
        <w:t>3.3 CBPP共识下的区块传播增强</w:t>
      </w:r>
      <w:bookmarkEnd w:id="15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在CBPP共识中，区块传播速度至关重要。CSNP V2.0提供：</w:t>
      </w:r>
    </w:p>
    <w:p>
      <w:pPr>
        <w:numPr>
          <w:numId w:val="2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CBP专用骨干网</w:t>
      </w:r>
      <w:r>
        <w:rPr>
          <w:rFonts w:eastAsia="等线" w:ascii="Arial" w:cs="Arial" w:hAnsi="Arial"/>
          <w:sz w:val="22"/>
        </w:rPr>
        <w:t>：所有CBP节点间建立并维护一个全网状或近似全网状的</w:t>
      </w:r>
      <w:r>
        <w:rPr>
          <w:rFonts w:eastAsia="等线" w:ascii="Arial" w:cs="Arial" w:hAnsi="Arial"/>
          <w:b w:val="true"/>
          <w:sz w:val="22"/>
        </w:rPr>
        <w:t>低延迟私有通道</w:t>
      </w:r>
      <w:r>
        <w:rPr>
          <w:rFonts w:eastAsia="等线" w:ascii="Arial" w:cs="Arial" w:hAnsi="Arial"/>
          <w:sz w:val="22"/>
        </w:rPr>
        <w:t>（使用WebSocket/TCP长连接）。</w:t>
      </w:r>
    </w:p>
    <w:p>
      <w:pPr>
        <w:numPr>
          <w:numId w:val="2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区块预宣告</w:t>
      </w:r>
      <w:r>
        <w:rPr>
          <w:rFonts w:eastAsia="等线" w:ascii="Arial" w:cs="Arial" w:hAnsi="Arial"/>
          <w:sz w:val="22"/>
        </w:rPr>
        <w:t>：在完整区块传播前，先广播一个轻量的</w:t>
      </w:r>
      <w:r>
        <w:rPr>
          <w:rFonts w:eastAsia="等线" w:ascii="Arial" w:cs="Arial" w:hAnsi="Arial"/>
          <w:b w:val="true"/>
          <w:sz w:val="22"/>
        </w:rPr>
        <w:t>区块头哈希</w:t>
      </w:r>
      <w:r>
        <w:rPr>
          <w:rFonts w:eastAsia="等线" w:ascii="Arial" w:cs="Arial" w:hAnsi="Arial"/>
          <w:sz w:val="22"/>
        </w:rPr>
        <w:t>，节点可据此提前准备验证资源。</w:t>
      </w:r>
    </w:p>
    <w:p>
      <w:pPr>
        <w:numPr>
          <w:numId w:val="2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基于GNACS的优先级打包提示</w:t>
      </w:r>
      <w:r>
        <w:rPr>
          <w:rFonts w:eastAsia="等线" w:ascii="Arial" w:cs="Arial" w:hAnsi="Arial"/>
          <w:sz w:val="22"/>
        </w:rPr>
        <w:t>：AA-PE可向CBP节点提供内存池中交易按GNACS分类的优先级提示，辅助其构建“收据权重”更高的区块。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16" w:id="16"/>
      <w:r>
        <w:rPr>
          <w:rFonts w:eastAsia="等线" w:ascii="Arial" w:cs="Arial" w:hAnsi="Arial"/>
          <w:b w:val="true"/>
          <w:sz w:val="36"/>
        </w:rPr>
        <w:t>第四章：与现有文档架构的深度集成</w:t>
      </w:r>
      <w:bookmarkEnd w:id="16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7" w:id="17"/>
      <w:r>
        <w:rPr>
          <w:rFonts w:eastAsia="等线" w:ascii="Arial" w:cs="Arial" w:hAnsi="Arial"/>
          <w:b w:val="true"/>
          <w:sz w:val="32"/>
        </w:rPr>
        <w:t>4.1 与GNACS编码体系集成</w:t>
      </w:r>
      <w:bookmarkEnd w:id="17"/>
    </w:p>
    <w:p>
      <w:pPr>
        <w:numPr>
          <w:numId w:val="2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网络策略配置表</w:t>
      </w:r>
      <w:r>
        <w:rPr>
          <w:rFonts w:eastAsia="等线" w:ascii="Arial" w:cs="Arial" w:hAnsi="Arial"/>
          <w:sz w:val="22"/>
        </w:rPr>
        <w:t xml:space="preserve">：宪法附录中可包含一个 </w:t>
      </w:r>
      <w:r>
        <w:rPr>
          <w:rFonts w:eastAsia="等线" w:ascii="Arial" w:cs="Arial" w:hAnsi="Arial"/>
          <w:b w:val="true"/>
          <w:sz w:val="22"/>
        </w:rPr>
        <w:t>“GNACS字段-网络策略”映射表</w:t>
      </w:r>
      <w:r>
        <w:rPr>
          <w:rFonts w:eastAsia="等线" w:ascii="Arial" w:cs="Arial" w:hAnsi="Arial"/>
          <w:sz w:val="22"/>
        </w:rPr>
        <w:t>。例如，规定`GG=01`且`CC&lt;=02`的交易必须在`Δt_max=200ms`内广播给所有CBP。</w:t>
      </w:r>
    </w:p>
    <w:p>
      <w:pPr>
        <w:numPr>
          <w:numId w:val="3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编码作为路由标签</w:t>
      </w:r>
      <w:r>
        <w:rPr>
          <w:rFonts w:eastAsia="等线" w:ascii="Arial" w:cs="Arial" w:hAnsi="Arial"/>
          <w:sz w:val="22"/>
        </w:rPr>
        <w:t>：GNACS编码的特定字段（如`II`主权管辖）可作为</w:t>
      </w:r>
      <w:r>
        <w:rPr>
          <w:rFonts w:eastAsia="等线" w:ascii="Arial" w:cs="Arial" w:hAnsi="Arial"/>
          <w:b w:val="true"/>
          <w:sz w:val="22"/>
        </w:rPr>
        <w:t>网络分区标签</w:t>
      </w:r>
      <w:r>
        <w:rPr>
          <w:rFonts w:eastAsia="等线" w:ascii="Arial" w:cs="Arial" w:hAnsi="Arial"/>
          <w:sz w:val="22"/>
        </w:rPr>
        <w:t>。出于合规性，某些区域的节点可能只传播特定法律管辖下的资产交易。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8" w:id="18"/>
      <w:r>
        <w:rPr>
          <w:rFonts w:eastAsia="等线" w:ascii="Arial" w:cs="Arial" w:hAnsi="Arial"/>
          <w:b w:val="true"/>
          <w:sz w:val="32"/>
        </w:rPr>
        <w:t>4.2 与碎片化协议集成</w:t>
      </w:r>
      <w:bookmarkEnd w:id="18"/>
    </w:p>
    <w:p>
      <w:pPr>
        <w:numPr>
          <w:numId w:val="3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碎片化工厂合约注册</w:t>
      </w:r>
      <w:r>
        <w:rPr>
          <w:rFonts w:eastAsia="等线" w:ascii="Arial" w:cs="Arial" w:hAnsi="Arial"/>
          <w:sz w:val="22"/>
        </w:rPr>
        <w:t>：当新的碎片化资产池创建时，工厂合约自动将碎片代币地址与底层资产GNACS编码的映射注册到</w:t>
      </w:r>
      <w:r>
        <w:rPr>
          <w:rFonts w:eastAsia="等线" w:ascii="Arial" w:cs="Arial" w:hAnsi="Arial"/>
          <w:b w:val="true"/>
          <w:sz w:val="22"/>
        </w:rPr>
        <w:t>网络层策略合约</w:t>
      </w:r>
      <w:r>
        <w:rPr>
          <w:rFonts w:eastAsia="等线" w:ascii="Arial" w:cs="Arial" w:hAnsi="Arial"/>
          <w:sz w:val="22"/>
        </w:rPr>
        <w:t>中，供AA-PE查询。</w:t>
      </w:r>
    </w:p>
    <w:p>
      <w:pPr>
        <w:numPr>
          <w:numId w:val="3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流动性提供商节点发现</w:t>
      </w:r>
      <w:r>
        <w:rPr>
          <w:rFonts w:eastAsia="等线" w:ascii="Arial" w:cs="Arial" w:hAnsi="Arial"/>
          <w:sz w:val="22"/>
        </w:rPr>
        <w:t>：FTAN的聚合节点和做市商节点可在GIDS中声明其专注的碎片化资产类别，便于交易定向推送。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9" w:id="19"/>
      <w:r>
        <w:rPr>
          <w:rFonts w:eastAsia="等线" w:ascii="Arial" w:cs="Arial" w:hAnsi="Arial"/>
          <w:b w:val="true"/>
          <w:sz w:val="32"/>
        </w:rPr>
        <w:t>4.3 与“一币多链、多链并行”架构集成</w:t>
      </w:r>
      <w:bookmarkEnd w:id="19"/>
    </w:p>
    <w:p>
      <w:pPr>
        <w:numPr>
          <w:numId w:val="3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链间拓扑感知</w:t>
      </w:r>
      <w:r>
        <w:rPr>
          <w:rFonts w:eastAsia="等线" w:ascii="Arial" w:cs="Arial" w:hAnsi="Arial"/>
          <w:sz w:val="22"/>
        </w:rPr>
        <w:t>：MA-RCM维护一个</w:t>
      </w:r>
      <w:r>
        <w:rPr>
          <w:rFonts w:eastAsia="等线" w:ascii="Arial" w:cs="Arial" w:hAnsi="Arial"/>
          <w:b w:val="true"/>
          <w:sz w:val="22"/>
        </w:rPr>
        <w:t>链间延迟矩阵</w:t>
      </w:r>
      <w:r>
        <w:rPr>
          <w:rFonts w:eastAsia="等线" w:ascii="Arial" w:cs="Arial" w:hAnsi="Arial"/>
          <w:sz w:val="22"/>
        </w:rPr>
        <w:t>，记录从本节点到其他各链关键节点的网络延迟，用于优化跨链消息的路由选择。</w:t>
      </w:r>
    </w:p>
    <w:p>
      <w:pPr>
        <w:numPr>
          <w:numId w:val="3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统一身份下的资源分配</w:t>
      </w:r>
      <w:r>
        <w:rPr>
          <w:rFonts w:eastAsia="等线" w:ascii="Arial" w:cs="Arial" w:hAnsi="Arial"/>
          <w:sz w:val="22"/>
        </w:rPr>
        <w:t>：节点可根据各链的实时交易负载（通过各链AA-PE报告），动态调整带宽和连接资源，优先保障高负载链或CBPP共识链。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20" w:id="20"/>
      <w:r>
        <w:rPr>
          <w:rFonts w:eastAsia="等线" w:ascii="Arial" w:cs="Arial" w:hAnsi="Arial"/>
          <w:b w:val="true"/>
          <w:sz w:val="36"/>
        </w:rPr>
        <w:t>第五章：安全、性能与治理</w:t>
      </w:r>
      <w:bookmarkEnd w:id="20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1" w:id="21"/>
      <w:r>
        <w:rPr>
          <w:rFonts w:eastAsia="等线" w:ascii="Arial" w:cs="Arial" w:hAnsi="Arial"/>
          <w:b w:val="true"/>
          <w:sz w:val="32"/>
        </w:rPr>
        <w:t>5.1 增强的安全模型</w:t>
      </w:r>
      <w:bookmarkEnd w:id="21"/>
    </w:p>
    <w:p>
      <w:pPr>
        <w:numPr>
          <w:numId w:val="3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跨链女巫攻击防御</w:t>
      </w:r>
      <w:r>
        <w:rPr>
          <w:rFonts w:eastAsia="等线" w:ascii="Arial" w:cs="Arial" w:hAnsi="Arial"/>
          <w:sz w:val="22"/>
        </w:rPr>
        <w:t>：攻击者需在每个链上都通过KYC注册有效DID，成本极高。UCA的跨链信誉关联使一个链上的恶行会迅速影响其他链的权限。</w:t>
      </w:r>
    </w:p>
    <w:p>
      <w:pPr>
        <w:numPr>
          <w:numId w:val="3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中继节点叛变防护</w:t>
      </w:r>
      <w:r>
        <w:rPr>
          <w:rFonts w:eastAsia="等线" w:ascii="Arial" w:cs="Arial" w:hAnsi="Arial"/>
          <w:sz w:val="22"/>
        </w:rPr>
        <w:t>：跨链中继节点采用</w:t>
      </w:r>
      <w:r>
        <w:rPr>
          <w:rFonts w:eastAsia="等线" w:ascii="Arial" w:cs="Arial" w:hAnsi="Arial"/>
          <w:b w:val="true"/>
          <w:sz w:val="22"/>
        </w:rPr>
        <w:t>阈值签名</w:t>
      </w:r>
      <w:r>
        <w:rPr>
          <w:rFonts w:eastAsia="等线" w:ascii="Arial" w:cs="Arial" w:hAnsi="Arial"/>
          <w:sz w:val="22"/>
        </w:rPr>
        <w:t>或多签机制。单一中继节点无法篡改或扣押跨链消息。</w:t>
      </w:r>
    </w:p>
    <w:p>
      <w:pPr>
        <w:numPr>
          <w:numId w:val="3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碎片化聚合防欺诈</w:t>
      </w:r>
      <w:r>
        <w:rPr>
          <w:rFonts w:eastAsia="等线" w:ascii="Arial" w:cs="Arial" w:hAnsi="Arial"/>
          <w:sz w:val="22"/>
        </w:rPr>
        <w:t>：聚合节点需抵押保证金。提供无效聚合包将被罚没。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2" w:id="22"/>
      <w:r>
        <w:rPr>
          <w:rFonts w:eastAsia="等线" w:ascii="Arial" w:cs="Arial" w:hAnsi="Arial"/>
          <w:b w:val="true"/>
          <w:sz w:val="32"/>
        </w:rPr>
        <w:t>5.2 预期性能指标</w:t>
      </w:r>
      <w:bookmarkEnd w:id="22"/>
    </w:p>
    <w:p>
      <w:pPr>
        <w:numPr>
          <w:numId w:val="3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跨链延迟</w:t>
      </w:r>
      <w:r>
        <w:rPr>
          <w:rFonts w:eastAsia="等线" w:ascii="Arial" w:cs="Arial" w:hAnsi="Arial"/>
          <w:sz w:val="22"/>
        </w:rPr>
        <w:t>：跨链转移消息端到端延迟 &lt; 2秒（依赖于中继网络质量）。</w:t>
      </w:r>
    </w:p>
    <w:p>
      <w:pPr>
        <w:numPr>
          <w:numId w:val="3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碎片化交易吞吐量</w:t>
      </w:r>
      <w:r>
        <w:rPr>
          <w:rFonts w:eastAsia="等线" w:ascii="Arial" w:cs="Arial" w:hAnsi="Arial"/>
          <w:sz w:val="22"/>
        </w:rPr>
        <w:t xml:space="preserve">：通过FTAN聚合，可将碎片化交易的网络吞吐量提升 </w:t>
      </w:r>
      <w:r>
        <w:rPr>
          <w:rFonts w:eastAsia="等线" w:ascii="Arial" w:cs="Arial" w:hAnsi="Arial"/>
          <w:b w:val="true"/>
          <w:sz w:val="22"/>
        </w:rPr>
        <w:t>5-10倍</w:t>
      </w:r>
      <w:r>
        <w:rPr>
          <w:rFonts w:eastAsia="等线" w:ascii="Arial" w:cs="Arial" w:hAnsi="Arial"/>
          <w:sz w:val="22"/>
        </w:rPr>
        <w:t>。</w:t>
      </w:r>
    </w:p>
    <w:p>
      <w:pPr>
        <w:numPr>
          <w:numId w:val="4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CBPP区块传播</w:t>
      </w:r>
      <w:r>
        <w:rPr>
          <w:rFonts w:eastAsia="等线" w:ascii="Arial" w:cs="Arial" w:hAnsi="Arial"/>
          <w:sz w:val="22"/>
        </w:rPr>
        <w:t>：在CBP骨干网内，1MB区块的全网传播时间 &lt; 100毫秒。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3" w:id="23"/>
      <w:r>
        <w:rPr>
          <w:rFonts w:eastAsia="等线" w:ascii="Arial" w:cs="Arial" w:hAnsi="Arial"/>
          <w:b w:val="true"/>
          <w:sz w:val="32"/>
        </w:rPr>
        <w:t>5.3 网络层宪法治理</w:t>
      </w:r>
      <w:bookmarkEnd w:id="23"/>
    </w:p>
    <w:p>
      <w:pPr>
        <w:numPr>
          <w:numId w:val="4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参数可调</w:t>
      </w:r>
      <w:r>
        <w:rPr>
          <w:rFonts w:eastAsia="等线" w:ascii="Arial" w:cs="Arial" w:hAnsi="Arial"/>
          <w:sz w:val="22"/>
        </w:rPr>
        <w:t>：关键网络参数（如各类传播策略的阈值、FTAN聚合窗口、中继节点列表）通过L2宪法治理投票决定和升级。</w:t>
      </w:r>
    </w:p>
    <w:p>
      <w:pPr>
        <w:numPr>
          <w:numId w:val="4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节点行为诉讼</w:t>
      </w:r>
      <w:r>
        <w:rPr>
          <w:rFonts w:eastAsia="等线" w:ascii="Arial" w:cs="Arial" w:hAnsi="Arial"/>
          <w:sz w:val="22"/>
        </w:rPr>
        <w:t>：节点若认为其他节点（如中继节点不作为）违反网络宪法，可向治理委员会提交UCA提供的证据，发起“网络行为诉讼”。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24" w:id="24"/>
      <w:r>
        <w:rPr>
          <w:rFonts w:eastAsia="等线" w:ascii="Arial" w:cs="Arial" w:hAnsi="Arial"/>
          <w:b w:val="true"/>
          <w:sz w:val="36"/>
        </w:rPr>
        <w:t>第六章：实施路线图</w:t>
      </w:r>
      <w:bookmarkEnd w:id="24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5" w:id="25"/>
      <w:r>
        <w:rPr>
          <w:rFonts w:eastAsia="等线" w:ascii="Arial" w:cs="Arial" w:hAnsi="Arial"/>
          <w:b w:val="true"/>
          <w:sz w:val="32"/>
        </w:rPr>
        <w:t>阶段一：核心升级与单链验证（4个月）</w:t>
      </w:r>
      <w:bookmarkEnd w:id="25"/>
    </w:p>
    <w:p>
      <w:pPr>
        <w:numPr>
          <w:numId w:val="4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开发GIDS、AA-PE原型，集成GNACS查询。</w:t>
      </w:r>
    </w:p>
    <w:p>
      <w:pPr>
        <w:numPr>
          <w:numId w:val="4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在单条测试链（运行CBPP）上部署CSNP V2.0，验证资产感知传播逻辑。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6" w:id="26"/>
      <w:r>
        <w:rPr>
          <w:rFonts w:eastAsia="等线" w:ascii="Arial" w:cs="Arial" w:hAnsi="Arial"/>
          <w:b w:val="true"/>
          <w:sz w:val="32"/>
        </w:rPr>
        <w:t>阶段二：跨链与碎片化集成（6个月）</w:t>
      </w:r>
      <w:bookmarkEnd w:id="26"/>
    </w:p>
    <w:p>
      <w:pPr>
        <w:numPr>
          <w:numId w:val="4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实现MA-RCM和基础跨链中继。</w:t>
      </w:r>
    </w:p>
    <w:p>
      <w:pPr>
        <w:numPr>
          <w:numId w:val="4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部署FTAN并与碎片化协议测试网集成，测试聚合传播效果。</w:t>
      </w:r>
    </w:p>
    <w:p>
      <w:pPr>
        <w:numPr>
          <w:numId w:val="4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建立两条测试链，测试跨链资产转移。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7" w:id="27"/>
      <w:r>
        <w:rPr>
          <w:rFonts w:eastAsia="等线" w:ascii="Arial" w:cs="Arial" w:hAnsi="Arial"/>
          <w:b w:val="true"/>
          <w:sz w:val="32"/>
        </w:rPr>
        <w:t>阶段三：全域压力测试与治理集成（8个月）</w:t>
      </w:r>
      <w:bookmarkEnd w:id="27"/>
    </w:p>
    <w:p>
      <w:pPr>
        <w:numPr>
          <w:numId w:val="4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部署包含3-5条平行链的测试网络，模拟真实负载。</w:t>
      </w:r>
    </w:p>
    <w:p>
      <w:pPr>
        <w:numPr>
          <w:numId w:val="4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引入UCA和链上治理模块，测试跨链审计和违规处理流程。</w:t>
      </w:r>
    </w:p>
    <w:p>
      <w:pPr>
        <w:numPr>
          <w:numId w:val="5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进行大规模网络攻击模拟（女巫、DDoS、分区攻击）。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8" w:id="28"/>
      <w:r>
        <w:rPr>
          <w:rFonts w:eastAsia="等线" w:ascii="Arial" w:cs="Arial" w:hAnsi="Arial"/>
          <w:b w:val="true"/>
          <w:sz w:val="32"/>
        </w:rPr>
        <w:t>阶段四：主网分阶段部署（12个月）</w:t>
      </w:r>
      <w:bookmarkEnd w:id="28"/>
    </w:p>
    <w:p>
      <w:pPr>
        <w:numPr>
          <w:numId w:val="5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首先在NAC根链部署CSNP V2.0，替换旧网络层。</w:t>
      </w:r>
    </w:p>
    <w:p>
      <w:pPr>
        <w:numPr>
          <w:numId w:val="5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逐步推动各应用链、侧链升级兼容CSNP V2.0。</w:t>
      </w:r>
    </w:p>
    <w:p>
      <w:pPr>
        <w:numPr>
          <w:numId w:val="5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最终实现全网在统一宪政结构化网络下运行。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29" w:id="29"/>
      <w:r>
        <w:rPr>
          <w:rFonts w:eastAsia="等线" w:ascii="Arial" w:cs="Arial" w:hAnsi="Arial"/>
          <w:b w:val="true"/>
          <w:sz w:val="36"/>
        </w:rPr>
        <w:t>结论</w:t>
      </w:r>
      <w:bookmarkEnd w:id="29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CSNP V2.0 是宪政理念从共识层向网络层乃至整个多链生态的全面胜利延伸。它将GNASC编码的“资产基因”、碎片化协议的“细胞分裂”、多链架构的“器官协同”，通过一个</w:t>
      </w:r>
      <w:r>
        <w:rPr>
          <w:rFonts w:eastAsia="等线" w:ascii="Arial" w:cs="Arial" w:hAnsi="Arial"/>
          <w:b w:val="true"/>
          <w:sz w:val="22"/>
        </w:rPr>
        <w:t>法治化、智能化、统一化的网络神经系统</w:t>
      </w:r>
      <w:r>
        <w:rPr>
          <w:rFonts w:eastAsia="等线" w:ascii="Arial" w:cs="Arial" w:hAnsi="Arial"/>
          <w:sz w:val="22"/>
        </w:rPr>
        <w:t>完美整合。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最终愿景</w:t>
      </w:r>
      <w:r>
        <w:rPr>
          <w:rFonts w:eastAsia="等线" w:ascii="Arial" w:cs="Arial" w:hAnsi="Arial"/>
          <w:sz w:val="22"/>
        </w:rPr>
        <w:t>：在NAC宇宙中，任何一笔交易——无论它发生在哪条链、涉及何种资产——其传播路径、速度和优先级，都不再由随机连接或资本力量决定，而是由一部公正透明的</w:t>
      </w:r>
      <w:r>
        <w:rPr>
          <w:rFonts w:eastAsia="等线" w:ascii="Arial" w:cs="Arial" w:hAnsi="Arial"/>
          <w:b w:val="true"/>
          <w:sz w:val="22"/>
        </w:rPr>
        <w:t>网络宪法</w:t>
      </w:r>
      <w:r>
        <w:rPr>
          <w:rFonts w:eastAsia="等线" w:ascii="Arial" w:cs="Arial" w:hAnsi="Arial"/>
          <w:sz w:val="22"/>
        </w:rPr>
        <w:t>和资产自身的</w:t>
      </w:r>
      <w:r>
        <w:rPr>
          <w:rFonts w:eastAsia="等线" w:ascii="Arial" w:cs="Arial" w:hAnsi="Arial"/>
          <w:b w:val="true"/>
          <w:sz w:val="22"/>
        </w:rPr>
        <w:t>客观属性</w:t>
      </w:r>
      <w:r>
        <w:rPr>
          <w:rFonts w:eastAsia="等线" w:ascii="Arial" w:cs="Arial" w:hAnsi="Arial"/>
          <w:sz w:val="22"/>
        </w:rPr>
        <w:t>（GNACS编码）共同决定。这实现了从“网络的自由”到“网络的法度下的自由”的终极进化，为万亿级RWA资产安全、高效、合规的全球流通铺设了无可替代的信息高速公路。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文档制定方</w:t>
      </w:r>
      <w:r>
        <w:rPr>
          <w:rFonts w:eastAsia="等线" w:ascii="Arial" w:cs="Arial" w:hAnsi="Arial"/>
          <w:sz w:val="22"/>
        </w:rPr>
        <w:t>：NAC协议标准委员会 - 网络协议工作组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版本</w:t>
      </w:r>
      <w:r>
        <w:rPr>
          <w:rFonts w:eastAsia="等线" w:ascii="Arial" w:cs="Arial" w:hAnsi="Arial"/>
          <w:sz w:val="22"/>
        </w:rPr>
        <w:t>：V2.0 (全域集成版)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关联协议</w:t>
      </w:r>
      <w:r>
        <w:rPr>
          <w:rFonts w:eastAsia="等线" w:ascii="Arial" w:cs="Arial" w:hAnsi="Arial"/>
          <w:sz w:val="22"/>
        </w:rPr>
        <w:t>：CBPP, GNACS Pro V2.0, NAC碎片化协议, NAC多链架构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|（注：文档部分内容可能由 AI 生成)</w:t>
      </w:r>
    </w:p>
    <w:sectPr>
      <w:footerReference w:type="default" r:id="rId3"/>
      <w:headerReference w:type="default" r:id="rId5"/>
      <w:pgSz w:orient="portrait" w:h="16840" w:w="11905"/>
    </w:sectPr>
  </w:body>
</w:document>
</file>

<file path=word/footer1.xml><?xml version="1.0" encoding="utf-8"?>
<w:ftr xmlns:w="http://schemas.openxmlformats.org/wordprocessingml/2006/main">
  <w:p/>
</w:ftr>
</file>

<file path=word/header1.xml><?xml version="1.0" encoding="utf-8"?>
<w:hdr xmlns:w="http://schemas.openxmlformats.org/wordprocessingml/2006/main">
  <w:p/>
</w:hdr>
</file>

<file path=word/numbering.xml><?xml version="1.0" encoding="utf-8"?>
<w:numbering xmlns:w="http://schemas.openxmlformats.org/wordprocessingml/2006/main">
  <w:abstractNum w:abstractNumId="3100951">
    <w:lvl>
      <w:start w:val="1"/>
      <w:numFmt w:val="decimal"/>
      <w:suff w:val="tab"/>
      <w:lvlText w:val="%1."/>
      <w:rPr>
        <w:color w:val="3370ff"/>
      </w:rPr>
    </w:lvl>
  </w:abstractNum>
  <w:abstractNum w:abstractNumId="3100952">
    <w:lvl>
      <w:start w:val="2"/>
      <w:numFmt w:val="decimal"/>
      <w:suff w:val="tab"/>
      <w:lvlText w:val="%1."/>
      <w:rPr>
        <w:color w:val="3370ff"/>
      </w:rPr>
    </w:lvl>
  </w:abstractNum>
  <w:abstractNum w:abstractNumId="3100953">
    <w:lvl>
      <w:start w:val="3"/>
      <w:numFmt w:val="decimal"/>
      <w:suff w:val="tab"/>
      <w:lvlText w:val="%1."/>
      <w:rPr>
        <w:color w:val="3370ff"/>
      </w:rPr>
    </w:lvl>
  </w:abstractNum>
  <w:abstractNum w:abstractNumId="3100954">
    <w:lvl>
      <w:start w:val="4"/>
      <w:numFmt w:val="decimal"/>
      <w:suff w:val="tab"/>
      <w:lvlText w:val="%1."/>
      <w:rPr>
        <w:color w:val="3370ff"/>
      </w:rPr>
    </w:lvl>
  </w:abstractNum>
  <w:abstractNum w:abstractNumId="3100955">
    <w:lvl>
      <w:start w:val="1"/>
      <w:numFmt w:val="decimal"/>
      <w:suff w:val="tab"/>
      <w:lvlText w:val="%1."/>
      <w:rPr>
        <w:color w:val="3370ff"/>
      </w:rPr>
    </w:lvl>
  </w:abstractNum>
  <w:abstractNum w:abstractNumId="3100956">
    <w:lvl>
      <w:start w:val="2"/>
      <w:numFmt w:val="decimal"/>
      <w:suff w:val="tab"/>
      <w:lvlText w:val="%1."/>
      <w:rPr>
        <w:color w:val="3370ff"/>
      </w:rPr>
    </w:lvl>
  </w:abstractNum>
  <w:abstractNum w:abstractNumId="3100957">
    <w:lvl>
      <w:start w:val="3"/>
      <w:numFmt w:val="decimal"/>
      <w:suff w:val="tab"/>
      <w:lvlText w:val="%1."/>
      <w:rPr>
        <w:color w:val="3370ff"/>
      </w:rPr>
    </w:lvl>
  </w:abstractNum>
  <w:abstractNum w:abstractNumId="3100958">
    <w:lvl>
      <w:start w:val="4"/>
      <w:numFmt w:val="decimal"/>
      <w:suff w:val="tab"/>
      <w:lvlText w:val="%1."/>
      <w:rPr>
        <w:color w:val="3370ff"/>
      </w:rPr>
    </w:lvl>
  </w:abstractNum>
  <w:abstractNum w:abstractNumId="3100959">
    <w:lvl>
      <w:numFmt w:val="bullet"/>
      <w:suff w:val="tab"/>
      <w:lvlText w:val="•"/>
      <w:rPr>
        <w:color w:val="3370ff"/>
      </w:rPr>
    </w:lvl>
  </w:abstractNum>
  <w:abstractNum w:abstractNumId="3100960">
    <w:lvl>
      <w:numFmt w:val="bullet"/>
      <w:suff w:val="tab"/>
      <w:lvlText w:val="•"/>
      <w:rPr>
        <w:color w:val="3370ff"/>
      </w:rPr>
    </w:lvl>
  </w:abstractNum>
  <w:abstractNum w:abstractNumId="3100961">
    <w:lvl>
      <w:numFmt w:val="bullet"/>
      <w:suff w:val="tab"/>
      <w:lvlText w:val="•"/>
      <w:rPr>
        <w:color w:val="3370ff"/>
      </w:rPr>
    </w:lvl>
  </w:abstractNum>
  <w:abstractNum w:abstractNumId="3100962">
    <w:lvl>
      <w:numFmt w:val="bullet"/>
      <w:suff w:val="tab"/>
      <w:lvlText w:val="•"/>
      <w:rPr>
        <w:color w:val="3370ff"/>
      </w:rPr>
    </w:lvl>
  </w:abstractNum>
  <w:abstractNum w:abstractNumId="3100963">
    <w:lvl>
      <w:numFmt w:val="bullet"/>
      <w:suff w:val="tab"/>
      <w:lvlText w:val="•"/>
      <w:rPr>
        <w:color w:val="3370ff"/>
      </w:rPr>
    </w:lvl>
  </w:abstractNum>
  <w:abstractNum w:abstractNumId="3100964">
    <w:lvl>
      <w:numFmt w:val="bullet"/>
      <w:suff w:val="tab"/>
      <w:lvlText w:val="•"/>
      <w:rPr>
        <w:color w:val="3370ff"/>
      </w:rPr>
    </w:lvl>
  </w:abstractNum>
  <w:abstractNum w:abstractNumId="3100965">
    <w:lvl>
      <w:numFmt w:val="bullet"/>
      <w:suff w:val="tab"/>
      <w:lvlText w:val="•"/>
      <w:rPr>
        <w:color w:val="3370ff"/>
      </w:rPr>
    </w:lvl>
  </w:abstractNum>
  <w:abstractNum w:abstractNumId="3100966">
    <w:lvl>
      <w:numFmt w:val="bullet"/>
      <w:suff w:val="tab"/>
      <w:lvlText w:val="•"/>
      <w:rPr>
        <w:color w:val="3370ff"/>
      </w:rPr>
    </w:lvl>
  </w:abstractNum>
  <w:abstractNum w:abstractNumId="3100967">
    <w:lvl>
      <w:numFmt w:val="bullet"/>
      <w:suff w:val="tab"/>
      <w:lvlText w:val="•"/>
      <w:rPr>
        <w:color w:val="3370ff"/>
      </w:rPr>
    </w:lvl>
  </w:abstractNum>
  <w:abstractNum w:abstractNumId="3100968">
    <w:lvl>
      <w:start w:val="1"/>
      <w:numFmt w:val="decimal"/>
      <w:suff w:val="tab"/>
      <w:lvlText w:val="%1."/>
      <w:rPr>
        <w:color w:val="3370ff"/>
      </w:rPr>
    </w:lvl>
  </w:abstractNum>
  <w:abstractNum w:abstractNumId="3100969">
    <w:lvl>
      <w:start w:val="2"/>
      <w:numFmt w:val="decimal"/>
      <w:suff w:val="tab"/>
      <w:lvlText w:val="%1."/>
      <w:rPr>
        <w:color w:val="3370ff"/>
      </w:rPr>
    </w:lvl>
  </w:abstractNum>
  <w:abstractNum w:abstractNumId="3100970">
    <w:lvl>
      <w:start w:val="3"/>
      <w:numFmt w:val="decimal"/>
      <w:suff w:val="tab"/>
      <w:lvlText w:val="%1."/>
      <w:rPr>
        <w:color w:val="3370ff"/>
      </w:rPr>
    </w:lvl>
  </w:abstractNum>
  <w:abstractNum w:abstractNumId="3100971">
    <w:lvl>
      <w:start w:val="4"/>
      <w:numFmt w:val="decimal"/>
      <w:suff w:val="tab"/>
      <w:lvlText w:val="%1."/>
      <w:rPr>
        <w:color w:val="3370ff"/>
      </w:rPr>
    </w:lvl>
  </w:abstractNum>
  <w:abstractNum w:abstractNumId="3100972">
    <w:lvl>
      <w:start w:val="1"/>
      <w:numFmt w:val="decimal"/>
      <w:suff w:val="tab"/>
      <w:lvlText w:val="%1."/>
      <w:rPr>
        <w:color w:val="3370ff"/>
      </w:rPr>
    </w:lvl>
  </w:abstractNum>
  <w:abstractNum w:abstractNumId="3100973">
    <w:lvl>
      <w:start w:val="2"/>
      <w:numFmt w:val="decimal"/>
      <w:suff w:val="tab"/>
      <w:lvlText w:val="%1."/>
      <w:rPr>
        <w:color w:val="3370ff"/>
      </w:rPr>
    </w:lvl>
  </w:abstractNum>
  <w:abstractNum w:abstractNumId="3100974">
    <w:lvl>
      <w:start w:val="3"/>
      <w:numFmt w:val="decimal"/>
      <w:suff w:val="tab"/>
      <w:lvlText w:val="%1."/>
      <w:rPr>
        <w:color w:val="3370ff"/>
      </w:rPr>
    </w:lvl>
  </w:abstractNum>
  <w:abstractNum w:abstractNumId="3100975">
    <w:lvl>
      <w:start w:val="4"/>
      <w:numFmt w:val="decimal"/>
      <w:suff w:val="tab"/>
      <w:lvlText w:val="%1."/>
      <w:rPr>
        <w:color w:val="3370ff"/>
      </w:rPr>
    </w:lvl>
  </w:abstractNum>
  <w:abstractNum w:abstractNumId="3100976">
    <w:lvl>
      <w:numFmt w:val="bullet"/>
      <w:suff w:val="tab"/>
      <w:lvlText w:val="•"/>
      <w:rPr>
        <w:color w:val="3370ff"/>
      </w:rPr>
    </w:lvl>
  </w:abstractNum>
  <w:abstractNum w:abstractNumId="3100977">
    <w:lvl>
      <w:numFmt w:val="bullet"/>
      <w:suff w:val="tab"/>
      <w:lvlText w:val="•"/>
      <w:rPr>
        <w:color w:val="3370ff"/>
      </w:rPr>
    </w:lvl>
  </w:abstractNum>
  <w:abstractNum w:abstractNumId="3100978">
    <w:lvl>
      <w:numFmt w:val="bullet"/>
      <w:suff w:val="tab"/>
      <w:lvlText w:val="•"/>
      <w:rPr>
        <w:color w:val="3370ff"/>
      </w:rPr>
    </w:lvl>
  </w:abstractNum>
  <w:abstractNum w:abstractNumId="3100979">
    <w:lvl>
      <w:numFmt w:val="bullet"/>
      <w:suff w:val="tab"/>
      <w:lvlText w:val="•"/>
      <w:rPr>
        <w:color w:val="3370ff"/>
      </w:rPr>
    </w:lvl>
  </w:abstractNum>
  <w:abstractNum w:abstractNumId="3100980">
    <w:lvl>
      <w:numFmt w:val="bullet"/>
      <w:suff w:val="tab"/>
      <w:lvlText w:val="•"/>
      <w:rPr>
        <w:color w:val="3370ff"/>
      </w:rPr>
    </w:lvl>
  </w:abstractNum>
  <w:abstractNum w:abstractNumId="3100981">
    <w:lvl>
      <w:numFmt w:val="bullet"/>
      <w:suff w:val="tab"/>
      <w:lvlText w:val="•"/>
      <w:rPr>
        <w:color w:val="3370ff"/>
      </w:rPr>
    </w:lvl>
  </w:abstractNum>
  <w:abstractNum w:abstractNumId="3100982">
    <w:lvl>
      <w:numFmt w:val="bullet"/>
      <w:suff w:val="tab"/>
      <w:lvlText w:val="•"/>
      <w:rPr>
        <w:color w:val="3370ff"/>
      </w:rPr>
    </w:lvl>
  </w:abstractNum>
  <w:abstractNum w:abstractNumId="3100983">
    <w:lvl>
      <w:numFmt w:val="bullet"/>
      <w:suff w:val="tab"/>
      <w:lvlText w:val="•"/>
      <w:rPr>
        <w:color w:val="3370ff"/>
      </w:rPr>
    </w:lvl>
  </w:abstractNum>
  <w:abstractNum w:abstractNumId="3100984">
    <w:lvl>
      <w:numFmt w:val="bullet"/>
      <w:suff w:val="tab"/>
      <w:lvlText w:val="•"/>
      <w:rPr>
        <w:color w:val="3370ff"/>
      </w:rPr>
    </w:lvl>
  </w:abstractNum>
  <w:abstractNum w:abstractNumId="3100985">
    <w:lvl>
      <w:numFmt w:val="bullet"/>
      <w:suff w:val="tab"/>
      <w:lvlText w:val="•"/>
      <w:rPr>
        <w:color w:val="3370ff"/>
      </w:rPr>
    </w:lvl>
  </w:abstractNum>
  <w:abstractNum w:abstractNumId="3100986">
    <w:lvl>
      <w:numFmt w:val="bullet"/>
      <w:suff w:val="tab"/>
      <w:lvlText w:val="•"/>
      <w:rPr>
        <w:color w:val="3370ff"/>
      </w:rPr>
    </w:lvl>
  </w:abstractNum>
  <w:abstractNum w:abstractNumId="3100987">
    <w:lvl>
      <w:numFmt w:val="bullet"/>
      <w:suff w:val="tab"/>
      <w:lvlText w:val="•"/>
      <w:rPr>
        <w:color w:val="3370ff"/>
      </w:rPr>
    </w:lvl>
  </w:abstractNum>
  <w:abstractNum w:abstractNumId="3100988">
    <w:lvl>
      <w:numFmt w:val="bullet"/>
      <w:suff w:val="tab"/>
      <w:lvlText w:val="•"/>
      <w:rPr>
        <w:color w:val="3370ff"/>
      </w:rPr>
    </w:lvl>
  </w:abstractNum>
  <w:abstractNum w:abstractNumId="3100989">
    <w:lvl>
      <w:numFmt w:val="bullet"/>
      <w:suff w:val="tab"/>
      <w:lvlText w:val="•"/>
      <w:rPr>
        <w:color w:val="3370ff"/>
      </w:rPr>
    </w:lvl>
  </w:abstractNum>
  <w:abstractNum w:abstractNumId="3100990">
    <w:lvl>
      <w:numFmt w:val="bullet"/>
      <w:suff w:val="tab"/>
      <w:lvlText w:val="•"/>
      <w:rPr>
        <w:color w:val="3370ff"/>
      </w:rPr>
    </w:lvl>
  </w:abstractNum>
  <w:abstractNum w:abstractNumId="3100991">
    <w:lvl>
      <w:numFmt w:val="bullet"/>
      <w:suff w:val="tab"/>
      <w:lvlText w:val="•"/>
      <w:rPr>
        <w:color w:val="3370ff"/>
      </w:rPr>
    </w:lvl>
  </w:abstractNum>
  <w:abstractNum w:abstractNumId="3100992">
    <w:lvl>
      <w:numFmt w:val="bullet"/>
      <w:suff w:val="tab"/>
      <w:lvlText w:val="•"/>
      <w:rPr>
        <w:color w:val="3370ff"/>
      </w:rPr>
    </w:lvl>
  </w:abstractNum>
  <w:abstractNum w:abstractNumId="3100993">
    <w:lvl>
      <w:numFmt w:val="bullet"/>
      <w:suff w:val="tab"/>
      <w:lvlText w:val="•"/>
      <w:rPr>
        <w:color w:val="3370ff"/>
      </w:rPr>
    </w:lvl>
  </w:abstractNum>
  <w:abstractNum w:abstractNumId="3100994">
    <w:lvl>
      <w:numFmt w:val="bullet"/>
      <w:suff w:val="tab"/>
      <w:lvlText w:val="•"/>
      <w:rPr>
        <w:color w:val="3370ff"/>
      </w:rPr>
    </w:lvl>
  </w:abstractNum>
  <w:abstractNum w:abstractNumId="3100995">
    <w:lvl>
      <w:numFmt w:val="bullet"/>
      <w:suff w:val="tab"/>
      <w:lvlText w:val="•"/>
      <w:rPr>
        <w:color w:val="3370ff"/>
      </w:rPr>
    </w:lvl>
  </w:abstractNum>
  <w:abstractNum w:abstractNumId="3100996">
    <w:lvl>
      <w:numFmt w:val="bullet"/>
      <w:suff w:val="tab"/>
      <w:lvlText w:val="•"/>
      <w:rPr>
        <w:color w:val="3370ff"/>
      </w:rPr>
    </w:lvl>
  </w:abstractNum>
  <w:abstractNum w:abstractNumId="3100997">
    <w:lvl>
      <w:numFmt w:val="bullet"/>
      <w:suff w:val="tab"/>
      <w:lvlText w:val="•"/>
      <w:rPr>
        <w:color w:val="3370ff"/>
      </w:rPr>
    </w:lvl>
  </w:abstractNum>
  <w:abstractNum w:abstractNumId="3100998">
    <w:lvl>
      <w:numFmt w:val="bullet"/>
      <w:suff w:val="tab"/>
      <w:lvlText w:val="•"/>
      <w:rPr>
        <w:color w:val="3370ff"/>
      </w:rPr>
    </w:lvl>
  </w:abstractNum>
  <w:abstractNum w:abstractNumId="3100999">
    <w:lvl>
      <w:numFmt w:val="bullet"/>
      <w:suff w:val="tab"/>
      <w:lvlText w:val="•"/>
      <w:rPr>
        <w:color w:val="3370ff"/>
      </w:rPr>
    </w:lvl>
  </w:abstractNum>
  <w:abstractNum w:abstractNumId="3101000">
    <w:lvl>
      <w:numFmt w:val="bullet"/>
      <w:suff w:val="tab"/>
      <w:lvlText w:val="•"/>
      <w:rPr>
        <w:color w:val="3370ff"/>
      </w:rPr>
    </w:lvl>
  </w:abstractNum>
  <w:abstractNum w:abstractNumId="3101001">
    <w:lvl>
      <w:numFmt w:val="bullet"/>
      <w:suff w:val="tab"/>
      <w:lvlText w:val="•"/>
      <w:rPr>
        <w:color w:val="3370ff"/>
      </w:rPr>
    </w:lvl>
  </w:abstractNum>
  <w:abstractNum w:abstractNumId="3101002">
    <w:lvl>
      <w:numFmt w:val="bullet"/>
      <w:suff w:val="tab"/>
      <w:lvlText w:val="•"/>
      <w:rPr>
        <w:color w:val="3370ff"/>
      </w:rPr>
    </w:lvl>
  </w:abstractNum>
  <w:abstractNum w:abstractNumId="3101003">
    <w:lvl>
      <w:numFmt w:val="bullet"/>
      <w:suff w:val="tab"/>
      <w:lvlText w:val="•"/>
      <w:rPr>
        <w:color w:val="3370ff"/>
      </w:rPr>
    </w:lvl>
  </w:abstractNum>
  <w:num w:numId="1">
    <w:abstractNumId w:val="3100951"/>
  </w:num>
  <w:num w:numId="2">
    <w:abstractNumId w:val="3100952"/>
  </w:num>
  <w:num w:numId="3">
    <w:abstractNumId w:val="3100953"/>
  </w:num>
  <w:num w:numId="4">
    <w:abstractNumId w:val="3100954"/>
  </w:num>
  <w:num w:numId="5">
    <w:abstractNumId w:val="3100955"/>
  </w:num>
  <w:num w:numId="6">
    <w:abstractNumId w:val="3100956"/>
  </w:num>
  <w:num w:numId="7">
    <w:abstractNumId w:val="3100957"/>
  </w:num>
  <w:num w:numId="8">
    <w:abstractNumId w:val="3100958"/>
  </w:num>
  <w:num w:numId="9">
    <w:abstractNumId w:val="3100959"/>
  </w:num>
  <w:num w:numId="10">
    <w:abstractNumId w:val="3100960"/>
  </w:num>
  <w:num w:numId="11">
    <w:abstractNumId w:val="3100961"/>
  </w:num>
  <w:num w:numId="12">
    <w:abstractNumId w:val="3100962"/>
  </w:num>
  <w:num w:numId="13">
    <w:abstractNumId w:val="3100963"/>
  </w:num>
  <w:num w:numId="14">
    <w:abstractNumId w:val="3100964"/>
  </w:num>
  <w:num w:numId="15">
    <w:abstractNumId w:val="3100965"/>
  </w:num>
  <w:num w:numId="16">
    <w:abstractNumId w:val="3100966"/>
  </w:num>
  <w:num w:numId="17">
    <w:abstractNumId w:val="3100967"/>
  </w:num>
  <w:num w:numId="18">
    <w:abstractNumId w:val="3100968"/>
  </w:num>
  <w:num w:numId="19">
    <w:abstractNumId w:val="3100969"/>
  </w:num>
  <w:num w:numId="20">
    <w:abstractNumId w:val="3100970"/>
  </w:num>
  <w:num w:numId="21">
    <w:abstractNumId w:val="3100971"/>
  </w:num>
  <w:num w:numId="22">
    <w:abstractNumId w:val="3100972"/>
  </w:num>
  <w:num w:numId="23">
    <w:abstractNumId w:val="3100973"/>
  </w:num>
  <w:num w:numId="24">
    <w:abstractNumId w:val="3100974"/>
  </w:num>
  <w:num w:numId="25">
    <w:abstractNumId w:val="3100975"/>
  </w:num>
  <w:num w:numId="26">
    <w:abstractNumId w:val="3100976"/>
  </w:num>
  <w:num w:numId="27">
    <w:abstractNumId w:val="3100977"/>
  </w:num>
  <w:num w:numId="28">
    <w:abstractNumId w:val="3100978"/>
  </w:num>
  <w:num w:numId="29">
    <w:abstractNumId w:val="3100979"/>
  </w:num>
  <w:num w:numId="30">
    <w:abstractNumId w:val="3100980"/>
  </w:num>
  <w:num w:numId="31">
    <w:abstractNumId w:val="3100981"/>
  </w:num>
  <w:num w:numId="32">
    <w:abstractNumId w:val="3100982"/>
  </w:num>
  <w:num w:numId="33">
    <w:abstractNumId w:val="3100983"/>
  </w:num>
  <w:num w:numId="34">
    <w:abstractNumId w:val="3100984"/>
  </w:num>
  <w:num w:numId="35">
    <w:abstractNumId w:val="3100985"/>
  </w:num>
  <w:num w:numId="36">
    <w:abstractNumId w:val="3100986"/>
  </w:num>
  <w:num w:numId="37">
    <w:abstractNumId w:val="3100987"/>
  </w:num>
  <w:num w:numId="38">
    <w:abstractNumId w:val="3100988"/>
  </w:num>
  <w:num w:numId="39">
    <w:abstractNumId w:val="3100989"/>
  </w:num>
  <w:num w:numId="40">
    <w:abstractNumId w:val="3100990"/>
  </w:num>
  <w:num w:numId="41">
    <w:abstractNumId w:val="3100991"/>
  </w:num>
  <w:num w:numId="42">
    <w:abstractNumId w:val="3100992"/>
  </w:num>
  <w:num w:numId="43">
    <w:abstractNumId w:val="3100993"/>
  </w:num>
  <w:num w:numId="44">
    <w:abstractNumId w:val="3100994"/>
  </w:num>
  <w:num w:numId="45">
    <w:abstractNumId w:val="3100995"/>
  </w:num>
  <w:num w:numId="46">
    <w:abstractNumId w:val="3100996"/>
  </w:num>
  <w:num w:numId="47">
    <w:abstractNumId w:val="3100997"/>
  </w:num>
  <w:num w:numId="48">
    <w:abstractNumId w:val="3100998"/>
  </w:num>
  <w:num w:numId="49">
    <w:abstractNumId w:val="3100999"/>
  </w:num>
  <w:num w:numId="50">
    <w:abstractNumId w:val="3101000"/>
  </w:num>
  <w:num w:numId="51">
    <w:abstractNumId w:val="3101001"/>
  </w:num>
  <w:num w:numId="52">
    <w:abstractNumId w:val="3101002"/>
  </w:num>
  <w:num w:numId="53">
    <w:abstractNumId w:val="3101003"/>
  </w:num>
</w:numbering>
</file>

<file path=word/settings.xml><?xml version="1.0" encoding="utf-8"?>
<w:settings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arget="settings.xml" Type="http://schemas.openxmlformats.org/officeDocument/2006/relationships/settings"/><Relationship Id="rId2" Target="styles.xml" Type="http://schemas.openxmlformats.org/officeDocument/2006/relationships/styles"/><Relationship Id="rId3" Target="footer1.xml" Type="http://schemas.openxmlformats.org/officeDocument/2006/relationships/footer"/><Relationship Id="rId4" Target="numbering.xml" Type="http://schemas.openxmlformats.org/officeDocument/2006/relationships/numbering"/><Relationship Id="rId5" Target="header1.xml" Type="http://schemas.openxmlformats.org/officeDocument/2006/relationships/header"/></Relationships>
</file>

<file path=docProps/app.xml><?xml version="1.0" encoding="utf-8"?>
<Properties xmlns="http://schemas.openxmlformats.org/officeDocument/2006/extended-properties">
  <Application>Apache POI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2026-02-04T19:36:59Z</dcterms:created>
  <dc:creator>Apache POI</dc:creator>
</cp:coreProperties>
</file>