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艺术品上链指引（NAC原生公链合规版）V1.0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指引说明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本指引旨在为基于 </w:t>
      </w:r>
      <w:r>
        <w:rPr>
          <w:rFonts w:eastAsia="等线" w:ascii="Arial" w:cs="Arial" w:hAnsi="Arial"/>
          <w:b w:val="true"/>
          <w:sz w:val="22"/>
        </w:rPr>
        <w:t>NAC公链原生技术栈</w:t>
      </w:r>
      <w:r>
        <w:rPr>
          <w:rFonts w:eastAsia="等线" w:ascii="Arial" w:cs="Arial" w:hAnsi="Arial"/>
          <w:sz w:val="22"/>
        </w:rPr>
        <w:t xml:space="preserve"> 的艺术品（包括但不限于绘画、雕塑、数字艺术、文物等）资产化提供标准化、可编程、合规透明的操作框架。核心目标是将艺术品的</w:t>
      </w:r>
      <w:r>
        <w:rPr>
          <w:rFonts w:eastAsia="等线" w:ascii="Arial" w:cs="Arial" w:hAnsi="Arial"/>
          <w:b w:val="true"/>
          <w:sz w:val="22"/>
        </w:rPr>
        <w:t>物理实体、版权束与展览权益</w:t>
      </w:r>
      <w:r>
        <w:rPr>
          <w:rFonts w:eastAsia="等线" w:ascii="Arial" w:cs="Arial" w:hAnsi="Arial"/>
          <w:sz w:val="22"/>
        </w:rPr>
        <w:t>，通过高保真数字化与主权规则解构，转化为受</w:t>
      </w:r>
      <w:r>
        <w:rPr>
          <w:rFonts w:eastAsia="等线" w:ascii="Arial" w:cs="Arial" w:hAnsi="Arial"/>
          <w:b w:val="true"/>
          <w:sz w:val="22"/>
        </w:rPr>
        <w:t>XTZH经济模型</w:t>
      </w:r>
      <w:r>
        <w:rPr>
          <w:rFonts w:eastAsia="等线" w:ascii="Arial" w:cs="Arial" w:hAnsi="Arial"/>
          <w:sz w:val="22"/>
        </w:rPr>
        <w:t xml:space="preserve"> 与 </w:t>
      </w:r>
      <w:r>
        <w:rPr>
          <w:rFonts w:eastAsia="等线" w:ascii="Arial" w:cs="Arial" w:hAnsi="Arial"/>
          <w:b w:val="true"/>
          <w:sz w:val="22"/>
        </w:rPr>
        <w:t>NAC原生协议</w:t>
      </w:r>
      <w:r>
        <w:rPr>
          <w:rFonts w:eastAsia="等线" w:ascii="Arial" w:cs="Arial" w:hAnsi="Arial"/>
          <w:sz w:val="22"/>
        </w:rPr>
        <w:t xml:space="preserve"> 约束的链上数字资产，实现真伪溯源、权利分割、价值流通与创新收益。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第一章：NAC原生框架下的艺术品上链总则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第1条 上链核心范式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在NAC公链上，艺术品上链的本质是创建其 </w:t>
      </w:r>
      <w:r>
        <w:rPr>
          <w:rFonts w:eastAsia="等线" w:ascii="Arial" w:cs="Arial" w:hAnsi="Arial"/>
          <w:b w:val="true"/>
          <w:sz w:val="22"/>
        </w:rPr>
        <w:t>“主权解构的数字孪生体”</w:t>
      </w:r>
      <w:r>
        <w:rPr>
          <w:rFonts w:eastAsia="等线" w:ascii="Arial" w:cs="Arial" w:hAnsi="Arial"/>
          <w:sz w:val="22"/>
        </w:rPr>
        <w:t>。这超越了简单的所有权登记，而是：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物理唯一性锚定</w:t>
      </w:r>
      <w:r>
        <w:rPr>
          <w:rFonts w:eastAsia="等线" w:ascii="Arial" w:cs="Arial" w:hAnsi="Arial"/>
          <w:sz w:val="22"/>
        </w:rPr>
        <w:t>：通过高精度扫描与特征提取，生成不可复制的“数字指纹”，与GNACS编码一同构成艺术品的链上身份。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权利结构化分离</w:t>
      </w:r>
      <w:r>
        <w:rPr>
          <w:rFonts w:eastAsia="等线" w:ascii="Arial" w:cs="Arial" w:hAnsi="Arial"/>
          <w:sz w:val="22"/>
        </w:rPr>
        <w:t>：将艺术品完整的权利束（</w:t>
      </w:r>
      <w:r>
        <w:rPr>
          <w:rFonts w:eastAsia="Consolas" w:ascii="Consolas" w:cs="Consolas" w:hAnsi="Consolas"/>
          <w:sz w:val="22"/>
          <w:shd w:fill="EFF0F1"/>
        </w:rPr>
        <w:t>A0</w:t>
      </w:r>
      <w:r>
        <w:rPr>
          <w:rFonts w:eastAsia="等线" w:ascii="Arial" w:cs="Arial" w:hAnsi="Arial"/>
          <w:sz w:val="22"/>
        </w:rPr>
        <w:t xml:space="preserve"> 所有权、</w:t>
      </w:r>
      <w:r>
        <w:rPr>
          <w:rFonts w:eastAsia="Consolas" w:ascii="Consolas" w:cs="Consolas" w:hAnsi="Consolas"/>
          <w:sz w:val="22"/>
          <w:shd w:fill="EFF0F1"/>
        </w:rPr>
        <w:t>D2</w:t>
      </w:r>
      <w:r>
        <w:rPr>
          <w:rFonts w:eastAsia="等线" w:ascii="Arial" w:cs="Arial" w:hAnsi="Arial"/>
          <w:sz w:val="22"/>
        </w:rPr>
        <w:t xml:space="preserve"> 版权许可、</w:t>
      </w:r>
      <w:r>
        <w:rPr>
          <w:rFonts w:eastAsia="Consolas" w:ascii="Consolas" w:cs="Consolas" w:hAnsi="Consolas"/>
          <w:sz w:val="22"/>
          <w:shd w:fill="EFF0F1"/>
        </w:rPr>
        <w:t>B1</w:t>
      </w:r>
      <w:r>
        <w:rPr>
          <w:rFonts w:eastAsia="等线" w:ascii="Arial" w:cs="Arial" w:hAnsi="Arial"/>
          <w:sz w:val="22"/>
        </w:rPr>
        <w:t xml:space="preserve"> 展览收益权等）解耦，映射为独立的、可分别交易和管理的数字权益。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价值动态化发现</w:t>
      </w:r>
      <w:r>
        <w:rPr>
          <w:rFonts w:eastAsia="等线" w:ascii="Arial" w:cs="Arial" w:hAnsi="Arial"/>
          <w:sz w:val="22"/>
        </w:rPr>
        <w:t>：通过链上展览、社交代币、碎片化所有权等机制，结合XTZH质押的信用增强，构建新型的价值发现与流动性市场。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历史不可篡改性</w:t>
      </w:r>
      <w:r>
        <w:rPr>
          <w:rFonts w:eastAsia="等线" w:ascii="Arial" w:cs="Arial" w:hAnsi="Arial"/>
          <w:sz w:val="22"/>
        </w:rPr>
        <w:t>：从创作、流转、展览到交易的完整历程，作为主权历史的一部分被永久记录在NAC链上，构成其价值叙事。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第2条 核心支柱</w:t>
      </w:r>
      <w:bookmarkEnd w:id="3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GNACS文化属性与精细分类</w:t>
      </w:r>
      <w:r>
        <w:rPr>
          <w:rFonts w:eastAsia="等线" w:ascii="Arial" w:cs="Arial" w:hAnsi="Arial"/>
          <w:sz w:val="22"/>
        </w:rPr>
        <w:t>：GNACS第1-6位（HS 9701-9706艺术品类别）是基础。需扩展子类以精确描述（如970101-中国水墨画，970102-油画，970103-数字生成艺术）。第19-20位（ESG属性）可评估艺术品在文化传承、社会影响方面的价值。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高保真数字化与认证预言机</w:t>
      </w:r>
      <w:r>
        <w:rPr>
          <w:rFonts w:eastAsia="等线" w:ascii="Arial" w:cs="Arial" w:hAnsi="Arial"/>
          <w:sz w:val="22"/>
        </w:rPr>
        <w:t xml:space="preserve">：由NAC生态认证的 </w:t>
      </w:r>
      <w:r>
        <w:rPr>
          <w:rFonts w:eastAsia="等线" w:ascii="Arial" w:cs="Arial" w:hAnsi="Arial"/>
          <w:b w:val="true"/>
          <w:sz w:val="22"/>
        </w:rPr>
        <w:t>“数字典藏实验室”</w:t>
      </w:r>
      <w:r>
        <w:rPr>
          <w:rFonts w:eastAsia="等线" w:ascii="Arial" w:cs="Arial" w:hAnsi="Arial"/>
          <w:sz w:val="22"/>
        </w:rPr>
        <w:t xml:space="preserve"> 节点，负责执行标准化扫描（如多光谱成像、3D建模），生成特征哈希，并作为预言机将经过艺术家或权威机构私钥签名的元数据上链锚定。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动态权利管理引擎（D2许可库）</w:t>
      </w:r>
      <w:r>
        <w:rPr>
          <w:rFonts w:eastAsia="等线" w:ascii="Arial" w:cs="Arial" w:hAnsi="Arial"/>
          <w:sz w:val="22"/>
        </w:rPr>
        <w:t xml:space="preserve">：NAC原生的 </w:t>
      </w:r>
      <w:r>
        <w:rPr>
          <w:rFonts w:eastAsia="Consolas" w:ascii="Consolas" w:cs="Consolas" w:hAnsi="Consolas"/>
          <w:sz w:val="22"/>
          <w:shd w:fill="EFF0F1"/>
        </w:rPr>
        <w:t>SovereigntyD2_License</w:t>
      </w:r>
      <w:r>
        <w:rPr>
          <w:rFonts w:eastAsia="等线" w:ascii="Arial" w:cs="Arial" w:hAnsi="Arial"/>
          <w:sz w:val="22"/>
        </w:rPr>
        <w:t xml:space="preserve"> 库，提供标准化的许可颁发、验证与执行逻辑，支持复杂的分级、分时、分域版权与展览权管理。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ACC-721与ACC-1155混合协议</w:t>
      </w:r>
      <w:r>
        <w:rPr>
          <w:rFonts w:eastAsia="等线" w:ascii="Arial" w:cs="Arial" w:hAnsi="Arial"/>
          <w:sz w:val="22"/>
        </w:rPr>
        <w:t xml:space="preserve">：艺术品的物理所有权通常用 </w:t>
      </w:r>
      <w:r>
        <w:rPr>
          <w:rFonts w:eastAsia="等线" w:ascii="Arial" w:cs="Arial" w:hAnsi="Arial"/>
          <w:b w:val="true"/>
          <w:sz w:val="22"/>
        </w:rPr>
        <w:t>ACC-721（NFT）</w:t>
      </w:r>
      <w:r>
        <w:rPr>
          <w:rFonts w:eastAsia="等线" w:ascii="Arial" w:cs="Arial" w:hAnsi="Arial"/>
          <w:sz w:val="22"/>
        </w:rPr>
        <w:t xml:space="preserve"> 唯一代表；而其版权收益权、展览份额等可分割权益，则可用 </w:t>
      </w:r>
      <w:r>
        <w:rPr>
          <w:rFonts w:eastAsia="等线" w:ascii="Arial" w:cs="Arial" w:hAnsi="Arial"/>
          <w:b w:val="true"/>
          <w:sz w:val="22"/>
        </w:rPr>
        <w:t>ACC-1155</w:t>
      </w:r>
      <w:r>
        <w:rPr>
          <w:rFonts w:eastAsia="等线" w:ascii="Arial" w:cs="Arial" w:hAnsi="Arial"/>
          <w:sz w:val="22"/>
        </w:rPr>
        <w:t xml:space="preserve"> 来批量管理和发行。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第二章：参与方在NAC链上的角色与数据流</w:t>
      </w:r>
      <w:bookmarkEnd w:id="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第3条 角色-数据-链上映射表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第4条 关键参与方职责</w:t>
      </w:r>
      <w:bookmarkEnd w:id="6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艺术家/初始权利人</w:t>
      </w:r>
      <w:r>
        <w:rPr>
          <w:rFonts w:eastAsia="等线" w:ascii="Arial" w:cs="Arial" w:hAnsi="Arial"/>
          <w:sz w:val="22"/>
        </w:rPr>
        <w:t xml:space="preserve">：作为 </w:t>
      </w:r>
      <w:r>
        <w:rPr>
          <w:rFonts w:eastAsia="Consolas" w:ascii="Consolas" w:cs="Consolas" w:hAnsi="Consolas"/>
          <w:sz w:val="22"/>
          <w:shd w:fill="EFF0F1"/>
        </w:rPr>
        <w:t>A0</w:t>
      </w:r>
      <w:r>
        <w:rPr>
          <w:rFonts w:eastAsia="等线" w:ascii="Arial" w:cs="Arial" w:hAnsi="Arial"/>
          <w:sz w:val="22"/>
        </w:rPr>
        <w:t xml:space="preserve"> 主权的源头，使用其NAC身份私钥对艺术品的核心元数据（标题、创作时间、理念）进行签名，该签名与作品本身一同构成初始上链的合法依据。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数字典藏认证机构</w:t>
      </w:r>
      <w:r>
        <w:rPr>
          <w:rFonts w:eastAsia="等线" w:ascii="Arial" w:cs="Arial" w:hAnsi="Arial"/>
          <w:sz w:val="22"/>
        </w:rPr>
        <w:t xml:space="preserve">：作为 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>（管理权-认证职能）的行使者，其NAC地址被授权调用存证合约。负责执行标准化数字化流程，并对其生成的“数字指纹”的真实性负专业与法律责任，需质押XTZH作为信誉保证金。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策展人/画廊</w:t>
      </w:r>
      <w:r>
        <w:rPr>
          <w:rFonts w:eastAsia="等线" w:ascii="Arial" w:cs="Arial" w:hAnsi="Arial"/>
          <w:sz w:val="22"/>
        </w:rPr>
        <w:t xml:space="preserve">：可作为 </w:t>
      </w:r>
      <w:r>
        <w:rPr>
          <w:rFonts w:eastAsia="Consolas" w:ascii="Consolas" w:cs="Consolas" w:hAnsi="Consolas"/>
          <w:sz w:val="22"/>
          <w:shd w:fill="EFF0F1"/>
        </w:rPr>
        <w:t>D2</w:t>
      </w:r>
      <w:r>
        <w:rPr>
          <w:rFonts w:eastAsia="等线" w:ascii="Arial" w:cs="Arial" w:hAnsi="Arial"/>
          <w:sz w:val="22"/>
        </w:rPr>
        <w:t>（许可主权）的运营方，通过智能合约管理艺术品的展览档期、地域和数字展示权限。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估值委员会（DAO）</w:t>
      </w:r>
      <w:r>
        <w:rPr>
          <w:rFonts w:eastAsia="等线" w:ascii="Arial" w:cs="Arial" w:hAnsi="Arial"/>
          <w:sz w:val="22"/>
        </w:rPr>
        <w:t>：由社区授权的专家节点组成，对争议性或缺乏市场记录的艺术家作品进行链上估值提议，为XTZH质押额度提供依据。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第三章：基于NAC原生技术的操作流程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第5条 全流程概览</w:t>
      </w:r>
      <w:bookmarkEnd w:id="8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艺术品认证与初始上链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艺术家携实物至认证实验室，完成扫描与特征提取。</w:t>
      </w:r>
    </w:p>
    <w:p>
      <w:pPr>
        <w:numPr>
          <w:numId w:val="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通过DApp提交作品信息，系统生成 </w:t>
      </w:r>
      <w:r>
        <w:rPr>
          <w:rFonts w:eastAsia="等线" w:ascii="Arial" w:cs="Arial" w:hAnsi="Arial"/>
          <w:b w:val="true"/>
          <w:sz w:val="22"/>
        </w:rPr>
        <w:t>GNACS编码</w:t>
      </w:r>
      <w:r>
        <w:rPr>
          <w:rFonts w:eastAsia="等线" w:ascii="Arial" w:cs="Arial" w:hAnsi="Arial"/>
          <w:sz w:val="22"/>
        </w:rPr>
        <w:t>（如：</w:t>
      </w:r>
      <w:r>
        <w:rPr>
          <w:rFonts w:eastAsia="Consolas" w:ascii="Consolas" w:cs="Consolas" w:hAnsi="Consolas"/>
          <w:sz w:val="22"/>
          <w:shd w:fill="EFF0F1"/>
        </w:rPr>
        <w:t>970102xxxxxxxxx...</w:t>
      </w:r>
      <w:r>
        <w:rPr>
          <w:rFonts w:eastAsia="等线" w:ascii="Arial" w:cs="Arial" w:hAnsi="Arial"/>
          <w:sz w:val="22"/>
        </w:rPr>
        <w:t xml:space="preserve"> 代表一幅油画）。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调用 </w:t>
      </w:r>
      <w:r>
        <w:rPr>
          <w:rFonts w:eastAsia="Consolas" w:ascii="Consolas" w:cs="Consolas" w:hAnsi="Consolas"/>
          <w:sz w:val="22"/>
          <w:shd w:fill="EFF0F1"/>
        </w:rPr>
        <w:t>GNACSRegistry</w:t>
      </w:r>
      <w:r>
        <w:rPr>
          <w:rFonts w:eastAsia="等线" w:ascii="Arial" w:cs="Arial" w:hAnsi="Arial"/>
          <w:sz w:val="22"/>
        </w:rPr>
        <w:t xml:space="preserve"> 与 </w:t>
      </w:r>
      <w:r>
        <w:rPr>
          <w:rFonts w:eastAsia="Consolas" w:ascii="Consolas" w:cs="Consolas" w:hAnsi="Consolas"/>
          <w:sz w:val="22"/>
          <w:shd w:fill="EFF0F1"/>
        </w:rPr>
        <w:t>ArtLedger</w:t>
      </w:r>
      <w:r>
        <w:rPr>
          <w:rFonts w:eastAsia="等线" w:ascii="Arial" w:cs="Arial" w:hAnsi="Arial"/>
          <w:sz w:val="22"/>
        </w:rPr>
        <w:t xml:space="preserve"> 合约，将数字指纹哈希、艺术家签名元数据与GNACS编码绑定，生成 </w:t>
      </w:r>
      <w:r>
        <w:rPr>
          <w:rFonts w:eastAsia="等线" w:ascii="Arial" w:cs="Arial" w:hAnsi="Arial"/>
          <w:b w:val="true"/>
          <w:sz w:val="22"/>
        </w:rPr>
        <w:t>艺术品全局唯一数字身份ID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主NFT铸造与权利声明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部署并初始化 </w:t>
      </w:r>
      <w:r>
        <w:rPr>
          <w:rFonts w:eastAsia="Consolas" w:ascii="Consolas" w:cs="Consolas" w:hAnsi="Consolas"/>
          <w:sz w:val="22"/>
          <w:shd w:fill="EFF0F1"/>
        </w:rPr>
        <w:t>RWAArtMasterNFTV1.sol</w:t>
      </w:r>
      <w:r>
        <w:rPr>
          <w:rFonts w:eastAsia="等线" w:ascii="Arial" w:cs="Arial" w:hAnsi="Arial"/>
          <w:sz w:val="22"/>
        </w:rPr>
        <w:t xml:space="preserve"> 合约，该合约继承ACC-721并绑定上述数字身份ID。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在合约中声明初始权利结构（例如：艺术家保留 </w:t>
      </w:r>
      <w:r>
        <w:rPr>
          <w:rFonts w:eastAsia="Consolas" w:ascii="Consolas" w:cs="Consolas" w:hAnsi="Consolas"/>
          <w:sz w:val="22"/>
          <w:shd w:fill="EFF0F1"/>
        </w:rPr>
        <w:t>D2</w:t>
      </w:r>
      <w:r>
        <w:rPr>
          <w:rFonts w:eastAsia="等线" w:ascii="Arial" w:cs="Arial" w:hAnsi="Arial"/>
          <w:sz w:val="22"/>
        </w:rPr>
        <w:t xml:space="preserve"> 版权，出让 </w:t>
      </w:r>
      <w:r>
        <w:rPr>
          <w:rFonts w:eastAsia="Consolas" w:ascii="Consolas" w:cs="Consolas" w:hAnsi="Consolas"/>
          <w:sz w:val="22"/>
          <w:shd w:fill="EFF0F1"/>
        </w:rPr>
        <w:t>A0</w:t>
      </w:r>
      <w:r>
        <w:rPr>
          <w:rFonts w:eastAsia="等线" w:ascii="Arial" w:cs="Arial" w:hAnsi="Arial"/>
          <w:sz w:val="22"/>
        </w:rPr>
        <w:t xml:space="preserve"> 所有权）。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权利衍生与发行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所有权人可调用主合约的“衍生模块”，创建子合约：</w:t>
        <w:br/>
        <w:t xml:space="preserve">            </w:t>
      </w:r>
    </w:p>
    <w:p>
      <w:pPr>
        <w:numPr>
          <w:numId w:val="22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b w:val="true"/>
          <w:sz w:val="22"/>
        </w:rPr>
        <w:t>展览权许可池（D2）</w:t>
      </w:r>
      <w:r>
        <w:rPr>
          <w:rFonts w:eastAsia="等线" w:ascii="Arial" w:cs="Arial" w:hAnsi="Arial"/>
          <w:sz w:val="22"/>
        </w:rPr>
        <w:t>：发行限定数量的、特定时段/地域的数字展览许可代币（ACC-1155）。</w:t>
      </w:r>
    </w:p>
    <w:p>
      <w:pPr>
        <w:numPr>
          <w:numId w:val="23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b w:val="true"/>
          <w:sz w:val="22"/>
        </w:rPr>
        <w:t>收益权份额（B1）</w:t>
      </w:r>
      <w:r>
        <w:rPr>
          <w:rFonts w:eastAsia="等线" w:ascii="Arial" w:cs="Arial" w:hAnsi="Arial"/>
          <w:sz w:val="22"/>
        </w:rPr>
        <w:t>：如将未来5次实体展览的预期收益进行代币化。</w:t>
      </w:r>
    </w:p>
    <w:p>
      <w:pPr>
        <w:numPr>
          <w:numId w:val="24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b w:val="true"/>
          <w:sz w:val="22"/>
        </w:rPr>
        <w:t>共同所有权（C2）</w:t>
      </w:r>
      <w:r>
        <w:rPr>
          <w:rFonts w:eastAsia="等线" w:ascii="Arial" w:cs="Arial" w:hAnsi="Arial"/>
          <w:sz w:val="22"/>
        </w:rPr>
        <w:t>：将主NFT的所有权碎片化，形成投资共同体。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交易、许可与收益实现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所有衍生权益代币在遵守KYC和转让限制的前提下进行交易。</w:t>
      </w:r>
    </w:p>
    <w:p>
      <w:pPr>
        <w:numPr>
          <w:numId w:val="2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展览方需购买并消耗许可代币，才能获得解密高清文件的密钥或在指定平台展示。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收益自动分配至权益代币持有人。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质押、保险与争议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为增加市场信心，所有权人可质押XTZH至该艺术品的“信誉增强池”。</w:t>
      </w:r>
    </w:p>
    <w:p>
      <w:pPr>
        <w:numPr>
          <w:numId w:val="3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可链接“真伪保险”合约，若在未来特定年限内作品被权威机构证伪，保险将使用质押的XTZH对持有人进行赔偿。</w:t>
      </w:r>
    </w:p>
    <w:p>
      <w:pPr>
        <w:numPr>
          <w:numId w:val="3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版权等争议通过链上仲裁模块或诉诸链下法律解决，但裁决结果可上链执行。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第四章：标准合约模板核心设计</w:t>
      </w:r>
      <w:bookmarkEnd w:id="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第6条 主NFT合约 (`RWAArtMasterNFTV1.sol`) 核心机制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contract RWAArtMasterNFTV1 is IACC721, SovereigntyA0_Ownership {</w:t>
              <w:br/>
              <w:t xml:space="preserve">    bytes32 public artDigitalFingerprint; // 来自认证实验室</w:t>
              <w:br/>
              <w:t xml:space="preserve">    bytes30 public gnacsCode;</w:t>
              <w:br/>
              <w:t xml:space="preserve">    address public certificationLab;</w:t>
              <w:br/>
              <w:t xml:space="preserve">    </w:t>
              <w:br/>
              <w:t xml:space="preserve">    // 权利衍生工厂</w:t>
              <w:br/>
              <w:t xml:space="preserve">    function spawnLicensePool(</w:t>
              <w:br/>
              <w:t xml:space="preserve">        string memory licenseType,</w:t>
              <w:br/>
              <w:t xml:space="preserve">        uint256 totalSupply,</w:t>
              <w:br/>
              <w:t xml:space="preserve">        uint256 price,</w:t>
              <w:br/>
              <w:t xml:space="preserve">        uint64 expiry</w:t>
              <w:br/>
              <w:t xml:space="preserve">    ) external onlyOwner returns (address licensePool) {</w:t>
              <w:br/>
              <w:t xml:space="preserve">        // 部署一个新的ACC-1155许可池合约</w:t>
              <w:br/>
              <w:t xml:space="preserve">        licensePool = address(new ArtLicensePoolV1(...));</w:t>
              <w:br/>
              <w:t xml:space="preserve">        emit LicensePoolCreated(licensePool, licenseType);</w:t>
              <w:br/>
              <w:t xml:space="preserve">    }</w:t>
              <w:br/>
              <w:t xml:space="preserve">    </w:t>
              <w:br/>
              <w:t xml:space="preserve">    // 真伪保险质押</w:t>
              <w:br/>
              <w:t xml:space="preserve">    function stakeForAuthenticity(uint256 xtzhAmount, uint256 coverageYears) external {</w:t>
              <w:br/>
              <w:t xml:space="preserve">        // 质押XTZH，为一定年限内的真伪提供保险背书</w:t>
              <w:br/>
              <w:t xml:space="preserve">    }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第7条 许可池合约 (`ArtLicensePoolV1.sol`) 核心机制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contract ArtLicensePoolV1 is IACC1155, SovereigntyD2_License {</w:t>
              <w:br/>
              <w:t xml:space="preserve">    // 验证许可有效性</w:t>
              <w:br/>
              <w:t xml:space="preserve">    function isValidLicense(address holder, uint256 licenseId) public view returns (bool) {</w:t>
              <w:br/>
              <w:t xml:space="preserve">        return balanceOf(holder, licenseId) &gt; 0 &amp;&amp; !isExpired(licenseId);</w:t>
              <w:br/>
              <w:t xml:space="preserve">    }</w:t>
              <w:br/>
              <w:t xml:space="preserve">    </w:t>
              <w:br/>
              <w:t xml:space="preserve">    // 展览方调用，消耗许可以获得访问权限</w:t>
              <w:br/>
              <w:t xml:space="preserve">    function consumeForAccess(uint256 licenseId, bytes memory accessRequest) external {</w:t>
              <w:br/>
              <w:t xml:space="preserve">        _burn(msg.sender, licenseId, 1);</w:t>
              <w:br/>
              <w:t xml:space="preserve">        // 触发事件，或向另一个合约发送凭证，授予临时访问权</w:t>
              <w:br/>
              <w:t xml:space="preserve">        emit AccessGranted(msg.sender, licenseId, accessRequest);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第五章：风险、合规与治理</w:t>
      </w:r>
      <w:bookmarkEnd w:id="1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第8条 特有风险提示</w:t>
      </w:r>
      <w:bookmarkEnd w:id="13"/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物理与数字的脱钩风险</w:t>
      </w:r>
      <w:r>
        <w:rPr>
          <w:rFonts w:eastAsia="等线" w:ascii="Arial" w:cs="Arial" w:hAnsi="Arial"/>
          <w:sz w:val="22"/>
        </w:rPr>
        <w:t>：实物艺术品可能被调换、损坏，而链上数字资产仍在流通。必须依赖高信誉的仓储保险和定期第三方核查（其报告哈希上链）。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数字指纹破解与伪造风险</w:t>
      </w:r>
      <w:r>
        <w:rPr>
          <w:rFonts w:eastAsia="等线" w:ascii="Arial" w:cs="Arial" w:hAnsi="Arial"/>
          <w:sz w:val="22"/>
        </w:rPr>
        <w:t>：理论上存在伪造或碰撞数字指纹的可能。需采用前沿的、多模态的扫描和哈希技术，并建立算法升级机制。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版权法律复杂性风险</w:t>
      </w:r>
      <w:r>
        <w:rPr>
          <w:rFonts w:eastAsia="等线" w:ascii="Arial" w:cs="Arial" w:hAnsi="Arial"/>
          <w:sz w:val="22"/>
        </w:rPr>
        <w:t>：艺术品的版权（特别是摄影、雕塑、衍生品）极为复杂。智能合约只能执行明确定义的规则，对于“合理使用”等模糊地带，必须保留链下法律解决通道。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价值波动与流动性风险</w:t>
      </w:r>
      <w:r>
        <w:rPr>
          <w:rFonts w:eastAsia="等线" w:ascii="Arial" w:cs="Arial" w:hAnsi="Arial"/>
          <w:sz w:val="22"/>
        </w:rPr>
        <w:t>：艺术品的非标性和主观性导致其价格波动剧烈，碎片化权益可能面临流动性枯竭。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第9条 合规要点</w:t>
      </w:r>
      <w:bookmarkEnd w:id="14"/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版权法的链上表达</w:t>
      </w:r>
      <w:r>
        <w:rPr>
          <w:rFonts w:eastAsia="等线" w:ascii="Arial" w:cs="Arial" w:hAnsi="Arial"/>
          <w:sz w:val="22"/>
        </w:rPr>
        <w:t>：智能合约中的许可条款必须由知识产权律师审定，确保不与艺术家法定权利冲突。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文化遗产与出口限制</w:t>
      </w:r>
      <w:r>
        <w:rPr>
          <w:rFonts w:eastAsia="等线" w:ascii="Arial" w:cs="Arial" w:hAnsi="Arial"/>
          <w:sz w:val="22"/>
        </w:rPr>
        <w:t>：涉及文物或受保护文化遗产的艺术品，其上链与交易必须严格遵守来源地法律和国际公约（如UNESCO 1970公约），GNACS编码中需体现相关限制属性。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税收</w:t>
      </w:r>
      <w:r>
        <w:rPr>
          <w:rFonts w:eastAsia="等线" w:ascii="Arial" w:cs="Arial" w:hAnsi="Arial"/>
          <w:sz w:val="22"/>
        </w:rPr>
        <w:t>：链上的每一次许可销售或权益转让，合约应设计为能够记录并生成可审计的税务记录。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结语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本指引旨在将艺术品从封闭的、依赖中心化权威的体系中解放出来，在NAC公链上构建一个开放、透明、可编程的新生态。其成功仰赖于 </w:t>
      </w:r>
      <w:r>
        <w:rPr>
          <w:rFonts w:eastAsia="等线" w:ascii="Arial" w:cs="Arial" w:hAnsi="Arial"/>
          <w:b w:val="true"/>
          <w:sz w:val="22"/>
        </w:rPr>
        <w:t>艺术界、科技界与法律界的深度协作</w:t>
      </w:r>
      <w:r>
        <w:rPr>
          <w:rFonts w:eastAsia="等线" w:ascii="Arial" w:cs="Arial" w:hAnsi="Arial"/>
          <w:sz w:val="22"/>
        </w:rPr>
        <w:t>。</w:t>
      </w:r>
      <w:r>
        <w:rPr>
          <w:rFonts w:eastAsia="等线" w:ascii="Arial" w:cs="Arial" w:hAnsi="Arial"/>
          <w:b w:val="true"/>
          <w:sz w:val="22"/>
        </w:rPr>
        <w:t>建议的首个概念验证（PoC）</w:t>
      </w:r>
      <w:r>
        <w:rPr>
          <w:rFonts w:eastAsia="等线" w:ascii="Arial" w:cs="Arial" w:hAnsi="Arial"/>
          <w:sz w:val="22"/>
        </w:rPr>
        <w:t xml:space="preserve"> 应选择一位</w:t>
      </w:r>
      <w:r>
        <w:rPr>
          <w:rFonts w:eastAsia="等线" w:ascii="Arial" w:cs="Arial" w:hAnsi="Arial"/>
          <w:b w:val="true"/>
          <w:sz w:val="22"/>
        </w:rPr>
        <w:t>当代数字艺术家</w:t>
      </w:r>
      <w:r>
        <w:rPr>
          <w:rFonts w:eastAsia="等线" w:ascii="Arial" w:cs="Arial" w:hAnsi="Arial"/>
          <w:sz w:val="22"/>
        </w:rPr>
        <w:t>的新作，在NAC测试网上实现从“创作上链”到“发行限量数字展览许可”的全过程，并模拟一个基于许可代币的</w:t>
      </w:r>
      <w:r>
        <w:rPr>
          <w:rFonts w:eastAsia="等线" w:ascii="Arial" w:cs="Arial" w:hAnsi="Arial"/>
          <w:b w:val="true"/>
          <w:sz w:val="22"/>
        </w:rPr>
        <w:t>线上虚拟画廊展览</w:t>
      </w:r>
      <w:r>
        <w:rPr>
          <w:rFonts w:eastAsia="等线" w:ascii="Arial" w:cs="Arial" w:hAnsi="Arial"/>
          <w:sz w:val="22"/>
        </w:rPr>
        <w:t>，以此验证技术可行性与用户体验。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：NAC核心协议委员会 与 NAC文化与数字资产工作组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 (艺术品原生公链版)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553076">
    <w:lvl>
      <w:start w:val="1"/>
      <w:numFmt w:val="decimal"/>
      <w:suff w:val="tab"/>
      <w:lvlText w:val="%1."/>
      <w:rPr>
        <w:color w:val="3370ff"/>
      </w:rPr>
    </w:lvl>
  </w:abstractNum>
  <w:abstractNum w:abstractNumId="1553077">
    <w:lvl>
      <w:start w:val="2"/>
      <w:numFmt w:val="decimal"/>
      <w:suff w:val="tab"/>
      <w:lvlText w:val="%1."/>
      <w:rPr>
        <w:color w:val="3370ff"/>
      </w:rPr>
    </w:lvl>
  </w:abstractNum>
  <w:abstractNum w:abstractNumId="1553078">
    <w:lvl>
      <w:start w:val="3"/>
      <w:numFmt w:val="decimal"/>
      <w:suff w:val="tab"/>
      <w:lvlText w:val="%1."/>
      <w:rPr>
        <w:color w:val="3370ff"/>
      </w:rPr>
    </w:lvl>
  </w:abstractNum>
  <w:abstractNum w:abstractNumId="1553079">
    <w:lvl>
      <w:start w:val="4"/>
      <w:numFmt w:val="decimal"/>
      <w:suff w:val="tab"/>
      <w:lvlText w:val="%1."/>
      <w:rPr>
        <w:color w:val="3370ff"/>
      </w:rPr>
    </w:lvl>
  </w:abstractNum>
  <w:abstractNum w:abstractNumId="1553080">
    <w:lvl>
      <w:start w:val="1"/>
      <w:numFmt w:val="decimal"/>
      <w:suff w:val="tab"/>
      <w:lvlText w:val="%1."/>
      <w:rPr>
        <w:color w:val="3370ff"/>
      </w:rPr>
    </w:lvl>
  </w:abstractNum>
  <w:abstractNum w:abstractNumId="1553081">
    <w:lvl>
      <w:start w:val="2"/>
      <w:numFmt w:val="decimal"/>
      <w:suff w:val="tab"/>
      <w:lvlText w:val="%1."/>
      <w:rPr>
        <w:color w:val="3370ff"/>
      </w:rPr>
    </w:lvl>
  </w:abstractNum>
  <w:abstractNum w:abstractNumId="1553082">
    <w:lvl>
      <w:start w:val="3"/>
      <w:numFmt w:val="decimal"/>
      <w:suff w:val="tab"/>
      <w:lvlText w:val="%1."/>
      <w:rPr>
        <w:color w:val="3370ff"/>
      </w:rPr>
    </w:lvl>
  </w:abstractNum>
  <w:abstractNum w:abstractNumId="1553083">
    <w:lvl>
      <w:start w:val="4"/>
      <w:numFmt w:val="decimal"/>
      <w:suff w:val="tab"/>
      <w:lvlText w:val="%1."/>
      <w:rPr>
        <w:color w:val="3370ff"/>
      </w:rPr>
    </w:lvl>
  </w:abstractNum>
  <w:abstractNum w:abstractNumId="1553084">
    <w:lvl>
      <w:numFmt w:val="bullet"/>
      <w:suff w:val="tab"/>
      <w:lvlText w:val="•"/>
      <w:rPr>
        <w:color w:val="3370ff"/>
      </w:rPr>
    </w:lvl>
  </w:abstractNum>
  <w:abstractNum w:abstractNumId="1553085">
    <w:lvl>
      <w:numFmt w:val="bullet"/>
      <w:suff w:val="tab"/>
      <w:lvlText w:val="•"/>
      <w:rPr>
        <w:color w:val="3370ff"/>
      </w:rPr>
    </w:lvl>
  </w:abstractNum>
  <w:abstractNum w:abstractNumId="1553086">
    <w:lvl>
      <w:numFmt w:val="bullet"/>
      <w:suff w:val="tab"/>
      <w:lvlText w:val="•"/>
      <w:rPr>
        <w:color w:val="3370ff"/>
      </w:rPr>
    </w:lvl>
  </w:abstractNum>
  <w:abstractNum w:abstractNumId="1553087">
    <w:lvl>
      <w:numFmt w:val="bullet"/>
      <w:suff w:val="tab"/>
      <w:lvlText w:val="•"/>
      <w:rPr>
        <w:color w:val="3370ff"/>
      </w:rPr>
    </w:lvl>
  </w:abstractNum>
  <w:abstractNum w:abstractNumId="1553088">
    <w:lvl>
      <w:start w:val="1"/>
      <w:numFmt w:val="decimal"/>
      <w:suff w:val="tab"/>
      <w:lvlText w:val="%1."/>
      <w:rPr>
        <w:color w:val="3370ff"/>
      </w:rPr>
    </w:lvl>
  </w:abstractNum>
  <w:abstractNum w:abstractNumId="1553089">
    <w:lvl>
      <w:numFmt w:val="bullet"/>
      <w:suff w:val="tab"/>
      <w:lvlText w:val="￮"/>
      <w:rPr>
        <w:color w:val="3370ff"/>
      </w:rPr>
    </w:lvl>
  </w:abstractNum>
  <w:abstractNum w:abstractNumId="1553090">
    <w:lvl>
      <w:numFmt w:val="bullet"/>
      <w:suff w:val="tab"/>
      <w:lvlText w:val="￮"/>
      <w:rPr>
        <w:color w:val="3370ff"/>
      </w:rPr>
    </w:lvl>
  </w:abstractNum>
  <w:abstractNum w:abstractNumId="1553091">
    <w:lvl>
      <w:numFmt w:val="bullet"/>
      <w:suff w:val="tab"/>
      <w:lvlText w:val="￮"/>
      <w:rPr>
        <w:color w:val="3370ff"/>
      </w:rPr>
    </w:lvl>
  </w:abstractNum>
  <w:abstractNum w:abstractNumId="1553092">
    <w:lvl>
      <w:start w:val="2"/>
      <w:numFmt w:val="decimal"/>
      <w:suff w:val="tab"/>
      <w:lvlText w:val="%1."/>
      <w:rPr>
        <w:color w:val="3370ff"/>
      </w:rPr>
    </w:lvl>
  </w:abstractNum>
  <w:abstractNum w:abstractNumId="1553093">
    <w:lvl>
      <w:numFmt w:val="bullet"/>
      <w:suff w:val="tab"/>
      <w:lvlText w:val="￮"/>
      <w:rPr>
        <w:color w:val="3370ff"/>
      </w:rPr>
    </w:lvl>
  </w:abstractNum>
  <w:abstractNum w:abstractNumId="1553094">
    <w:lvl>
      <w:numFmt w:val="bullet"/>
      <w:suff w:val="tab"/>
      <w:lvlText w:val="￮"/>
      <w:rPr>
        <w:color w:val="3370ff"/>
      </w:rPr>
    </w:lvl>
  </w:abstractNum>
  <w:abstractNum w:abstractNumId="1553095">
    <w:lvl>
      <w:start w:val="3"/>
      <w:numFmt w:val="decimal"/>
      <w:suff w:val="tab"/>
      <w:lvlText w:val="%1."/>
      <w:rPr>
        <w:color w:val="3370ff"/>
      </w:rPr>
    </w:lvl>
  </w:abstractNum>
  <w:abstractNum w:abstractNumId="1553096">
    <w:lvl>
      <w:numFmt w:val="bullet"/>
      <w:suff w:val="tab"/>
      <w:lvlText w:val="￮"/>
      <w:rPr>
        <w:color w:val="3370ff"/>
      </w:rPr>
    </w:lvl>
  </w:abstractNum>
  <w:abstractNum w:abstractNumId="1553097">
    <w:lvl>
      <w:numFmt w:val="bullet"/>
      <w:suff w:val="tab"/>
      <w:lvlText w:val="▪"/>
      <w:rPr>
        <w:color w:val="3370ff"/>
        <w:sz w:val="11"/>
      </w:rPr>
    </w:lvl>
  </w:abstractNum>
  <w:abstractNum w:abstractNumId="1553098">
    <w:lvl>
      <w:numFmt w:val="bullet"/>
      <w:suff w:val="tab"/>
      <w:lvlText w:val="▪"/>
      <w:rPr>
        <w:color w:val="3370ff"/>
        <w:sz w:val="11"/>
      </w:rPr>
    </w:lvl>
  </w:abstractNum>
  <w:abstractNum w:abstractNumId="1553099">
    <w:lvl>
      <w:numFmt w:val="bullet"/>
      <w:suff w:val="tab"/>
      <w:lvlText w:val="▪"/>
      <w:rPr>
        <w:color w:val="3370ff"/>
        <w:sz w:val="11"/>
      </w:rPr>
    </w:lvl>
  </w:abstractNum>
  <w:abstractNum w:abstractNumId="1553100">
    <w:lvl>
      <w:start w:val="4"/>
      <w:numFmt w:val="decimal"/>
      <w:suff w:val="tab"/>
      <w:lvlText w:val="%1."/>
      <w:rPr>
        <w:color w:val="3370ff"/>
      </w:rPr>
    </w:lvl>
  </w:abstractNum>
  <w:abstractNum w:abstractNumId="1553101">
    <w:lvl>
      <w:numFmt w:val="bullet"/>
      <w:suff w:val="tab"/>
      <w:lvlText w:val="￮"/>
      <w:rPr>
        <w:color w:val="3370ff"/>
      </w:rPr>
    </w:lvl>
  </w:abstractNum>
  <w:abstractNum w:abstractNumId="1553102">
    <w:lvl>
      <w:numFmt w:val="bullet"/>
      <w:suff w:val="tab"/>
      <w:lvlText w:val="￮"/>
      <w:rPr>
        <w:color w:val="3370ff"/>
      </w:rPr>
    </w:lvl>
  </w:abstractNum>
  <w:abstractNum w:abstractNumId="1553103">
    <w:lvl>
      <w:numFmt w:val="bullet"/>
      <w:suff w:val="tab"/>
      <w:lvlText w:val="￮"/>
      <w:rPr>
        <w:color w:val="3370ff"/>
      </w:rPr>
    </w:lvl>
  </w:abstractNum>
  <w:abstractNum w:abstractNumId="1553104">
    <w:lvl>
      <w:start w:val="5"/>
      <w:numFmt w:val="decimal"/>
      <w:suff w:val="tab"/>
      <w:lvlText w:val="%1."/>
      <w:rPr>
        <w:color w:val="3370ff"/>
      </w:rPr>
    </w:lvl>
  </w:abstractNum>
  <w:abstractNum w:abstractNumId="1553105">
    <w:lvl>
      <w:numFmt w:val="bullet"/>
      <w:suff w:val="tab"/>
      <w:lvlText w:val="￮"/>
      <w:rPr>
        <w:color w:val="3370ff"/>
      </w:rPr>
    </w:lvl>
  </w:abstractNum>
  <w:abstractNum w:abstractNumId="1553106">
    <w:lvl>
      <w:numFmt w:val="bullet"/>
      <w:suff w:val="tab"/>
      <w:lvlText w:val="￮"/>
      <w:rPr>
        <w:color w:val="3370ff"/>
      </w:rPr>
    </w:lvl>
  </w:abstractNum>
  <w:abstractNum w:abstractNumId="1553107">
    <w:lvl>
      <w:numFmt w:val="bullet"/>
      <w:suff w:val="tab"/>
      <w:lvlText w:val="￮"/>
      <w:rPr>
        <w:color w:val="3370ff"/>
      </w:rPr>
    </w:lvl>
  </w:abstractNum>
  <w:abstractNum w:abstractNumId="1553108">
    <w:lvl>
      <w:start w:val="1"/>
      <w:numFmt w:val="decimal"/>
      <w:suff w:val="tab"/>
      <w:lvlText w:val="%1."/>
      <w:rPr>
        <w:color w:val="3370ff"/>
      </w:rPr>
    </w:lvl>
  </w:abstractNum>
  <w:abstractNum w:abstractNumId="1553109">
    <w:lvl>
      <w:start w:val="2"/>
      <w:numFmt w:val="decimal"/>
      <w:suff w:val="tab"/>
      <w:lvlText w:val="%1."/>
      <w:rPr>
        <w:color w:val="3370ff"/>
      </w:rPr>
    </w:lvl>
  </w:abstractNum>
  <w:abstractNum w:abstractNumId="1553110">
    <w:lvl>
      <w:start w:val="3"/>
      <w:numFmt w:val="decimal"/>
      <w:suff w:val="tab"/>
      <w:lvlText w:val="%1."/>
      <w:rPr>
        <w:color w:val="3370ff"/>
      </w:rPr>
    </w:lvl>
  </w:abstractNum>
  <w:abstractNum w:abstractNumId="1553111">
    <w:lvl>
      <w:start w:val="4"/>
      <w:numFmt w:val="decimal"/>
      <w:suff w:val="tab"/>
      <w:lvlText w:val="%1."/>
      <w:rPr>
        <w:color w:val="3370ff"/>
      </w:rPr>
    </w:lvl>
  </w:abstractNum>
  <w:abstractNum w:abstractNumId="1553112">
    <w:lvl>
      <w:numFmt w:val="bullet"/>
      <w:suff w:val="tab"/>
      <w:lvlText w:val="•"/>
      <w:rPr>
        <w:color w:val="3370ff"/>
      </w:rPr>
    </w:lvl>
  </w:abstractNum>
  <w:abstractNum w:abstractNumId="1553113">
    <w:lvl>
      <w:numFmt w:val="bullet"/>
      <w:suff w:val="tab"/>
      <w:lvlText w:val="•"/>
      <w:rPr>
        <w:color w:val="3370ff"/>
      </w:rPr>
    </w:lvl>
  </w:abstractNum>
  <w:abstractNum w:abstractNumId="1553114">
    <w:lvl>
      <w:numFmt w:val="bullet"/>
      <w:suff w:val="tab"/>
      <w:lvlText w:val="•"/>
      <w:rPr>
        <w:color w:val="3370ff"/>
      </w:rPr>
    </w:lvl>
  </w:abstractNum>
  <w:num w:numId="1">
    <w:abstractNumId w:val="1553076"/>
  </w:num>
  <w:num w:numId="2">
    <w:abstractNumId w:val="1553077"/>
  </w:num>
  <w:num w:numId="3">
    <w:abstractNumId w:val="1553078"/>
  </w:num>
  <w:num w:numId="4">
    <w:abstractNumId w:val="1553079"/>
  </w:num>
  <w:num w:numId="5">
    <w:abstractNumId w:val="1553080"/>
  </w:num>
  <w:num w:numId="6">
    <w:abstractNumId w:val="1553081"/>
  </w:num>
  <w:num w:numId="7">
    <w:abstractNumId w:val="1553082"/>
  </w:num>
  <w:num w:numId="8">
    <w:abstractNumId w:val="1553083"/>
  </w:num>
  <w:num w:numId="9">
    <w:abstractNumId w:val="1553084"/>
  </w:num>
  <w:num w:numId="10">
    <w:abstractNumId w:val="1553085"/>
  </w:num>
  <w:num w:numId="11">
    <w:abstractNumId w:val="1553086"/>
  </w:num>
  <w:num w:numId="12">
    <w:abstractNumId w:val="1553087"/>
  </w:num>
  <w:num w:numId="13">
    <w:abstractNumId w:val="1553088"/>
  </w:num>
  <w:num w:numId="14">
    <w:abstractNumId w:val="1553089"/>
  </w:num>
  <w:num w:numId="15">
    <w:abstractNumId w:val="1553090"/>
  </w:num>
  <w:num w:numId="16">
    <w:abstractNumId w:val="1553091"/>
  </w:num>
  <w:num w:numId="17">
    <w:abstractNumId w:val="1553092"/>
  </w:num>
  <w:num w:numId="18">
    <w:abstractNumId w:val="1553093"/>
  </w:num>
  <w:num w:numId="19">
    <w:abstractNumId w:val="1553094"/>
  </w:num>
  <w:num w:numId="20">
    <w:abstractNumId w:val="1553095"/>
  </w:num>
  <w:num w:numId="21">
    <w:abstractNumId w:val="1553096"/>
  </w:num>
  <w:num w:numId="22">
    <w:abstractNumId w:val="1553097"/>
  </w:num>
  <w:num w:numId="23">
    <w:abstractNumId w:val="1553098"/>
  </w:num>
  <w:num w:numId="24">
    <w:abstractNumId w:val="1553099"/>
  </w:num>
  <w:num w:numId="25">
    <w:abstractNumId w:val="1553100"/>
  </w:num>
  <w:num w:numId="26">
    <w:abstractNumId w:val="1553101"/>
  </w:num>
  <w:num w:numId="27">
    <w:abstractNumId w:val="1553102"/>
  </w:num>
  <w:num w:numId="28">
    <w:abstractNumId w:val="1553103"/>
  </w:num>
  <w:num w:numId="29">
    <w:abstractNumId w:val="1553104"/>
  </w:num>
  <w:num w:numId="30">
    <w:abstractNumId w:val="1553105"/>
  </w:num>
  <w:num w:numId="31">
    <w:abstractNumId w:val="1553106"/>
  </w:num>
  <w:num w:numId="32">
    <w:abstractNumId w:val="1553107"/>
  </w:num>
  <w:num w:numId="33">
    <w:abstractNumId w:val="1553108"/>
  </w:num>
  <w:num w:numId="34">
    <w:abstractNumId w:val="1553109"/>
  </w:num>
  <w:num w:numId="35">
    <w:abstractNumId w:val="1553110"/>
  </w:num>
  <w:num w:numId="36">
    <w:abstractNumId w:val="1553111"/>
  </w:num>
  <w:num w:numId="37">
    <w:abstractNumId w:val="1553112"/>
  </w:num>
  <w:num w:numId="38">
    <w:abstractNumId w:val="1553113"/>
  </w:num>
  <w:num w:numId="39">
    <w:abstractNumId w:val="155311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2026-02-02T14:55:49Z</dcterms:created>
  <dc:creator>Apache POI</dc:creator>
</cp:coreProperties>
</file>