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资产上链权益化流程中的核心闭环解析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很抱歉，我无法直接将文字转化为PDF格式，但可以为你提供适配PDF导出的规范排版文本（保留原结构、代码块和逻辑关系），你复制后可通过WPS、Word等工具一键导出为PDF，步骤如下：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0" w:id="0"/>
      <w:r>
        <w:rPr>
          <w:rFonts w:eastAsia="等线" w:ascii="Arial" w:cs="Arial" w:hAnsi="Arial"/>
          <w:b w:val="true"/>
          <w:sz w:val="30"/>
        </w:rPr>
        <w:t>资产上链并权益化流程中的5个核心闭环解析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通过分析这个资产上链并权益化的完整流程，我发现其中隐藏着</w:t>
      </w:r>
      <w:r>
        <w:rPr>
          <w:rFonts w:eastAsia="等线" w:ascii="Arial" w:cs="Arial" w:hAnsi="Arial"/>
          <w:b w:val="true"/>
          <w:sz w:val="22"/>
        </w:rPr>
        <w:t>5个核心闭环</w:t>
      </w:r>
      <w:r>
        <w:rPr>
          <w:rFonts w:eastAsia="等线" w:ascii="Arial" w:cs="Arial" w:hAnsi="Arial"/>
          <w:sz w:val="22"/>
        </w:rPr>
        <w:t>：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一、五个核心闭环详解</w:t>
      </w:r>
      <w:bookmarkEnd w:id="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1. 合规审批闭环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资产申请上链 → 资产合规流程 → 资产审批流程 → 资产估值流程 → 获得链上确权</w:t>
              <w:br/>
              <w:t xml:space="preserve">        ↑                                                              ↓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└─────────────────── 合规标准反馈 ─────────────────────┘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特点</w:t>
      </w:r>
      <w:r>
        <w:rPr>
          <w:rFonts w:eastAsia="等线" w:ascii="Arial" w:cs="Arial" w:hAnsi="Arial"/>
          <w:sz w:val="22"/>
        </w:rPr>
        <w:t>：传统金融合规与现代区块链确权的融合闭环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" w:id="3"/>
      <w:r>
        <w:rPr>
          <w:rFonts w:eastAsia="等线" w:ascii="Arial" w:cs="Arial" w:hAnsi="Arial"/>
          <w:b w:val="true"/>
          <w:sz w:val="30"/>
        </w:rPr>
        <w:t>2. DNA身份生成闭环</w:t>
      </w:r>
      <w:bookmarkEnd w:id="3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获得链上确权 → 产生TOKEN → 产生加密DNA → 产生CODE → 系统发放链上权证凭证</w:t>
              <w:br/>
              <w:t xml:space="preserve">      ↑                                                                  ↓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└────────────── 身份验证与完整性校验 ──────────────┘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特点</w:t>
      </w:r>
      <w:r>
        <w:rPr>
          <w:rFonts w:eastAsia="等线" w:ascii="Arial" w:cs="Arial" w:hAnsi="Arial"/>
          <w:sz w:val="22"/>
        </w:rPr>
        <w:t>：从资产到数字身份的闭环转换，确保唯一性和不可篡改性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3. 托管与所有权分离闭环</w:t>
      </w:r>
      <w:bookmarkEnd w:id="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产生加密DNA → 系统将资产托管给第三方托管公司 ←─ 上链托管TOKEN所有权</w:t>
              <w:br/>
              <w:t xml:space="preserve">      ↓                                                              ↑</w:t>
              <w:br/>
            </w:r>
            <w:r>
              <w:rPr>
                <w:rFonts w:eastAsia="Consolas" w:ascii="Consolas" w:cs="Consolas" w:hAnsi="Consolas"/>
                <w:sz w:val="22"/>
              </w:rPr>
              <w:t>衍生权益化资产 → 铸造XTZH → 发行权益化资产代币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特点</w:t>
      </w:r>
      <w:r>
        <w:rPr>
          <w:rFonts w:eastAsia="等线" w:ascii="Arial" w:cs="Arial" w:hAnsi="Arial"/>
          <w:sz w:val="22"/>
        </w:rPr>
        <w:t>：实物/资产所有权与权益化代币所有权的分离与协同闭环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4. 权益衍生闭环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链上权证凭证 → 衍生权益化资产 → 上链托管TOKEN所有权 → 铸造XTZH → 发行权益化资产代币</w:t>
              <w:br/>
              <w:t xml:space="preserve">      ↑                                                                              ↓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└─────────── 权益层级验证与价值关联 ──────────────┘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特点</w:t>
      </w:r>
      <w:r>
        <w:rPr>
          <w:rFonts w:eastAsia="等线" w:ascii="Arial" w:cs="Arial" w:hAnsi="Arial"/>
          <w:sz w:val="22"/>
        </w:rPr>
        <w:t>：从基础所有权到多层次权益的衍生与验证闭环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5. 流通交易闭环</w:t>
      </w:r>
      <w:bookmarkEnd w:id="6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在区块链浏览器上显示 → 装入钱包 → 交易所上线交易权益化资产代币</w:t>
              <w:br/>
              <w:t xml:space="preserve">          ↑                                                              ↓</w:t>
              <w:br/>
            </w:r>
            <w:r>
              <w:rPr>
                <w:rFonts w:eastAsia="Consolas" w:ascii="Consolas" w:cs="Consolas" w:hAnsi="Consolas"/>
                <w:sz w:val="22"/>
              </w:rPr>
              <w:t xml:space="preserve">          └─────── 交易数据反馈到资产估值与合规 ───────┘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特点</w:t>
      </w:r>
      <w:r>
        <w:rPr>
          <w:rFonts w:eastAsia="等线" w:ascii="Arial" w:cs="Arial" w:hAnsi="Arial"/>
          <w:sz w:val="22"/>
        </w:rPr>
        <w:t>：市场定价与价值发现的闭环反馈机制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二、闭环之间的嵌套关系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大闭环（完整资产证券化闭环）：</w:t>
              <w:br/>
              <w:t>┌─────────────────────────────────────────────────────────────────────────────┐</w:t>
              <w:br/>
              <w:t>│                                                                             │</w:t>
              <w:br/>
              <w:t>│  合规审批闭环   →   DNA身份生成闭环   →   权益衍生闭环   →   流通交易闭环   │</w:t>
              <w:br/>
              <w:t>│        ↓               ↓                     ↓                    ↓        │</w:t>
              <w:br/>
              <w:t>│  托管与所有权分离闭环 ←─────────────────────────────────────────────┘        │</w:t>
              <w:br/>
              <w:t>│                                                                 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三、每个闭环的关键创新点</w:t>
      </w:r>
      <w:bookmarkEnd w:id="8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闭环1：合规审批闭环</w:t>
      </w:r>
      <w:bookmarkEnd w:id="9"/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创新：将传统金融审批流程与链上确权无缝对接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价值：确保合规性同时实现自动化确权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闭环2：DNA身份生成闭环</w:t>
      </w:r>
      <w:bookmarkEnd w:id="10"/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创新：创建资产的"数字基因"，包含可读CODE和加密哈希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价值：为资产提供唯一、不可篡改的跨系统身份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闭环3：托管与所有权分离闭环</w:t>
      </w:r>
      <w:bookmarkEnd w:id="11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创新：实现实物托管与权益代币的分离，降低法律风险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价值：符合监管要求，支持大规模资产证券化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闭环4：权益衍生闭环</w:t>
      </w:r>
      <w:bookmarkEnd w:id="12"/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创新：从基础所有权衍生出多层次权益（如收益权、投票权等）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价值：释放资产流动性，创造新型金融产品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闭环5：流通交易闭环</w:t>
      </w:r>
      <w:bookmarkEnd w:id="13"/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创新：建立从链上确权到二级市场交易的完整通路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价值：形成价格发现机制，增强资产流动性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四、闭环系统的协同效应</w:t>
      </w:r>
      <w:bookmarkEnd w:id="1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这五个闭环共同形成了</w:t>
      </w:r>
      <w:r>
        <w:rPr>
          <w:rFonts w:eastAsia="等线" w:ascii="Arial" w:cs="Arial" w:hAnsi="Arial"/>
          <w:b w:val="true"/>
          <w:sz w:val="22"/>
        </w:rPr>
        <w:t>自我强化的生态系统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正向反馈循环：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交易活跃度 → 资产估值提升 → 合规审批标准优化 → 更多资产上链</w:t>
            </w:r>
          </w:p>
        </w:tc>
      </w:tr>
    </w:tbl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风险控制循环：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市场异常 → 合规审查收紧 → 资产DNA验证强化 → 托管要求提高</w:t>
            </w:r>
          </w:p>
        </w:tc>
      </w:tr>
    </w:tbl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价值发现循环：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代币交易价格 → 反映资产内在价值 → 影响新资产估值 → 优化发行定价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五、技术实现的关键点</w:t>
      </w:r>
      <w:bookmarkEnd w:id="15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1. 跨闭环数据一致性</w:t>
      </w:r>
      <w:bookmarkEnd w:id="16"/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DNA哈希作为所有闭环的统一标识符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智能合约确保各环节自动执行和状态同步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7" w:id="17"/>
      <w:r>
        <w:rPr>
          <w:rFonts w:eastAsia="等线" w:ascii="Arial" w:cs="Arial" w:hAnsi="Arial"/>
          <w:b w:val="true"/>
          <w:sz w:val="30"/>
        </w:rPr>
        <w:t>2. 状态机管理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每个闭环对应一个状态机，状态转换触发下一闭环启动：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待审批 → 已确权 → DNA生成中 → 已托管 → 已代币化 → 交易中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8" w:id="18"/>
      <w:r>
        <w:rPr>
          <w:rFonts w:eastAsia="等线" w:ascii="Arial" w:cs="Arial" w:hAnsi="Arial"/>
          <w:b w:val="true"/>
          <w:sz w:val="30"/>
        </w:rPr>
        <w:t>3. 审计追踪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每个闭环产生的数据都上链存证，形成完整的审计轨迹。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六、隐藏的第六个"元闭环"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实际上还有一个</w:t>
      </w:r>
      <w:r>
        <w:rPr>
          <w:rFonts w:eastAsia="等线" w:ascii="Arial" w:cs="Arial" w:hAnsi="Arial"/>
          <w:b w:val="true"/>
          <w:sz w:val="22"/>
        </w:rPr>
        <w:t>系统级元闭环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技术系统优化 ← 市场监管反馈 ← 用户行为分析 ← 交易数据分析</w:t>
              <w:br/>
              <w:t xml:space="preserve">      ↓               ↑               ↑               ↑</w:t>
              <w:br/>
            </w:r>
            <w:r>
              <w:rPr>
                <w:rFonts w:eastAsia="Consolas" w:ascii="Consolas" w:cs="Consolas" w:hAnsi="Consolas"/>
                <w:sz w:val="22"/>
              </w:rPr>
              <w:t>系统迭代升级   监管政策调整   产品服务优化   市场策略调整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这个元闭环通过对五个核心闭环的监控和优化，实现整个系统的持续改进。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总结</w:t>
      </w:r>
      <w:bookmarkEnd w:id="2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这个流程中隐藏的</w:t>
      </w:r>
      <w:r>
        <w:rPr>
          <w:rFonts w:eastAsia="等线" w:ascii="Arial" w:cs="Arial" w:hAnsi="Arial"/>
          <w:b w:val="true"/>
          <w:sz w:val="22"/>
        </w:rPr>
        <w:t>5个核心闭环</w:t>
      </w:r>
      <w:r>
        <w:rPr>
          <w:rFonts w:eastAsia="等线" w:ascii="Arial" w:cs="Arial" w:hAnsi="Arial"/>
          <w:sz w:val="22"/>
        </w:rPr>
        <w:t>构成了现代数字资产证券化的完整框架。每个闭环解决特定的业务问题，同时相互协同，共同确保系统的合规性、安全性、流动性和可扩展性。这种多重闭环设计是该系统的核心创新之一，也是其能够支撑大规模资产上链和权益化的关键所在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1" w:id="21"/>
      <w:bookmarkEnd w:id="2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5000395">
    <w:lvl>
      <w:numFmt w:val="bullet"/>
      <w:suff w:val="tab"/>
      <w:lvlText w:val="•"/>
      <w:rPr>
        <w:color w:val="3370ff"/>
      </w:rPr>
    </w:lvl>
  </w:abstractNum>
  <w:abstractNum w:abstractNumId="5000396">
    <w:lvl>
      <w:numFmt w:val="bullet"/>
      <w:suff w:val="tab"/>
      <w:lvlText w:val="•"/>
      <w:rPr>
        <w:color w:val="3370ff"/>
      </w:rPr>
    </w:lvl>
  </w:abstractNum>
  <w:abstractNum w:abstractNumId="5000397">
    <w:lvl>
      <w:numFmt w:val="bullet"/>
      <w:suff w:val="tab"/>
      <w:lvlText w:val="•"/>
      <w:rPr>
        <w:color w:val="3370ff"/>
      </w:rPr>
    </w:lvl>
  </w:abstractNum>
  <w:abstractNum w:abstractNumId="5000398">
    <w:lvl>
      <w:numFmt w:val="bullet"/>
      <w:suff w:val="tab"/>
      <w:lvlText w:val="•"/>
      <w:rPr>
        <w:color w:val="3370ff"/>
      </w:rPr>
    </w:lvl>
  </w:abstractNum>
  <w:abstractNum w:abstractNumId="5000399">
    <w:lvl>
      <w:numFmt w:val="bullet"/>
      <w:suff w:val="tab"/>
      <w:lvlText w:val="•"/>
      <w:rPr>
        <w:color w:val="3370ff"/>
      </w:rPr>
    </w:lvl>
  </w:abstractNum>
  <w:abstractNum w:abstractNumId="5000400">
    <w:lvl>
      <w:numFmt w:val="bullet"/>
      <w:suff w:val="tab"/>
      <w:lvlText w:val="•"/>
      <w:rPr>
        <w:color w:val="3370ff"/>
      </w:rPr>
    </w:lvl>
  </w:abstractNum>
  <w:abstractNum w:abstractNumId="5000401">
    <w:lvl>
      <w:numFmt w:val="bullet"/>
      <w:suff w:val="tab"/>
      <w:lvlText w:val="•"/>
      <w:rPr>
        <w:color w:val="3370ff"/>
      </w:rPr>
    </w:lvl>
  </w:abstractNum>
  <w:abstractNum w:abstractNumId="5000402">
    <w:lvl>
      <w:numFmt w:val="bullet"/>
      <w:suff w:val="tab"/>
      <w:lvlText w:val="•"/>
      <w:rPr>
        <w:color w:val="3370ff"/>
      </w:rPr>
    </w:lvl>
  </w:abstractNum>
  <w:abstractNum w:abstractNumId="5000403">
    <w:lvl>
      <w:numFmt w:val="bullet"/>
      <w:suff w:val="tab"/>
      <w:lvlText w:val="•"/>
      <w:rPr>
        <w:color w:val="3370ff"/>
      </w:rPr>
    </w:lvl>
  </w:abstractNum>
  <w:abstractNum w:abstractNumId="5000404">
    <w:lvl>
      <w:numFmt w:val="bullet"/>
      <w:suff w:val="tab"/>
      <w:lvlText w:val="•"/>
      <w:rPr>
        <w:color w:val="3370ff"/>
      </w:rPr>
    </w:lvl>
  </w:abstractNum>
  <w:abstractNum w:abstractNumId="5000405">
    <w:lvl>
      <w:start w:val="1"/>
      <w:numFmt w:val="decimal"/>
      <w:suff w:val="tab"/>
      <w:lvlText w:val="%1."/>
      <w:rPr>
        <w:color w:val="3370ff"/>
      </w:rPr>
    </w:lvl>
  </w:abstractNum>
  <w:abstractNum w:abstractNumId="5000406">
    <w:lvl>
      <w:start w:val="2"/>
      <w:numFmt w:val="decimal"/>
      <w:suff w:val="tab"/>
      <w:lvlText w:val="%1."/>
      <w:rPr>
        <w:color w:val="3370ff"/>
      </w:rPr>
    </w:lvl>
  </w:abstractNum>
  <w:abstractNum w:abstractNumId="5000407">
    <w:lvl>
      <w:start w:val="3"/>
      <w:numFmt w:val="decimal"/>
      <w:suff w:val="tab"/>
      <w:lvlText w:val="%1."/>
      <w:rPr>
        <w:color w:val="3370ff"/>
      </w:rPr>
    </w:lvl>
  </w:abstractNum>
  <w:abstractNum w:abstractNumId="5000408">
    <w:lvl>
      <w:numFmt w:val="bullet"/>
      <w:suff w:val="tab"/>
      <w:lvlText w:val="•"/>
      <w:rPr>
        <w:color w:val="3370ff"/>
      </w:rPr>
    </w:lvl>
  </w:abstractNum>
  <w:abstractNum w:abstractNumId="5000409">
    <w:lvl>
      <w:numFmt w:val="bullet"/>
      <w:suff w:val="tab"/>
      <w:lvlText w:val="•"/>
      <w:rPr>
        <w:color w:val="3370ff"/>
      </w:rPr>
    </w:lvl>
  </w:abstractNum>
  <w:num w:numId="1">
    <w:abstractNumId w:val="5000395"/>
  </w:num>
  <w:num w:numId="2">
    <w:abstractNumId w:val="5000396"/>
  </w:num>
  <w:num w:numId="3">
    <w:abstractNumId w:val="5000397"/>
  </w:num>
  <w:num w:numId="4">
    <w:abstractNumId w:val="5000398"/>
  </w:num>
  <w:num w:numId="5">
    <w:abstractNumId w:val="5000399"/>
  </w:num>
  <w:num w:numId="6">
    <w:abstractNumId w:val="5000400"/>
  </w:num>
  <w:num w:numId="7">
    <w:abstractNumId w:val="5000401"/>
  </w:num>
  <w:num w:numId="8">
    <w:abstractNumId w:val="5000402"/>
  </w:num>
  <w:num w:numId="9">
    <w:abstractNumId w:val="5000403"/>
  </w:num>
  <w:num w:numId="10">
    <w:abstractNumId w:val="5000404"/>
  </w:num>
  <w:num w:numId="11">
    <w:abstractNumId w:val="5000405"/>
  </w:num>
  <w:num w:numId="12">
    <w:abstractNumId w:val="5000406"/>
  </w:num>
  <w:num w:numId="13">
    <w:abstractNumId w:val="5000407"/>
  </w:num>
  <w:num w:numId="14">
    <w:abstractNumId w:val="5000408"/>
  </w:num>
  <w:num w:numId="15">
    <w:abstractNumId w:val="5000409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2026-02-04T05:32:35Z</dcterms:created>
  <dc:creator>Apache POI</dc:creator>
</cp:coreProperties>
</file>