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 xmlns:r="http://schemas.openxmlformats.org/officeDocument/2006/relationships">
  <w:body>
    <w:p>
      <w:pPr>
        <w:spacing w:before="480" w:after="480" w:line="288" w:lineRule="auto"/>
        <w:ind w:left="0"/>
      </w:pPr>
      <w:r>
        <w:rPr>
          <w:rFonts w:eastAsia="等线" w:ascii="Arial" w:cs="Arial" w:hAnsi="Arial"/>
          <w:b w:val="true"/>
          <w:sz w:val="52"/>
        </w:rPr>
        <w:t>金融资产上链指引（NAC原生公链合规版）V1.0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0" w:id="0"/>
      <w:r>
        <w:rPr>
          <w:rFonts w:eastAsia="等线" w:ascii="Arial" w:cs="Arial" w:hAnsi="Arial"/>
          <w:b w:val="true"/>
          <w:sz w:val="32"/>
        </w:rPr>
        <w:t>指引说明</w:t>
      </w:r>
      <w:bookmarkEnd w:id="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本指引为债券、股票、不良资产、保险（及保险风险证券化产品）四类核心金融资产，基于 </w:t>
      </w:r>
      <w:r>
        <w:rPr>
          <w:rFonts w:eastAsia="等线" w:ascii="Arial" w:cs="Arial" w:hAnsi="Arial"/>
          <w:b w:val="true"/>
          <w:sz w:val="22"/>
        </w:rPr>
        <w:t>NAC公链原生协议栈</w:t>
      </w:r>
      <w:r>
        <w:rPr>
          <w:rFonts w:eastAsia="等线" w:ascii="Arial" w:cs="Arial" w:hAnsi="Arial"/>
          <w:sz w:val="22"/>
        </w:rPr>
        <w:t xml:space="preserve"> 进行合规数字化与代币化提供框架。其核心在于：</w:t>
      </w:r>
      <w:r>
        <w:rPr>
          <w:rFonts w:eastAsia="等线" w:ascii="Arial" w:cs="Arial" w:hAnsi="Arial"/>
          <w:b w:val="true"/>
          <w:sz w:val="22"/>
        </w:rPr>
        <w:t>将金融合约的条款与现金流权利，通过智能合约转化为可编程、可自动执行、且由XTZH质押与主权规则共同约束的链上原生资产</w:t>
      </w:r>
      <w:r>
        <w:rPr>
          <w:rFonts w:eastAsia="等线" w:ascii="Arial" w:cs="Arial" w:hAnsi="Arial"/>
          <w:sz w:val="22"/>
        </w:rPr>
        <w:t>，旨在提升效率、透明度并创造新的流动性。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" w:id="1"/>
      <w:r>
        <w:rPr>
          <w:rFonts w:eastAsia="等线" w:ascii="Arial" w:cs="Arial" w:hAnsi="Arial"/>
          <w:b w:val="true"/>
          <w:sz w:val="32"/>
        </w:rPr>
        <w:t>第一章：NAC原生框架下的金融资产上链总则</w:t>
      </w:r>
      <w:bookmarkEnd w:id="1"/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2" w:id="2"/>
      <w:r>
        <w:rPr>
          <w:rFonts w:eastAsia="等线" w:ascii="Arial" w:cs="Arial" w:hAnsi="Arial"/>
          <w:b w:val="true"/>
          <w:sz w:val="30"/>
        </w:rPr>
        <w:t>第1条 上链核心范式</w:t>
      </w:r>
      <w:bookmarkEnd w:id="2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在NAC公链上，金融资产上链不是简单的“代币表示”，而是其 </w:t>
      </w:r>
      <w:r>
        <w:rPr>
          <w:rFonts w:eastAsia="等线" w:ascii="Arial" w:cs="Arial" w:hAnsi="Arial"/>
          <w:b w:val="true"/>
          <w:sz w:val="22"/>
        </w:rPr>
        <w:t>“法律与经济逻辑的链上部署”</w:t>
      </w:r>
      <w:r>
        <w:rPr>
          <w:rFonts w:eastAsia="等线" w:ascii="Arial" w:cs="Arial" w:hAnsi="Arial"/>
          <w:sz w:val="22"/>
        </w:rPr>
        <w:t>。这要求：</w:t>
      </w:r>
    </w:p>
    <w:p>
      <w:pPr>
        <w:numPr>
          <w:numId w:val="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逻辑原子化</w:t>
      </w:r>
      <w:r>
        <w:rPr>
          <w:rFonts w:eastAsia="等线" w:ascii="Arial" w:cs="Arial" w:hAnsi="Arial"/>
          <w:sz w:val="22"/>
        </w:rPr>
        <w:t>：将付息、分红、投票、回购、理赔等条款，拆解为独立的、可验证的智能合约模块。</w:t>
      </w:r>
    </w:p>
    <w:p>
      <w:pPr>
        <w:numPr>
          <w:numId w:val="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现金流代币化</w:t>
      </w:r>
      <w:r>
        <w:rPr>
          <w:rFonts w:eastAsia="等线" w:ascii="Arial" w:cs="Arial" w:hAnsi="Arial"/>
          <w:sz w:val="22"/>
        </w:rPr>
        <w:t>：将未来的、非标现金流（如债券利息、保单赔付池）转化为标准化的、可即时交易的ACC-20代币。</w:t>
      </w:r>
    </w:p>
    <w:p>
      <w:pPr>
        <w:numPr>
          <w:numId w:val="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权利主权化</w:t>
      </w:r>
      <w:r>
        <w:rPr>
          <w:rFonts w:eastAsia="等线" w:ascii="Arial" w:cs="Arial" w:hAnsi="Arial"/>
          <w:sz w:val="22"/>
        </w:rPr>
        <w:t xml:space="preserve">：将股权、债权、受益权等映射为 </w:t>
      </w:r>
      <w:r>
        <w:rPr>
          <w:rFonts w:eastAsia="Consolas" w:ascii="Consolas" w:cs="Consolas" w:hAnsi="Consolas"/>
          <w:sz w:val="22"/>
          <w:shd w:fill="EFF0F1"/>
        </w:rPr>
        <w:t>A1</w:t>
      </w:r>
      <w:r>
        <w:rPr>
          <w:rFonts w:eastAsia="等线" w:ascii="Arial" w:cs="Arial" w:hAnsi="Arial"/>
          <w:sz w:val="22"/>
        </w:rPr>
        <w:t>（法定所有权）、</w:t>
      </w:r>
      <w:r>
        <w:rPr>
          <w:rFonts w:eastAsia="Consolas" w:ascii="Consolas" w:cs="Consolas" w:hAnsi="Consolas"/>
          <w:sz w:val="22"/>
          <w:shd w:fill="EFF0F1"/>
        </w:rPr>
        <w:t>D1</w:t>
      </w:r>
      <w:r>
        <w:rPr>
          <w:rFonts w:eastAsia="等线" w:ascii="Arial" w:cs="Arial" w:hAnsi="Arial"/>
          <w:sz w:val="22"/>
        </w:rPr>
        <w:t>（收益权）、</w:t>
      </w:r>
      <w:r>
        <w:rPr>
          <w:rFonts w:eastAsia="Consolas" w:ascii="Consolas" w:cs="Consolas" w:hAnsi="Consolas"/>
          <w:sz w:val="22"/>
          <w:shd w:fill="EFF0F1"/>
        </w:rPr>
        <w:t>C0</w:t>
      </w:r>
      <w:r>
        <w:rPr>
          <w:rFonts w:eastAsia="等线" w:ascii="Arial" w:cs="Arial" w:hAnsi="Arial"/>
          <w:sz w:val="22"/>
        </w:rPr>
        <w:t>（有条件所有权）等主权类型，并受对应规则库约束。</w:t>
      </w:r>
    </w:p>
    <w:p>
      <w:pPr>
        <w:numPr>
          <w:numId w:val="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风险资本化</w:t>
      </w:r>
      <w:r>
        <w:rPr>
          <w:rFonts w:eastAsia="等线" w:ascii="Arial" w:cs="Arial" w:hAnsi="Arial"/>
          <w:sz w:val="22"/>
        </w:rPr>
        <w:t xml:space="preserve">：发行方或特定服务商需质押 </w:t>
      </w:r>
      <w:r>
        <w:rPr>
          <w:rFonts w:eastAsia="等线" w:ascii="Arial" w:cs="Arial" w:hAnsi="Arial"/>
          <w:b w:val="true"/>
          <w:sz w:val="22"/>
        </w:rPr>
        <w:t>XTZH</w:t>
      </w:r>
      <w:r>
        <w:rPr>
          <w:rFonts w:eastAsia="等线" w:ascii="Arial" w:cs="Arial" w:hAnsi="Arial"/>
          <w:sz w:val="22"/>
        </w:rPr>
        <w:t>，构建覆盖违约、操作风险的首层资本吸收机制。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3" w:id="3"/>
      <w:r>
        <w:rPr>
          <w:rFonts w:eastAsia="等线" w:ascii="Arial" w:cs="Arial" w:hAnsi="Arial"/>
          <w:b w:val="true"/>
          <w:sz w:val="30"/>
        </w:rPr>
        <w:t>第2条 核心支柱</w:t>
      </w:r>
      <w:bookmarkEnd w:id="3"/>
    </w:p>
    <w:p>
      <w:pPr>
        <w:numPr>
          <w:numId w:val="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GNACS金融属性与风险权重锚定</w:t>
      </w:r>
      <w:r>
        <w:rPr>
          <w:rFonts w:eastAsia="等线" w:ascii="Arial" w:cs="Arial" w:hAnsi="Arial"/>
          <w:sz w:val="22"/>
        </w:rPr>
        <w:t>：GNACS第7-8位（巴塞尔风险权重）与第9-10位（IFRS会计分类）是金融资产的定价与风险管理的核心数字输入。</w:t>
      </w:r>
    </w:p>
    <w:p>
      <w:pPr>
        <w:numPr>
          <w:numId w:val="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金融预言机与数据总线</w:t>
      </w:r>
      <w:r>
        <w:rPr>
          <w:rFonts w:eastAsia="等线" w:ascii="Arial" w:cs="Arial" w:hAnsi="Arial"/>
          <w:sz w:val="22"/>
        </w:rPr>
        <w:t xml:space="preserve">：由NAC治理认证的 </w:t>
      </w:r>
      <w:r>
        <w:rPr>
          <w:rFonts w:eastAsia="等线" w:ascii="Arial" w:cs="Arial" w:hAnsi="Arial"/>
          <w:b w:val="true"/>
          <w:sz w:val="22"/>
        </w:rPr>
        <w:t>金融数据预言机</w:t>
      </w:r>
      <w:r>
        <w:rPr>
          <w:rFonts w:eastAsia="等线" w:ascii="Arial" w:cs="Arial" w:hAnsi="Arial"/>
          <w:sz w:val="22"/>
        </w:rPr>
        <w:t>，负责喂入经审计的财务报表数据、信用事件、证券价格、死亡率/损失率指数等，作为合约执行的外部依据。</w:t>
      </w:r>
    </w:p>
    <w:p>
      <w:pPr>
        <w:numPr>
          <w:numId w:val="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动态风险准备金引擎</w:t>
      </w:r>
      <w:r>
        <w:rPr>
          <w:rFonts w:eastAsia="等线" w:ascii="Arial" w:cs="Arial" w:hAnsi="Arial"/>
          <w:sz w:val="22"/>
        </w:rPr>
        <w:t xml:space="preserve">：针对不良资产、保险风险等，建立一个由XTZH质押构成的、可根据资产池表现动态调节规模的 </w:t>
      </w:r>
      <w:r>
        <w:rPr>
          <w:rFonts w:eastAsia="等线" w:ascii="Arial" w:cs="Arial" w:hAnsi="Arial"/>
          <w:b w:val="true"/>
          <w:sz w:val="22"/>
        </w:rPr>
        <w:t>链上风险准备金池</w:t>
      </w:r>
      <w:r>
        <w:rPr>
          <w:rFonts w:eastAsia="等线" w:ascii="Arial" w:cs="Arial" w:hAnsi="Arial"/>
          <w:sz w:val="22"/>
        </w:rPr>
        <w:t>，其规模与资产GNACS风险权重挂钩。</w:t>
      </w:r>
    </w:p>
    <w:p>
      <w:pPr>
        <w:numPr>
          <w:numId w:val="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ACC-20/ACC-1400协议</w:t>
      </w:r>
      <w:r>
        <w:rPr>
          <w:rFonts w:eastAsia="等线" w:ascii="Arial" w:cs="Arial" w:hAnsi="Arial"/>
          <w:sz w:val="22"/>
        </w:rPr>
        <w:t>：使用NAC原生的同质化代币标准（ACC-20）及为其扩展的证券型代币合规接口（ACC-1400），原生支持股息分配、强制KYC、转让限制等功能。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4" w:id="4"/>
      <w:r>
        <w:rPr>
          <w:rFonts w:eastAsia="等线" w:ascii="Arial" w:cs="Arial" w:hAnsi="Arial"/>
          <w:b w:val="true"/>
          <w:sz w:val="32"/>
        </w:rPr>
        <w:t>第二章：四类资产上链方案与数据流</w:t>
      </w:r>
      <w:bookmarkEnd w:id="4"/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5" w:id="5"/>
      <w:r>
        <w:rPr>
          <w:rFonts w:eastAsia="等线" w:ascii="Arial" w:cs="Arial" w:hAnsi="Arial"/>
          <w:b w:val="true"/>
          <w:sz w:val="30"/>
        </w:rPr>
        <w:t>第3条 通用框架：金融资产数据总线与链上执行</w:t>
      </w:r>
      <w:bookmarkEnd w:id="5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所有金融资产上链均依赖以下通用数据流与执行框架：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  <w:shd w:fill="dee0e3"/>
        </w:rPr>
        <w:t>[流程图暂不支持下载]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6" w:id="6"/>
      <w:r>
        <w:rPr>
          <w:rFonts w:eastAsia="等线" w:ascii="Arial" w:cs="Arial" w:hAnsi="Arial"/>
          <w:b w:val="true"/>
          <w:sz w:val="30"/>
        </w:rPr>
        <w:t>第4条 四类资产具体实施方案</w:t>
      </w:r>
      <w:bookmarkEnd w:id="6"/>
    </w:p>
    <w:p>
      <w:pPr>
        <w:numPr>
          <w:numId w:val="9"/>
        </w:numPr>
        <w:spacing w:before="120" w:after="120" w:line="288" w:lineRule="auto"/>
        <w:ind w:left="0"/>
        <w:jc w:val="left"/>
      </w:pPr>
    </w:p>
    <w:p>
      <w:pPr>
        <w:numPr>
          <w:numId w:val="10"/>
        </w:numPr>
        <w:spacing w:before="120" w:after="120" w:line="288" w:lineRule="auto"/>
        <w:ind w:left="453"/>
        <w:jc w:val="left"/>
      </w:pPr>
    </w:p>
    <w:p>
      <w:pPr>
        <w:numPr>
          <w:numId w:val="11"/>
        </w:numPr>
        <w:spacing w:before="120" w:after="120" w:line="288" w:lineRule="auto"/>
        <w:ind w:left="0"/>
        <w:jc w:val="left"/>
      </w:pPr>
    </w:p>
    <w:p>
      <w:pPr>
        <w:numPr>
          <w:numId w:val="12"/>
        </w:numPr>
        <w:spacing w:before="120" w:after="120" w:line="288" w:lineRule="auto"/>
        <w:ind w:left="453"/>
        <w:jc w:val="left"/>
      </w:pPr>
    </w:p>
    <w:p>
      <w:pPr>
        <w:numPr>
          <w:numId w:val="13"/>
        </w:numPr>
        <w:spacing w:before="120" w:after="120" w:line="288" w:lineRule="auto"/>
        <w:ind w:left="0"/>
        <w:jc w:val="left"/>
      </w:pPr>
    </w:p>
    <w:p>
      <w:pPr>
        <w:numPr>
          <w:numId w:val="14"/>
        </w:numPr>
        <w:spacing w:before="120" w:after="120" w:line="288" w:lineRule="auto"/>
        <w:ind w:left="453"/>
        <w:jc w:val="left"/>
      </w:pPr>
    </w:p>
    <w:p>
      <w:pPr>
        <w:numPr>
          <w:numId w:val="1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债券（公司债、资产支持证券-ABS）GNACS锚定</w:t>
      </w:r>
      <w:r>
        <w:rPr>
          <w:rFonts w:eastAsia="等线" w:ascii="Arial" w:cs="Arial" w:hAnsi="Arial"/>
          <w:sz w:val="22"/>
        </w:rPr>
        <w:t xml:space="preserve">：第1-6位 </w:t>
      </w:r>
      <w:r>
        <w:rPr>
          <w:rFonts w:eastAsia="Consolas" w:ascii="Consolas" w:cs="Consolas" w:hAnsi="Consolas"/>
          <w:sz w:val="22"/>
          <w:shd w:fill="EFF0F1"/>
        </w:rPr>
        <w:t>9802XX</w:t>
      </w:r>
      <w:r>
        <w:rPr>
          <w:rFonts w:eastAsia="等线" w:ascii="Arial" w:cs="Arial" w:hAnsi="Arial"/>
          <w:sz w:val="22"/>
        </w:rPr>
        <w:t>（债券类），第7-8位根据发行人信用评级确定。</w:t>
      </w:r>
    </w:p>
    <w:p>
      <w:pPr>
        <w:numPr>
          <w:numId w:val="1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主权映射</w:t>
      </w:r>
      <w:r>
        <w:rPr>
          <w:rFonts w:eastAsia="等线" w:ascii="Arial" w:cs="Arial" w:hAnsi="Arial"/>
          <w:sz w:val="22"/>
        </w:rPr>
        <w:t>：核心为</w:t>
      </w:r>
      <w:r>
        <w:rPr>
          <w:rFonts w:eastAsia="Consolas" w:ascii="Consolas" w:cs="Consolas" w:hAnsi="Consolas"/>
          <w:b w:val="true"/>
          <w:sz w:val="22"/>
          <w:shd w:fill="EFF0F1"/>
        </w:rPr>
        <w:t>D1</w:t>
      </w:r>
      <w:r>
        <w:rPr>
          <w:rFonts w:eastAsia="等线" w:ascii="Arial" w:cs="Arial" w:hAnsi="Arial"/>
          <w:b w:val="true"/>
          <w:sz w:val="22"/>
        </w:rPr>
        <w:t>（收益权主权）</w:t>
      </w:r>
      <w:r>
        <w:rPr>
          <w:rFonts w:eastAsia="等线" w:ascii="Arial" w:cs="Arial" w:hAnsi="Arial"/>
          <w:sz w:val="22"/>
        </w:rPr>
        <w:t xml:space="preserve"> ，代表收取本金和利息的权利。</w:t>
      </w:r>
    </w:p>
    <w:p>
      <w:pPr>
        <w:numPr>
          <w:numId w:val="1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NAC链上实现</w:t>
      </w:r>
      <w:r>
        <w:rPr>
          <w:rFonts w:eastAsia="等线" w:ascii="Arial" w:cs="Arial" w:hAnsi="Arial"/>
          <w:sz w:val="22"/>
        </w:rPr>
        <w:t>：</w:t>
        <w:br/>
      </w:r>
      <w:r>
        <w:rPr>
          <w:rFonts w:eastAsia="等线" w:ascii="Arial" w:cs="Arial" w:hAnsi="Arial"/>
          <w:sz w:val="22"/>
        </w:rPr>
        <w:t xml:space="preserve">        合约根据预言机确认的付息日与违约事件，自动将托管账户中的资金转换为稳定币并向持有人分配。</w:t>
      </w:r>
    </w:p>
    <w:p>
      <w:pPr>
        <w:numPr>
          <w:numId w:val="1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可引入 </w:t>
      </w:r>
      <w:r>
        <w:rPr>
          <w:rFonts w:eastAsia="等线" w:ascii="Arial" w:cs="Arial" w:hAnsi="Arial"/>
          <w:b w:val="true"/>
          <w:sz w:val="22"/>
        </w:rPr>
        <w:t>“偿债准备金”</w:t>
      </w:r>
      <w:r>
        <w:rPr>
          <w:rFonts w:eastAsia="等线" w:ascii="Arial" w:cs="Arial" w:hAnsi="Arial"/>
          <w:sz w:val="22"/>
        </w:rPr>
        <w:t xml:space="preserve"> ，发行方超额质押XTZH，若现金流临时短缺，合约可自动动用准备金付息，避免技术性违约。</w:t>
      </w:r>
    </w:p>
    <w:p>
      <w:pPr>
        <w:numPr>
          <w:numId w:val="1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对于ABS，底层资产回款由服务商通过预言机上报，触发瀑布式分配。</w:t>
      </w:r>
    </w:p>
    <w:p>
      <w:pPr>
        <w:numPr>
          <w:numId w:val="2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股票（股权、基金份额）GNACS锚定</w:t>
      </w:r>
      <w:r>
        <w:rPr>
          <w:rFonts w:eastAsia="等线" w:ascii="Arial" w:cs="Arial" w:hAnsi="Arial"/>
          <w:sz w:val="22"/>
        </w:rPr>
        <w:t xml:space="preserve">：第1-6位 </w:t>
      </w:r>
      <w:r>
        <w:rPr>
          <w:rFonts w:eastAsia="Consolas" w:ascii="Consolas" w:cs="Consolas" w:hAnsi="Consolas"/>
          <w:sz w:val="22"/>
          <w:shd w:fill="EFF0F1"/>
        </w:rPr>
        <w:t>9801XX</w:t>
      </w:r>
      <w:r>
        <w:rPr>
          <w:rFonts w:eastAsia="等线" w:ascii="Arial" w:cs="Arial" w:hAnsi="Arial"/>
          <w:sz w:val="22"/>
        </w:rPr>
        <w:t xml:space="preserve">（股票类），第21-22位通常为 </w:t>
      </w:r>
      <w:r>
        <w:rPr>
          <w:rFonts w:eastAsia="Consolas" w:ascii="Consolas" w:cs="Consolas" w:hAnsi="Consolas"/>
          <w:sz w:val="22"/>
          <w:shd w:fill="EFF0F1"/>
        </w:rPr>
        <w:t>01</w:t>
      </w:r>
      <w:r>
        <w:rPr>
          <w:rFonts w:eastAsia="等线" w:ascii="Arial" w:cs="Arial" w:hAnsi="Arial"/>
          <w:sz w:val="22"/>
        </w:rPr>
        <w:t>（永久资产）。</w:t>
      </w:r>
    </w:p>
    <w:p>
      <w:pPr>
        <w:numPr>
          <w:numId w:val="2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主权映射</w:t>
      </w:r>
      <w:r>
        <w:rPr>
          <w:rFonts w:eastAsia="等线" w:ascii="Arial" w:cs="Arial" w:hAnsi="Arial"/>
          <w:sz w:val="22"/>
        </w:rPr>
        <w:t xml:space="preserve">：核心为 </w:t>
      </w:r>
      <w:r>
        <w:rPr>
          <w:rFonts w:eastAsia="Consolas" w:ascii="Consolas" w:cs="Consolas" w:hAnsi="Consolas"/>
          <w:b w:val="true"/>
          <w:sz w:val="22"/>
          <w:shd w:fill="EFF0F1"/>
        </w:rPr>
        <w:t>A1</w:t>
      </w:r>
      <w:r>
        <w:rPr>
          <w:rFonts w:eastAsia="等线" w:ascii="Arial" w:cs="Arial" w:hAnsi="Arial"/>
          <w:b w:val="true"/>
          <w:sz w:val="22"/>
        </w:rPr>
        <w:t>（法定所有权）</w:t>
      </w:r>
      <w:r>
        <w:rPr>
          <w:rFonts w:eastAsia="等线" w:ascii="Arial" w:cs="Arial" w:hAnsi="Arial"/>
          <w:sz w:val="22"/>
        </w:rPr>
        <w:t xml:space="preserve"> ，并附带 </w:t>
      </w:r>
      <w:r>
        <w:rPr>
          <w:rFonts w:eastAsia="Consolas" w:ascii="Consolas" w:cs="Consolas" w:hAnsi="Consolas"/>
          <w:sz w:val="22"/>
          <w:shd w:fill="EFF0F1"/>
        </w:rPr>
        <w:t>B1</w:t>
      </w:r>
      <w:r>
        <w:rPr>
          <w:rFonts w:eastAsia="等线" w:ascii="Arial" w:cs="Arial" w:hAnsi="Arial"/>
          <w:sz w:val="22"/>
        </w:rPr>
        <w:t xml:space="preserve">（收益权-分红）和 </w:t>
      </w:r>
      <w:r>
        <w:rPr>
          <w:rFonts w:eastAsia="Consolas" w:ascii="Consolas" w:cs="Consolas" w:hAnsi="Consolas"/>
          <w:sz w:val="22"/>
          <w:shd w:fill="EFF0F1"/>
        </w:rPr>
        <w:t>B2</w:t>
      </w:r>
      <w:r>
        <w:rPr>
          <w:rFonts w:eastAsia="等线" w:ascii="Arial" w:cs="Arial" w:hAnsi="Arial"/>
          <w:sz w:val="22"/>
        </w:rPr>
        <w:t>（处置权-投票）。</w:t>
      </w:r>
    </w:p>
    <w:p>
      <w:pPr>
        <w:numPr>
          <w:numId w:val="2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NAC链上实现</w:t>
      </w:r>
      <w:r>
        <w:rPr>
          <w:rFonts w:eastAsia="等线" w:ascii="Arial" w:cs="Arial" w:hAnsi="Arial"/>
          <w:sz w:val="22"/>
        </w:rPr>
        <w:t>：</w:t>
        <w:br/>
      </w:r>
      <w:r>
        <w:rPr>
          <w:rFonts w:eastAsia="等线" w:ascii="Arial" w:cs="Arial" w:hAnsi="Arial"/>
          <w:sz w:val="22"/>
        </w:rPr>
        <w:t xml:space="preserve">        代币持有人地址即股东名册，投票权重与代币余额实时挂钩，支持链上提案与投票。</w:t>
      </w:r>
    </w:p>
    <w:p>
      <w:pPr>
        <w:numPr>
          <w:numId w:val="2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分红由董事会决议（通过多签钱包签名）触发，合约自动执行。</w:t>
      </w:r>
    </w:p>
    <w:p>
      <w:pPr>
        <w:numPr>
          <w:numId w:val="2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股票转让受制于股东协议（</w:t>
      </w:r>
      <w:r>
        <w:rPr>
          <w:rFonts w:eastAsia="Consolas" w:ascii="Consolas" w:cs="Consolas" w:hAnsi="Consolas"/>
          <w:sz w:val="22"/>
          <w:shd w:fill="EFF0F1"/>
        </w:rPr>
        <w:t>C0</w:t>
      </w:r>
      <w:r>
        <w:rPr>
          <w:rFonts w:eastAsia="等线" w:ascii="Arial" w:cs="Arial" w:hAnsi="Arial"/>
          <w:sz w:val="22"/>
        </w:rPr>
        <w:t>有条件所有权），合约可内置优先购买权逻辑、转让批准清单等。</w:t>
      </w:r>
    </w:p>
    <w:p>
      <w:pPr>
        <w:numPr>
          <w:numId w:val="2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不良资产（不良贷款包、折价债权）GNACS锚定</w:t>
      </w:r>
      <w:r>
        <w:rPr>
          <w:rFonts w:eastAsia="等线" w:ascii="Arial" w:cs="Arial" w:hAnsi="Arial"/>
          <w:sz w:val="22"/>
        </w:rPr>
        <w:t xml:space="preserve">：第1-6位 </w:t>
      </w:r>
      <w:r>
        <w:rPr>
          <w:rFonts w:eastAsia="Consolas" w:ascii="Consolas" w:cs="Consolas" w:hAnsi="Consolas"/>
          <w:sz w:val="22"/>
          <w:shd w:fill="EFF0F1"/>
        </w:rPr>
        <w:t>9802XX</w:t>
      </w:r>
      <w:r>
        <w:rPr>
          <w:rFonts w:eastAsia="等线" w:ascii="Arial" w:cs="Arial" w:hAnsi="Arial"/>
          <w:sz w:val="22"/>
        </w:rPr>
        <w:t xml:space="preserve"> 或 </w:t>
      </w:r>
      <w:r>
        <w:rPr>
          <w:rFonts w:eastAsia="Consolas" w:ascii="Consolas" w:cs="Consolas" w:hAnsi="Consolas"/>
          <w:sz w:val="22"/>
          <w:shd w:fill="EFF0F1"/>
        </w:rPr>
        <w:t>9808XX</w:t>
      </w:r>
      <w:r>
        <w:rPr>
          <w:rFonts w:eastAsia="等线" w:ascii="Arial" w:cs="Arial" w:hAnsi="Arial"/>
          <w:sz w:val="22"/>
        </w:rPr>
        <w:t xml:space="preserve">（贷款），第7-8位风险权重可能为 </w:t>
      </w:r>
      <w:r>
        <w:rPr>
          <w:rFonts w:eastAsia="Consolas" w:ascii="Consolas" w:cs="Consolas" w:hAnsi="Consolas"/>
          <w:sz w:val="22"/>
          <w:shd w:fill="EFF0F1"/>
        </w:rPr>
        <w:t>19</w:t>
      </w:r>
      <w:r>
        <w:rPr>
          <w:rFonts w:eastAsia="等线" w:ascii="Arial" w:cs="Arial" w:hAnsi="Arial"/>
          <w:sz w:val="22"/>
        </w:rPr>
        <w:t>（400% - 不良资产）。</w:t>
      </w:r>
    </w:p>
    <w:p>
      <w:pPr>
        <w:numPr>
          <w:numId w:val="2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主权映射</w:t>
      </w:r>
      <w:r>
        <w:rPr>
          <w:rFonts w:eastAsia="等线" w:ascii="Arial" w:cs="Arial" w:hAnsi="Arial"/>
          <w:sz w:val="22"/>
        </w:rPr>
        <w:t xml:space="preserve">：核心为 </w:t>
      </w:r>
      <w:r>
        <w:rPr>
          <w:rFonts w:eastAsia="Consolas" w:ascii="Consolas" w:cs="Consolas" w:hAnsi="Consolas"/>
          <w:b w:val="true"/>
          <w:sz w:val="22"/>
          <w:shd w:fill="EFF0F1"/>
        </w:rPr>
        <w:t>C0</w:t>
      </w:r>
      <w:r>
        <w:rPr>
          <w:rFonts w:eastAsia="等线" w:ascii="Arial" w:cs="Arial" w:hAnsi="Arial"/>
          <w:b w:val="true"/>
          <w:sz w:val="22"/>
        </w:rPr>
        <w:t>（有条件所有权）</w:t>
      </w:r>
      <w:r>
        <w:rPr>
          <w:rFonts w:eastAsia="等线" w:ascii="Arial" w:cs="Arial" w:hAnsi="Arial"/>
          <w:sz w:val="22"/>
        </w:rPr>
        <w:t xml:space="preserve"> ，其最终价值实现高度依赖于处置绩效。</w:t>
      </w:r>
    </w:p>
    <w:p>
      <w:pPr>
        <w:numPr>
          <w:numId w:val="2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NAC链上实现</w:t>
      </w:r>
      <w:r>
        <w:rPr>
          <w:rFonts w:eastAsia="等线" w:ascii="Arial" w:cs="Arial" w:hAnsi="Arial"/>
          <w:sz w:val="22"/>
        </w:rPr>
        <w:t>：</w:t>
        <w:br/>
      </w:r>
      <w:r>
        <w:rPr>
          <w:rFonts w:eastAsia="等线" w:ascii="Arial" w:cs="Arial" w:hAnsi="Arial"/>
          <w:sz w:val="22"/>
        </w:rPr>
        <w:t xml:space="preserve">        资产包上链时，需由认证评估方将尽调报告哈希上链。</w:t>
      </w:r>
    </w:p>
    <w:p>
      <w:pPr>
        <w:numPr>
          <w:numId w:val="2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引入 </w:t>
      </w:r>
      <w:r>
        <w:rPr>
          <w:rFonts w:eastAsia="等线" w:ascii="Arial" w:cs="Arial" w:hAnsi="Arial"/>
          <w:b w:val="true"/>
          <w:sz w:val="22"/>
        </w:rPr>
        <w:t>“处置服务商”</w:t>
      </w:r>
      <w:r>
        <w:rPr>
          <w:rFonts w:eastAsia="等线" w:ascii="Arial" w:cs="Arial" w:hAnsi="Arial"/>
          <w:sz w:val="22"/>
        </w:rPr>
        <w:t xml:space="preserve"> 角色（</w:t>
      </w:r>
      <w:r>
        <w:rPr>
          <w:rFonts w:eastAsia="Consolas" w:ascii="Consolas" w:cs="Consolas" w:hAnsi="Consolas"/>
          <w:sz w:val="22"/>
          <w:shd w:fill="EFF0F1"/>
        </w:rPr>
        <w:t>B3</w:t>
      </w:r>
      <w:r>
        <w:rPr>
          <w:rFonts w:eastAsia="等线" w:ascii="Arial" w:cs="Arial" w:hAnsi="Arial"/>
          <w:sz w:val="22"/>
        </w:rPr>
        <w:t>管理权），其报酬与回收金额挂钩，部分报酬以XTZH形式锁定作为绩效抵押。</w:t>
      </w:r>
    </w:p>
    <w:p>
      <w:pPr>
        <w:numPr>
          <w:numId w:val="2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回收的现金流实时上链分配。可发行</w:t>
      </w:r>
      <w:r>
        <w:rPr>
          <w:rFonts w:eastAsia="等线" w:ascii="Arial" w:cs="Arial" w:hAnsi="Arial"/>
          <w:b w:val="true"/>
          <w:sz w:val="22"/>
        </w:rPr>
        <w:t>分层级证券（Senior/Junior Tranche）</w:t>
      </w:r>
      <w:r>
        <w:rPr>
          <w:rFonts w:eastAsia="等线" w:ascii="Arial" w:cs="Arial" w:hAnsi="Arial"/>
          <w:sz w:val="22"/>
        </w:rPr>
        <w:t>，不同层级对应不同GNACS风险权重与收益率。</w:t>
      </w:r>
    </w:p>
    <w:p>
      <w:pPr>
        <w:numPr>
          <w:numId w:val="3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保险与保险风险证券化（巨灾债券、保险连接证券-ILS）GNACS锚定</w:t>
      </w:r>
      <w:r>
        <w:rPr>
          <w:rFonts w:eastAsia="等线" w:ascii="Arial" w:cs="Arial" w:hAnsi="Arial"/>
          <w:sz w:val="22"/>
        </w:rPr>
        <w:t xml:space="preserve">：第1-6位 </w:t>
      </w:r>
      <w:r>
        <w:rPr>
          <w:rFonts w:eastAsia="Consolas" w:ascii="Consolas" w:cs="Consolas" w:hAnsi="Consolas"/>
          <w:sz w:val="22"/>
          <w:shd w:fill="EFF0F1"/>
        </w:rPr>
        <w:t>9805XX</w:t>
      </w:r>
      <w:r>
        <w:rPr>
          <w:rFonts w:eastAsia="等线" w:ascii="Arial" w:cs="Arial" w:hAnsi="Arial"/>
          <w:sz w:val="22"/>
        </w:rPr>
        <w:t>（保险类），是一种特殊的</w:t>
      </w:r>
      <w:r>
        <w:rPr>
          <w:rFonts w:eastAsia="Consolas" w:ascii="Consolas" w:cs="Consolas" w:hAnsi="Consolas"/>
          <w:sz w:val="22"/>
          <w:shd w:fill="EFF0F1"/>
        </w:rPr>
        <w:t>C0</w:t>
      </w:r>
      <w:r>
        <w:rPr>
          <w:rFonts w:eastAsia="等线" w:ascii="Arial" w:cs="Arial" w:hAnsi="Arial"/>
          <w:sz w:val="22"/>
        </w:rPr>
        <w:t>（条件所有权）产品。</w:t>
      </w:r>
    </w:p>
    <w:p>
      <w:pPr>
        <w:numPr>
          <w:numId w:val="3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主权映射</w:t>
      </w:r>
      <w:r>
        <w:rPr>
          <w:rFonts w:eastAsia="等线" w:ascii="Arial" w:cs="Arial" w:hAnsi="Arial"/>
          <w:sz w:val="22"/>
        </w:rPr>
        <w:t>：</w:t>
      </w:r>
      <w:r>
        <w:rPr>
          <w:rFonts w:eastAsia="Consolas" w:ascii="Consolas" w:cs="Consolas" w:hAnsi="Consolas"/>
          <w:b w:val="true"/>
          <w:sz w:val="22"/>
          <w:shd w:fill="EFF0F1"/>
        </w:rPr>
        <w:t>C0</w:t>
      </w:r>
      <w:r>
        <w:rPr>
          <w:rFonts w:eastAsia="等线" w:ascii="Arial" w:cs="Arial" w:hAnsi="Arial"/>
          <w:b w:val="true"/>
          <w:sz w:val="22"/>
        </w:rPr>
        <w:t>（有条件所有权）</w:t>
      </w:r>
      <w:r>
        <w:rPr>
          <w:rFonts w:eastAsia="等线" w:ascii="Arial" w:cs="Arial" w:hAnsi="Arial"/>
          <w:sz w:val="22"/>
        </w:rPr>
        <w:t xml:space="preserve"> ，持有人的本金和收益取决于特定保险事件（如飓风、地震）是否发生。</w:t>
      </w:r>
    </w:p>
    <w:p>
      <w:pPr>
        <w:numPr>
          <w:numId w:val="3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NAC链上实现</w:t>
      </w:r>
      <w:r>
        <w:rPr>
          <w:rFonts w:eastAsia="等线" w:ascii="Arial" w:cs="Arial" w:hAnsi="Arial"/>
          <w:sz w:val="22"/>
        </w:rPr>
        <w:t>：</w:t>
        <w:br/>
      </w:r>
      <w:r>
        <w:rPr>
          <w:rFonts w:eastAsia="等线" w:ascii="Arial" w:cs="Arial" w:hAnsi="Arial"/>
          <w:sz w:val="22"/>
        </w:rPr>
        <w:t xml:space="preserve">        </w:t>
      </w:r>
      <w:r>
        <w:rPr>
          <w:rFonts w:eastAsia="等线" w:ascii="Arial" w:cs="Arial" w:hAnsi="Arial"/>
          <w:b w:val="true"/>
          <w:sz w:val="22"/>
        </w:rPr>
        <w:t>核心是参数化触发</w:t>
      </w:r>
      <w:r>
        <w:rPr>
          <w:rFonts w:eastAsia="等线" w:ascii="Arial" w:cs="Arial" w:hAnsi="Arial"/>
          <w:sz w:val="22"/>
        </w:rPr>
        <w:t>：合约与经认证的</w:t>
      </w:r>
      <w:r>
        <w:rPr>
          <w:rFonts w:eastAsia="等线" w:ascii="Arial" w:cs="Arial" w:hAnsi="Arial"/>
          <w:b w:val="true"/>
          <w:sz w:val="22"/>
        </w:rPr>
        <w:t>气象/地质数据预言机</w:t>
      </w:r>
      <w:r>
        <w:rPr>
          <w:rFonts w:eastAsia="等线" w:ascii="Arial" w:cs="Arial" w:hAnsi="Arial"/>
          <w:sz w:val="22"/>
        </w:rPr>
        <w:t>连接。当约定参数（如风速、地震等级）被触发，理赔和本金扣除自动执行，无需传统保险理赔流程。</w:t>
      </w:r>
    </w:p>
    <w:p>
      <w:pPr>
        <w:numPr>
          <w:numId w:val="3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建立一个 </w:t>
      </w:r>
      <w:r>
        <w:rPr>
          <w:rFonts w:eastAsia="等线" w:ascii="Arial" w:cs="Arial" w:hAnsi="Arial"/>
          <w:b w:val="true"/>
          <w:sz w:val="22"/>
        </w:rPr>
        <w:t>“风险资本池”</w:t>
      </w:r>
      <w:r>
        <w:rPr>
          <w:rFonts w:eastAsia="等线" w:ascii="Arial" w:cs="Arial" w:hAnsi="Arial"/>
          <w:sz w:val="22"/>
        </w:rPr>
        <w:t xml:space="preserve"> ，由发行人及投资者共同质押XTZH，作为极端损失的超额缓冲。</w:t>
      </w:r>
    </w:p>
    <w:p>
      <w:pPr>
        <w:numPr>
          <w:numId w:val="3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保单本身也可被代币化（ACC-721），进行转让或作为融资抵押品。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7" w:id="7"/>
      <w:r>
        <w:rPr>
          <w:rFonts w:eastAsia="等线" w:ascii="Arial" w:cs="Arial" w:hAnsi="Arial"/>
          <w:b w:val="true"/>
          <w:sz w:val="32"/>
        </w:rPr>
        <w:t>第三章：标准合约模板核心机制（`RWAFinancialAssetV1.sol`）</w:t>
      </w:r>
      <w:bookmarkEnd w:id="7"/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8" w:id="8"/>
      <w:r>
        <w:rPr>
          <w:rFonts w:eastAsia="等线" w:ascii="Arial" w:cs="Arial" w:hAnsi="Arial"/>
          <w:b w:val="true"/>
          <w:sz w:val="30"/>
        </w:rPr>
        <w:t>第5条 通用状态与函数结构</w:t>
      </w:r>
      <w:bookmarkEnd w:id="8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solidity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contract RWAFinancialAssetV1 is IACC1400, SovereigntyRegistry {</w:t>
              <w:br/>
              <w:t xml:space="preserve">    bytes32 public assetInstanceId;</w:t>
              <w:br/>
              <w:t xml:space="preserve">    bytes30 public gnacsCode;</w:t>
              <w:br/>
              <w:t xml:space="preserve">    </w:t>
              <w:br/>
              <w:t xml:space="preserve">    // 金融核心</w:t>
              <w:br/>
              <w:t xml:space="preserve">    address public paymentToken; // 稳定币</w:t>
              <w:br/>
              <w:t xml:space="preserve">    address public financialOracle; // 金融数据预言机</w:t>
              <w:br/>
              <w:t xml:space="preserve">    uint256 public lastCashflowDate;</w:t>
              <w:br/>
              <w:t xml:space="preserve">    mapping(address =&gt; uint256) public accruedDividend; // 应计收益</w:t>
              <w:br/>
              <w:t xml:space="preserve">    </w:t>
              <w:br/>
              <w:t xml:space="preserve">    // 风险准备金</w:t>
              <w:br/>
              <w:t xml:space="preserve">    uint256 public riskReserveXTZH; // XTZH风险准备金余额</w:t>
              <w:br/>
              <w:t xml:space="preserve">    address public reservePool;</w:t>
              <w:br/>
              <w:t xml:space="preserve">    </w:t>
              <w:br/>
              <w:t xml:space="preserve">    // 关键函数：基于预言机数据的现金流分配</w:t>
              <w:br/>
              <w:t xml:space="preserve">    function distributeCashflow() external {</w:t>
              <w:br/>
              <w:t xml:space="preserve">        require(financialOracle.reportNewEarnings(assetInstanceId), "No earnings confirmed");</w:t>
              <w:br/>
              <w:t xml:space="preserve">        uint256 totalDistribution = _calculateDistribution(); // 根据合约逻辑计算</w:t>
              <w:br/>
              <w:t xml:space="preserve">        // 优先从运营现金流支付，不足则从风险准备金中兑换稳定币支付</w:t>
              <w:br/>
              <w:t xml:space="preserve">        _executeDistribution(totalDistribution);</w:t>
              <w:br/>
              <w:t xml:space="preserve">    }</w:t>
              <w:br/>
              <w:t xml:space="preserve">    </w:t>
              <w:br/>
              <w:t xml:space="preserve">    // 关键函数：动态调整风险准备金</w:t>
              <w:br/>
              <w:t xml:space="preserve">    function adjustRiskReserve() external onlyOracle {</w:t>
              <w:br/>
              <w:t xml:space="preserve">        uint8 riskWeight = _extractRiskWeight(gnacsCode);</w:t>
              <w:br/>
              <w:t xml:space="preserve">        uint256 targetReserve = totalSupply() * spotPrice() * riskWeight / 10000;</w:t>
              <w:br/>
              <w:t xml:space="preserve">        if (riskReserveXTZH &lt; targetReserve) {</w:t>
              <w:br/>
              <w:t xml:space="preserve">            _requestAdditionalPledge(); // 要求发行方补足XTZH质押</w:t>
              <w:br/>
              <w:t xml:space="preserve">        }</w:t>
              <w:br/>
              <w:t xml:space="preserve">    }</w:t>
              <w:br/>
              <w:t>}</w:t>
            </w:r>
          </w:p>
        </w:tc>
      </w:tr>
    </w:tbl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9" w:id="9"/>
      <w:r>
        <w:rPr>
          <w:rFonts w:eastAsia="等线" w:ascii="Arial" w:cs="Arial" w:hAnsi="Arial"/>
          <w:b w:val="true"/>
          <w:sz w:val="32"/>
        </w:rPr>
        <w:t>第四章：风险、合规与治理</w:t>
      </w:r>
      <w:bookmarkEnd w:id="9"/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0" w:id="10"/>
      <w:r>
        <w:rPr>
          <w:rFonts w:eastAsia="等线" w:ascii="Arial" w:cs="Arial" w:hAnsi="Arial"/>
          <w:b w:val="true"/>
          <w:sz w:val="30"/>
        </w:rPr>
        <w:t>第6条 特有风险提示</w:t>
      </w:r>
      <w:bookmarkEnd w:id="10"/>
    </w:p>
    <w:p>
      <w:pPr>
        <w:numPr>
          <w:numId w:val="3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预言机操纵风险</w:t>
      </w:r>
      <w:r>
        <w:rPr>
          <w:rFonts w:eastAsia="等线" w:ascii="Arial" w:cs="Arial" w:hAnsi="Arial"/>
          <w:sz w:val="22"/>
        </w:rPr>
        <w:t>：金融数据的准确性、及时性至关重要。必须采用多源、权威的预言机，并设立争议与纠错机制。</w:t>
      </w:r>
    </w:p>
    <w:p>
      <w:pPr>
        <w:numPr>
          <w:numId w:val="3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法律认定风险</w:t>
      </w:r>
      <w:r>
        <w:rPr>
          <w:rFonts w:eastAsia="等线" w:ascii="Arial" w:cs="Arial" w:hAnsi="Arial"/>
          <w:sz w:val="22"/>
        </w:rPr>
        <w:t>：链上投票、自动分红的法律效力需与公司章程、信托契约明确衔接。智能合约需被设计为“法律友好型”，为链下司法介入预留接口。</w:t>
      </w:r>
    </w:p>
    <w:p>
      <w:pPr>
        <w:numPr>
          <w:numId w:val="3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系统性风险传导</w:t>
      </w:r>
      <w:r>
        <w:rPr>
          <w:rFonts w:eastAsia="等线" w:ascii="Arial" w:cs="Arial" w:hAnsi="Arial"/>
          <w:sz w:val="22"/>
        </w:rPr>
        <w:t>：金融资产具有高度关联性。链上资产的价格暴跌可能触发大规模自动平仓，引发链上流动性危机。需要设置“熔断”机制或全局风险监控。</w:t>
      </w:r>
    </w:p>
    <w:p>
      <w:pPr>
        <w:numPr>
          <w:numId w:val="3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模型风险</w:t>
      </w:r>
      <w:r>
        <w:rPr>
          <w:rFonts w:eastAsia="等线" w:ascii="Arial" w:cs="Arial" w:hAnsi="Arial"/>
          <w:sz w:val="22"/>
        </w:rPr>
        <w:t>：不良资产定价、保险风险建模高度复杂，模型缺陷可能导致准备金计算失准。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1" w:id="11"/>
      <w:r>
        <w:rPr>
          <w:rFonts w:eastAsia="等线" w:ascii="Arial" w:cs="Arial" w:hAnsi="Arial"/>
          <w:b w:val="true"/>
          <w:sz w:val="30"/>
        </w:rPr>
        <w:t>第7条 合规要点</w:t>
      </w:r>
      <w:bookmarkEnd w:id="11"/>
    </w:p>
    <w:p>
      <w:pPr>
        <w:numPr>
          <w:numId w:val="3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证券法遵从</w:t>
      </w:r>
      <w:r>
        <w:rPr>
          <w:rFonts w:eastAsia="等线" w:ascii="Arial" w:cs="Arial" w:hAnsi="Arial"/>
          <w:sz w:val="22"/>
        </w:rPr>
        <w:t>：必须严格遵守目标销售地区的证券法。代币需集成ACC-1400协议，强制执行KYC/AML、转让限制（如仅限合格投资者）、持有期等要求。</w:t>
      </w:r>
    </w:p>
    <w:p>
      <w:pPr>
        <w:numPr>
          <w:numId w:val="4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破产隔离</w:t>
      </w:r>
      <w:r>
        <w:rPr>
          <w:rFonts w:eastAsia="等线" w:ascii="Arial" w:cs="Arial" w:hAnsi="Arial"/>
          <w:sz w:val="22"/>
        </w:rPr>
        <w:t>：资产支持类证券（如ABS、ILS）的底层资产必须实现真实出售与破产隔离，链上合约资产应与发行方资产负债表明确分离。</w:t>
      </w:r>
    </w:p>
    <w:p>
      <w:pPr>
        <w:numPr>
          <w:numId w:val="4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会计与税务</w:t>
      </w:r>
      <w:r>
        <w:rPr>
          <w:rFonts w:eastAsia="等线" w:ascii="Arial" w:cs="Arial" w:hAnsi="Arial"/>
          <w:sz w:val="22"/>
        </w:rPr>
        <w:t>：链上现金流的自动分配，需生成符合会计准则的审计轨迹，并能够自动化生成税务报告。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2" w:id="12"/>
      <w:r>
        <w:rPr>
          <w:rFonts w:eastAsia="等线" w:ascii="Arial" w:cs="Arial" w:hAnsi="Arial"/>
          <w:b w:val="true"/>
          <w:sz w:val="32"/>
        </w:rPr>
        <w:t>结语</w:t>
      </w:r>
      <w:bookmarkEnd w:id="12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本指引描绘了金融资产在NAC公链上从“电子化”迈向“可编程化”的路径。其成功依赖于 </w:t>
      </w:r>
      <w:r>
        <w:rPr>
          <w:rFonts w:eastAsia="等线" w:ascii="Arial" w:cs="Arial" w:hAnsi="Arial"/>
          <w:b w:val="true"/>
          <w:sz w:val="22"/>
        </w:rPr>
        <w:t>传统金融精英</w:t>
      </w:r>
      <w:r>
        <w:rPr>
          <w:rFonts w:eastAsia="等线" w:ascii="Arial" w:cs="Arial" w:hAnsi="Arial"/>
          <w:sz w:val="22"/>
        </w:rPr>
        <w:t xml:space="preserve">（投行、资管、保险精算）与 </w:t>
      </w:r>
      <w:r>
        <w:rPr>
          <w:rFonts w:eastAsia="等线" w:ascii="Arial" w:cs="Arial" w:hAnsi="Arial"/>
          <w:b w:val="true"/>
          <w:sz w:val="22"/>
        </w:rPr>
        <w:t>链上协议开发者</w:t>
      </w:r>
      <w:r>
        <w:rPr>
          <w:rFonts w:eastAsia="等线" w:ascii="Arial" w:cs="Arial" w:hAnsi="Arial"/>
          <w:sz w:val="22"/>
        </w:rPr>
        <w:t xml:space="preserve"> 的深度融合。</w:t>
      </w:r>
      <w:r>
        <w:rPr>
          <w:rFonts w:eastAsia="等线" w:ascii="Arial" w:cs="Arial" w:hAnsi="Arial"/>
          <w:b w:val="true"/>
          <w:sz w:val="22"/>
        </w:rPr>
        <w:t>建议的首个概念验证（PoC）</w:t>
      </w:r>
      <w:r>
        <w:rPr>
          <w:rFonts w:eastAsia="等线" w:ascii="Arial" w:cs="Arial" w:hAnsi="Arial"/>
          <w:sz w:val="22"/>
        </w:rPr>
        <w:t xml:space="preserve"> 应选择结构相对简单、现金流可预测的资产，例如 </w:t>
      </w:r>
      <w:r>
        <w:rPr>
          <w:rFonts w:eastAsia="等线" w:ascii="Arial" w:cs="Arial" w:hAnsi="Arial"/>
          <w:b w:val="true"/>
          <w:sz w:val="22"/>
        </w:rPr>
        <w:t>一只高信用等级的公司债券</w:t>
      </w:r>
      <w:r>
        <w:rPr>
          <w:rFonts w:eastAsia="等线" w:ascii="Arial" w:cs="Arial" w:hAnsi="Arial"/>
          <w:sz w:val="22"/>
        </w:rPr>
        <w:t xml:space="preserve"> 或 </w:t>
      </w:r>
      <w:r>
        <w:rPr>
          <w:rFonts w:eastAsia="等线" w:ascii="Arial" w:cs="Arial" w:hAnsi="Arial"/>
          <w:b w:val="true"/>
          <w:sz w:val="22"/>
        </w:rPr>
        <w:t>一个参数触发明确的巨灾债券模拟产品</w:t>
      </w:r>
      <w:r>
        <w:rPr>
          <w:rFonts w:eastAsia="等线" w:ascii="Arial" w:cs="Arial" w:hAnsi="Arial"/>
          <w:sz w:val="22"/>
        </w:rPr>
        <w:t>，在NAC测试网上实现从发行、付息到风险准备金动态调整的全流程，并接受模拟的“压力测试”。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指引制定方</w:t>
      </w:r>
      <w:r>
        <w:rPr>
          <w:rFonts w:eastAsia="等线" w:ascii="Arial" w:cs="Arial" w:hAnsi="Arial"/>
          <w:sz w:val="22"/>
        </w:rPr>
        <w:t>：NAC核心协议委员会 与 NAC金融资产工作组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版本</w:t>
      </w:r>
      <w:r>
        <w:rPr>
          <w:rFonts w:eastAsia="等线" w:ascii="Arial" w:cs="Arial" w:hAnsi="Arial"/>
          <w:sz w:val="22"/>
        </w:rPr>
        <w:t>：V1.0 (金融资产原生公链版)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|（注：文档部分内容可能由 AI 生成)</w:t>
      </w:r>
    </w:p>
    <w:sectPr>
      <w:footerReference w:type="default" r:id="rId3"/>
      <w:headerReference w:type="default" r:id="rId5"/>
      <w:pgSz w:orient="portrait" w:h="16840" w:w="11905"/>
    </w:sectPr>
  </w:body>
</w:document>
</file>

<file path=word/footer1.xml><?xml version="1.0" encoding="utf-8"?>
<w:ftr xmlns:w="http://schemas.openxmlformats.org/wordprocessingml/2006/main">
  <w:p/>
</w:ftr>
</file>

<file path=word/header1.xml><?xml version="1.0" encoding="utf-8"?>
<w:hdr xmlns:w="http://schemas.openxmlformats.org/wordprocessingml/2006/main">
  <w:p/>
</w:hdr>
</file>

<file path=word/numbering.xml><?xml version="1.0" encoding="utf-8"?>
<w:numbering xmlns:w="http://schemas.openxmlformats.org/wordprocessingml/2006/main">
  <w:abstractNum w:abstractNumId="3607299">
    <w:lvl>
      <w:start w:val="1"/>
      <w:numFmt w:val="decimal"/>
      <w:suff w:val="tab"/>
      <w:lvlText w:val="%1."/>
      <w:rPr>
        <w:color w:val="3370ff"/>
      </w:rPr>
    </w:lvl>
  </w:abstractNum>
  <w:abstractNum w:abstractNumId="3607300">
    <w:lvl>
      <w:start w:val="2"/>
      <w:numFmt w:val="decimal"/>
      <w:suff w:val="tab"/>
      <w:lvlText w:val="%1."/>
      <w:rPr>
        <w:color w:val="3370ff"/>
      </w:rPr>
    </w:lvl>
  </w:abstractNum>
  <w:abstractNum w:abstractNumId="3607301">
    <w:lvl>
      <w:start w:val="3"/>
      <w:numFmt w:val="decimal"/>
      <w:suff w:val="tab"/>
      <w:lvlText w:val="%1."/>
      <w:rPr>
        <w:color w:val="3370ff"/>
      </w:rPr>
    </w:lvl>
  </w:abstractNum>
  <w:abstractNum w:abstractNumId="3607302">
    <w:lvl>
      <w:start w:val="4"/>
      <w:numFmt w:val="decimal"/>
      <w:suff w:val="tab"/>
      <w:lvlText w:val="%1."/>
      <w:rPr>
        <w:color w:val="3370ff"/>
      </w:rPr>
    </w:lvl>
  </w:abstractNum>
  <w:abstractNum w:abstractNumId="3607303">
    <w:lvl>
      <w:start w:val="1"/>
      <w:numFmt w:val="decimal"/>
      <w:suff w:val="tab"/>
      <w:lvlText w:val="%1."/>
      <w:rPr>
        <w:color w:val="3370ff"/>
      </w:rPr>
    </w:lvl>
  </w:abstractNum>
  <w:abstractNum w:abstractNumId="3607304">
    <w:lvl>
      <w:start w:val="2"/>
      <w:numFmt w:val="decimal"/>
      <w:suff w:val="tab"/>
      <w:lvlText w:val="%1."/>
      <w:rPr>
        <w:color w:val="3370ff"/>
      </w:rPr>
    </w:lvl>
  </w:abstractNum>
  <w:abstractNum w:abstractNumId="3607305">
    <w:lvl>
      <w:start w:val="3"/>
      <w:numFmt w:val="decimal"/>
      <w:suff w:val="tab"/>
      <w:lvlText w:val="%1."/>
      <w:rPr>
        <w:color w:val="3370ff"/>
      </w:rPr>
    </w:lvl>
  </w:abstractNum>
  <w:abstractNum w:abstractNumId="3607306">
    <w:lvl>
      <w:start w:val="4"/>
      <w:numFmt w:val="decimal"/>
      <w:suff w:val="tab"/>
      <w:lvlText w:val="%1."/>
      <w:rPr>
        <w:color w:val="3370ff"/>
      </w:rPr>
    </w:lvl>
  </w:abstractNum>
  <w:abstractNum w:abstractNumId="3607307">
    <w:lvl>
      <w:start w:val="1"/>
      <w:numFmt w:val="decimal"/>
      <w:suff w:val="tab"/>
      <w:lvlText w:val="%1."/>
      <w:rPr>
        <w:color w:val="3370ff"/>
      </w:rPr>
    </w:lvl>
  </w:abstractNum>
  <w:abstractNum w:abstractNumId="3607308">
    <w:lvl>
      <w:numFmt w:val="bullet"/>
      <w:suff w:val="tab"/>
      <w:lvlText w:val="￮"/>
      <w:rPr>
        <w:color w:val="3370ff"/>
      </w:rPr>
    </w:lvl>
  </w:abstractNum>
  <w:abstractNum w:abstractNumId="3607309">
    <w:lvl>
      <w:start w:val="2"/>
      <w:numFmt w:val="decimal"/>
      <w:suff w:val="tab"/>
      <w:lvlText w:val="%1."/>
      <w:rPr>
        <w:color w:val="3370ff"/>
      </w:rPr>
    </w:lvl>
  </w:abstractNum>
  <w:abstractNum w:abstractNumId="3607310">
    <w:lvl>
      <w:numFmt w:val="bullet"/>
      <w:suff w:val="tab"/>
      <w:lvlText w:val="￮"/>
      <w:rPr>
        <w:color w:val="3370ff"/>
      </w:rPr>
    </w:lvl>
  </w:abstractNum>
  <w:abstractNum w:abstractNumId="3607311">
    <w:lvl>
      <w:start w:val="3"/>
      <w:numFmt w:val="decimal"/>
      <w:suff w:val="tab"/>
      <w:lvlText w:val="%1."/>
      <w:rPr>
        <w:color w:val="3370ff"/>
      </w:rPr>
    </w:lvl>
  </w:abstractNum>
  <w:abstractNum w:abstractNumId="3607312">
    <w:lvl>
      <w:numFmt w:val="bullet"/>
      <w:suff w:val="tab"/>
      <w:lvlText w:val="￮"/>
      <w:rPr>
        <w:color w:val="3370ff"/>
      </w:rPr>
    </w:lvl>
  </w:abstractNum>
  <w:abstractNum w:abstractNumId="3607313">
    <w:lvl>
      <w:start w:val="1"/>
      <w:numFmt w:val="decimal"/>
      <w:suff w:val="tab"/>
      <w:lvlText w:val="%1."/>
      <w:rPr>
        <w:color w:val="3370ff"/>
      </w:rPr>
    </w:lvl>
  </w:abstractNum>
  <w:abstractNum w:abstractNumId="3607314">
    <w:lvl>
      <w:start w:val="2"/>
      <w:numFmt w:val="decimal"/>
      <w:suff w:val="tab"/>
      <w:lvlText w:val="%1."/>
      <w:rPr>
        <w:color w:val="3370ff"/>
      </w:rPr>
    </w:lvl>
  </w:abstractNum>
  <w:abstractNum w:abstractNumId="3607315">
    <w:lvl>
      <w:start w:val="3"/>
      <w:numFmt w:val="decimal"/>
      <w:suff w:val="tab"/>
      <w:lvlText w:val="%1."/>
      <w:rPr>
        <w:color w:val="3370ff"/>
      </w:rPr>
    </w:lvl>
  </w:abstractNum>
  <w:abstractNum w:abstractNumId="3607316">
    <w:lvl>
      <w:start w:val="4"/>
      <w:numFmt w:val="decimal"/>
      <w:suff w:val="tab"/>
      <w:lvlText w:val="%1."/>
      <w:rPr>
        <w:color w:val="3370ff"/>
      </w:rPr>
    </w:lvl>
  </w:abstractNum>
  <w:abstractNum w:abstractNumId="3607317">
    <w:lvl>
      <w:start w:val="5"/>
      <w:numFmt w:val="decimal"/>
      <w:suff w:val="tab"/>
      <w:lvlText w:val="%1."/>
      <w:rPr>
        <w:color w:val="3370ff"/>
      </w:rPr>
    </w:lvl>
  </w:abstractNum>
  <w:abstractNum w:abstractNumId="3607318">
    <w:lvl>
      <w:start w:val="6"/>
      <w:numFmt w:val="decimal"/>
      <w:suff w:val="tab"/>
      <w:lvlText w:val="%1."/>
      <w:rPr>
        <w:color w:val="3370ff"/>
      </w:rPr>
    </w:lvl>
  </w:abstractNum>
  <w:abstractNum w:abstractNumId="3607319">
    <w:lvl>
      <w:start w:val="7"/>
      <w:numFmt w:val="decimal"/>
      <w:suff w:val="tab"/>
      <w:lvlText w:val="%1."/>
      <w:rPr>
        <w:color w:val="3370ff"/>
      </w:rPr>
    </w:lvl>
  </w:abstractNum>
  <w:abstractNum w:abstractNumId="3607320">
    <w:lvl>
      <w:start w:val="8"/>
      <w:numFmt w:val="decimal"/>
      <w:suff w:val="tab"/>
      <w:lvlText w:val="%1."/>
      <w:rPr>
        <w:color w:val="3370ff"/>
      </w:rPr>
    </w:lvl>
  </w:abstractNum>
  <w:abstractNum w:abstractNumId="3607321">
    <w:lvl>
      <w:start w:val="9"/>
      <w:numFmt w:val="decimal"/>
      <w:suff w:val="tab"/>
      <w:lvlText w:val="%1."/>
      <w:rPr>
        <w:color w:val="3370ff"/>
      </w:rPr>
    </w:lvl>
  </w:abstractNum>
  <w:abstractNum w:abstractNumId="3607322">
    <w:lvl>
      <w:start w:val="10"/>
      <w:numFmt w:val="decimal"/>
      <w:suff w:val="tab"/>
      <w:lvlText w:val="%1."/>
      <w:rPr>
        <w:color w:val="3370ff"/>
      </w:rPr>
    </w:lvl>
  </w:abstractNum>
  <w:abstractNum w:abstractNumId="3607323">
    <w:lvl>
      <w:start w:val="11"/>
      <w:numFmt w:val="decimal"/>
      <w:suff w:val="tab"/>
      <w:lvlText w:val="%1."/>
      <w:rPr>
        <w:color w:val="3370ff"/>
      </w:rPr>
    </w:lvl>
  </w:abstractNum>
  <w:abstractNum w:abstractNumId="3607324">
    <w:lvl>
      <w:start w:val="12"/>
      <w:numFmt w:val="decimal"/>
      <w:suff w:val="tab"/>
      <w:lvlText w:val="%1."/>
      <w:rPr>
        <w:color w:val="3370ff"/>
      </w:rPr>
    </w:lvl>
  </w:abstractNum>
  <w:abstractNum w:abstractNumId="3607325">
    <w:lvl>
      <w:start w:val="13"/>
      <w:numFmt w:val="decimal"/>
      <w:suff w:val="tab"/>
      <w:lvlText w:val="%1."/>
      <w:rPr>
        <w:color w:val="3370ff"/>
      </w:rPr>
    </w:lvl>
  </w:abstractNum>
  <w:abstractNum w:abstractNumId="3607326">
    <w:lvl>
      <w:start w:val="14"/>
      <w:numFmt w:val="decimal"/>
      <w:suff w:val="tab"/>
      <w:lvlText w:val="%1."/>
      <w:rPr>
        <w:color w:val="3370ff"/>
      </w:rPr>
    </w:lvl>
  </w:abstractNum>
  <w:abstractNum w:abstractNumId="3607327">
    <w:lvl>
      <w:start w:val="15"/>
      <w:numFmt w:val="decimal"/>
      <w:suff w:val="tab"/>
      <w:lvlText w:val="%1."/>
      <w:rPr>
        <w:color w:val="3370ff"/>
      </w:rPr>
    </w:lvl>
  </w:abstractNum>
  <w:abstractNum w:abstractNumId="3607328">
    <w:lvl>
      <w:start w:val="16"/>
      <w:numFmt w:val="decimal"/>
      <w:suff w:val="tab"/>
      <w:lvlText w:val="%1."/>
      <w:rPr>
        <w:color w:val="3370ff"/>
      </w:rPr>
    </w:lvl>
  </w:abstractNum>
  <w:abstractNum w:abstractNumId="3607329">
    <w:lvl>
      <w:start w:val="17"/>
      <w:numFmt w:val="decimal"/>
      <w:suff w:val="tab"/>
      <w:lvlText w:val="%1."/>
      <w:rPr>
        <w:color w:val="3370ff"/>
      </w:rPr>
    </w:lvl>
  </w:abstractNum>
  <w:abstractNum w:abstractNumId="3607330">
    <w:lvl>
      <w:start w:val="18"/>
      <w:numFmt w:val="decimal"/>
      <w:suff w:val="tab"/>
      <w:lvlText w:val="%1."/>
      <w:rPr>
        <w:color w:val="3370ff"/>
      </w:rPr>
    </w:lvl>
  </w:abstractNum>
  <w:abstractNum w:abstractNumId="3607331">
    <w:lvl>
      <w:start w:val="19"/>
      <w:numFmt w:val="decimal"/>
      <w:suff w:val="tab"/>
      <w:lvlText w:val="%1."/>
      <w:rPr>
        <w:color w:val="3370ff"/>
      </w:rPr>
    </w:lvl>
  </w:abstractNum>
  <w:abstractNum w:abstractNumId="3607332">
    <w:lvl>
      <w:start w:val="20"/>
      <w:numFmt w:val="decimal"/>
      <w:suff w:val="tab"/>
      <w:lvlText w:val="%1."/>
      <w:rPr>
        <w:color w:val="3370ff"/>
      </w:rPr>
    </w:lvl>
  </w:abstractNum>
  <w:abstractNum w:abstractNumId="3607333">
    <w:lvl>
      <w:start w:val="1"/>
      <w:numFmt w:val="decimal"/>
      <w:suff w:val="tab"/>
      <w:lvlText w:val="%1."/>
      <w:rPr>
        <w:color w:val="3370ff"/>
      </w:rPr>
    </w:lvl>
  </w:abstractNum>
  <w:abstractNum w:abstractNumId="3607334">
    <w:lvl>
      <w:start w:val="2"/>
      <w:numFmt w:val="decimal"/>
      <w:suff w:val="tab"/>
      <w:lvlText w:val="%1."/>
      <w:rPr>
        <w:color w:val="3370ff"/>
      </w:rPr>
    </w:lvl>
  </w:abstractNum>
  <w:abstractNum w:abstractNumId="3607335">
    <w:lvl>
      <w:start w:val="3"/>
      <w:numFmt w:val="decimal"/>
      <w:suff w:val="tab"/>
      <w:lvlText w:val="%1."/>
      <w:rPr>
        <w:color w:val="3370ff"/>
      </w:rPr>
    </w:lvl>
  </w:abstractNum>
  <w:abstractNum w:abstractNumId="3607336">
    <w:lvl>
      <w:start w:val="4"/>
      <w:numFmt w:val="decimal"/>
      <w:suff w:val="tab"/>
      <w:lvlText w:val="%1."/>
      <w:rPr>
        <w:color w:val="3370ff"/>
      </w:rPr>
    </w:lvl>
  </w:abstractNum>
  <w:abstractNum w:abstractNumId="3607337">
    <w:lvl>
      <w:numFmt w:val="bullet"/>
      <w:suff w:val="tab"/>
      <w:lvlText w:val="•"/>
      <w:rPr>
        <w:color w:val="3370ff"/>
      </w:rPr>
    </w:lvl>
  </w:abstractNum>
  <w:abstractNum w:abstractNumId="3607338">
    <w:lvl>
      <w:numFmt w:val="bullet"/>
      <w:suff w:val="tab"/>
      <w:lvlText w:val="•"/>
      <w:rPr>
        <w:color w:val="3370ff"/>
      </w:rPr>
    </w:lvl>
  </w:abstractNum>
  <w:abstractNum w:abstractNumId="3607339">
    <w:lvl>
      <w:numFmt w:val="bullet"/>
      <w:suff w:val="tab"/>
      <w:lvlText w:val="•"/>
      <w:rPr>
        <w:color w:val="3370ff"/>
      </w:rPr>
    </w:lvl>
  </w:abstractNum>
  <w:num w:numId="1">
    <w:abstractNumId w:val="3607299"/>
  </w:num>
  <w:num w:numId="2">
    <w:abstractNumId w:val="3607300"/>
  </w:num>
  <w:num w:numId="3">
    <w:abstractNumId w:val="3607301"/>
  </w:num>
  <w:num w:numId="4">
    <w:abstractNumId w:val="3607302"/>
  </w:num>
  <w:num w:numId="5">
    <w:abstractNumId w:val="3607303"/>
  </w:num>
  <w:num w:numId="6">
    <w:abstractNumId w:val="3607304"/>
  </w:num>
  <w:num w:numId="7">
    <w:abstractNumId w:val="3607305"/>
  </w:num>
  <w:num w:numId="8">
    <w:abstractNumId w:val="3607306"/>
  </w:num>
  <w:num w:numId="9">
    <w:abstractNumId w:val="3607307"/>
  </w:num>
  <w:num w:numId="10">
    <w:abstractNumId w:val="3607308"/>
  </w:num>
  <w:num w:numId="11">
    <w:abstractNumId w:val="3607309"/>
  </w:num>
  <w:num w:numId="12">
    <w:abstractNumId w:val="3607310"/>
  </w:num>
  <w:num w:numId="13">
    <w:abstractNumId w:val="3607311"/>
  </w:num>
  <w:num w:numId="14">
    <w:abstractNumId w:val="3607312"/>
  </w:num>
  <w:num w:numId="15">
    <w:abstractNumId w:val="3607313"/>
  </w:num>
  <w:num w:numId="16">
    <w:abstractNumId w:val="3607314"/>
  </w:num>
  <w:num w:numId="17">
    <w:abstractNumId w:val="3607315"/>
  </w:num>
  <w:num w:numId="18">
    <w:abstractNumId w:val="3607316"/>
  </w:num>
  <w:num w:numId="19">
    <w:abstractNumId w:val="3607317"/>
  </w:num>
  <w:num w:numId="20">
    <w:abstractNumId w:val="3607318"/>
  </w:num>
  <w:num w:numId="21">
    <w:abstractNumId w:val="3607319"/>
  </w:num>
  <w:num w:numId="22">
    <w:abstractNumId w:val="3607320"/>
  </w:num>
  <w:num w:numId="23">
    <w:abstractNumId w:val="3607321"/>
  </w:num>
  <w:num w:numId="24">
    <w:abstractNumId w:val="3607322"/>
  </w:num>
  <w:num w:numId="25">
    <w:abstractNumId w:val="3607323"/>
  </w:num>
  <w:num w:numId="26">
    <w:abstractNumId w:val="3607324"/>
  </w:num>
  <w:num w:numId="27">
    <w:abstractNumId w:val="3607325"/>
  </w:num>
  <w:num w:numId="28">
    <w:abstractNumId w:val="3607326"/>
  </w:num>
  <w:num w:numId="29">
    <w:abstractNumId w:val="3607327"/>
  </w:num>
  <w:num w:numId="30">
    <w:abstractNumId w:val="3607328"/>
  </w:num>
  <w:num w:numId="31">
    <w:abstractNumId w:val="3607329"/>
  </w:num>
  <w:num w:numId="32">
    <w:abstractNumId w:val="3607330"/>
  </w:num>
  <w:num w:numId="33">
    <w:abstractNumId w:val="3607331"/>
  </w:num>
  <w:num w:numId="34">
    <w:abstractNumId w:val="3607332"/>
  </w:num>
  <w:num w:numId="35">
    <w:abstractNumId w:val="3607333"/>
  </w:num>
  <w:num w:numId="36">
    <w:abstractNumId w:val="3607334"/>
  </w:num>
  <w:num w:numId="37">
    <w:abstractNumId w:val="3607335"/>
  </w:num>
  <w:num w:numId="38">
    <w:abstractNumId w:val="3607336"/>
  </w:num>
  <w:num w:numId="39">
    <w:abstractNumId w:val="3607337"/>
  </w:num>
  <w:num w:numId="40">
    <w:abstractNumId w:val="3607338"/>
  </w:num>
  <w:num w:numId="41">
    <w:abstractNumId w:val="3607339"/>
  </w:num>
</w:numbering>
</file>

<file path=word/settings.xml><?xml version="1.0" encoding="utf-8"?>
<w:settings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Relationship Id="rId2" Target="styles.xml" Type="http://schemas.openxmlformats.org/officeDocument/2006/relationships/styles"/><Relationship Id="rId3" Target="footer1.xml" Type="http://schemas.openxmlformats.org/officeDocument/2006/relationships/footer"/><Relationship Id="rId4" Target="numbering.xml" Type="http://schemas.openxmlformats.org/officeDocument/2006/relationships/numbering"/><Relationship Id="rId5" Target="header1.xml" Type="http://schemas.openxmlformats.org/officeDocument/2006/relationships/header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2026-02-02T14:49:16Z</dcterms:created>
  <dc:creator>Apache POI</dc:creator>
</cp:coreProperties>
</file>