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附件A：特征全集详细定义（50维宏观状态向量）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关联模型</w:t>
      </w:r>
      <w:r>
        <w:rPr>
          <w:rFonts w:eastAsia="等线" w:ascii="Arial" w:cs="Arial" w:hAnsi="Arial"/>
          <w:sz w:val="22"/>
        </w:rPr>
        <w:t xml:space="preserve">：XTZH汇率定价模型 v1.0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 xml:space="preserve">：NAC人工智能实验室 · 特征工程组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 xml:space="preserve">：2026年2月12日  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符号与约定</w:t>
      </w:r>
      <w:bookmarkEnd w:id="0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日频</w:t>
      </w:r>
      <w:r>
        <w:rPr>
          <w:rFonts w:eastAsia="等线" w:ascii="Arial" w:cs="Arial" w:hAnsi="Arial"/>
          <w:sz w:val="22"/>
        </w:rPr>
        <w:t>：每个交易日（UTC）生成一次特征向量，时间为当日</w:t>
      </w:r>
      <w:r>
        <w:rPr>
          <w:rFonts w:eastAsia="等线" w:ascii="Arial" w:cs="Arial" w:hAnsi="Arial"/>
          <w:b w:val="true"/>
          <w:sz w:val="22"/>
        </w:rPr>
        <w:t>12:00</w:t>
      </w:r>
      <w:r>
        <w:rPr>
          <w:rFonts w:eastAsia="等线" w:ascii="Arial" w:cs="Arial" w:hAnsi="Arial"/>
          <w:sz w:val="22"/>
        </w:rPr>
        <w:t>（伦敦金定盘后）。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滞后处理</w:t>
      </w:r>
      <w:r>
        <w:rPr>
          <w:rFonts w:eastAsia="等线" w:ascii="Arial" w:cs="Arial" w:hAnsi="Arial"/>
          <w:sz w:val="22"/>
        </w:rPr>
        <w:t>：所有经济指标发布延迟已被对齐——例如，美国非农就业数据通常于当月第一个周五发布，但反映的是上月状况。特征向量中使用的</w:t>
      </w:r>
      <w:r>
        <w:rPr>
          <w:rFonts w:eastAsia="等线" w:ascii="Arial" w:cs="Arial" w:hAnsi="Arial"/>
          <w:b w:val="true"/>
          <w:sz w:val="22"/>
        </w:rPr>
        <w:t>始终是截至当日已公开的最新值</w:t>
      </w:r>
      <w:r>
        <w:rPr>
          <w:rFonts w:eastAsia="等线" w:ascii="Arial" w:cs="Arial" w:hAnsi="Arial"/>
          <w:sz w:val="22"/>
        </w:rPr>
        <w:t>，而非最终修订值。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标准化</w:t>
      </w:r>
      <w:r>
        <w:rPr>
          <w:rFonts w:eastAsia="等线" w:ascii="Arial" w:cs="Arial" w:hAnsi="Arial"/>
          <w:sz w:val="22"/>
        </w:rPr>
        <w:t>：模型输入使用</w:t>
      </w:r>
      <w:r>
        <w:rPr>
          <w:rFonts w:eastAsia="等线" w:ascii="Arial" w:cs="Arial" w:hAnsi="Arial"/>
          <w:b w:val="true"/>
          <w:sz w:val="22"/>
        </w:rPr>
        <w:t>z-score</w:t>
      </w:r>
      <w:r>
        <w:rPr>
          <w:rFonts w:eastAsia="等线" w:ascii="Arial" w:cs="Arial" w:hAnsi="Arial"/>
          <w:sz w:val="22"/>
        </w:rPr>
        <w:t>，均值与标准差基于</w:t>
      </w:r>
      <w:r>
        <w:rPr>
          <w:rFonts w:eastAsia="等线" w:ascii="Arial" w:cs="Arial" w:hAnsi="Arial"/>
          <w:b w:val="true"/>
          <w:sz w:val="22"/>
        </w:rPr>
        <w:t>2015–2025年训练期</w:t>
      </w:r>
      <w:r>
        <w:rPr>
          <w:rFonts w:eastAsia="等线" w:ascii="Arial" w:cs="Arial" w:hAnsi="Arial"/>
          <w:sz w:val="22"/>
        </w:rPr>
        <w:t>计算，并在验证/推理期固定。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插值</w:t>
      </w:r>
      <w:r>
        <w:rPr>
          <w:rFonts w:eastAsia="等线" w:ascii="Arial" w:cs="Arial" w:hAnsi="Arial"/>
          <w:sz w:val="22"/>
        </w:rPr>
        <w:t>：月频/周频指标通过</w:t>
      </w:r>
      <w:r>
        <w:rPr>
          <w:rFonts w:eastAsia="等线" w:ascii="Arial" w:cs="Arial" w:hAnsi="Arial"/>
          <w:b w:val="true"/>
          <w:sz w:val="22"/>
        </w:rPr>
        <w:t>卡尔曼滤波</w:t>
      </w:r>
      <w:r>
        <w:rPr>
          <w:rFonts w:eastAsia="等线" w:ascii="Arial" w:cs="Arial" w:hAnsi="Arial"/>
          <w:sz w:val="22"/>
        </w:rPr>
        <w:t>结合高频代理变量（如周度初请失业金人数拟合非农）进行日频化，插值结果经过回溯测试，与原月频值相关性≥0.95。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一、全球增长因子（10维）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</w:t>
            </w:r>
            <w:r>
              <w:rPr>
                <w:rFonts w:eastAsia="等线" w:ascii="Arial" w:cs="Arial" w:hAnsi="Arial"/>
                <w:sz w:val="22"/>
              </w:rPr>
              <w:t>名称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定义/计算公式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原始频率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处理方法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G1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全球制造业PMI综合指数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J.P. Morgan全球制造业PMI，产值加权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Markit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卡尔曼滤波日频化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同步经济景气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G2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美国ISM制造业PMI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美国供应管理协会制造业采购经理人</w:t>
            </w:r>
            <w:r>
              <w:rPr>
                <w:rFonts w:eastAsia="等线" w:ascii="Arial" w:cs="Arial" w:hAnsi="Arial"/>
                <w:sz w:val="22"/>
              </w:rPr>
              <w:t>指数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ISM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全球最大</w:t>
            </w:r>
            <w:r>
              <w:rPr>
                <w:rFonts w:eastAsia="等线" w:ascii="Arial" w:cs="Arial" w:hAnsi="Arial"/>
                <w:sz w:val="22"/>
              </w:rPr>
              <w:t>经济体领先指标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G3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中国官方制造业PMI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中国国家统计局制造业PMI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NBS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第二大经济体，大宗商品需求</w:t>
            </w:r>
            <w:r>
              <w:rPr>
                <w:rFonts w:eastAsia="等线" w:ascii="Arial" w:cs="Arial" w:hAnsi="Arial"/>
                <w:sz w:val="22"/>
              </w:rPr>
              <w:t>核心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G4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欧元区ZEW经济景气指数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欧洲经济研究中心景气预期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ZEW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领先欧元区GDP</w:t>
            </w:r>
            <w:r>
              <w:rPr>
                <w:rFonts w:eastAsia="等线" w:ascii="Arial" w:cs="Arial" w:hAnsi="Arial"/>
                <w:sz w:val="22"/>
              </w:rPr>
              <w:t>约3-6个月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G5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OECD综合领先指标（CLI）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OECD成员国综合领先指标，标准化为</w:t>
            </w:r>
            <w:r>
              <w:rPr>
                <w:rFonts w:eastAsia="等线" w:ascii="Arial" w:cs="Arial" w:hAnsi="Arial"/>
                <w:sz w:val="22"/>
              </w:rPr>
              <w:t>长期趋势=100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OECD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线性插值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覆盖33国，同步经济拐点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G6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美国首次申领失业金人数（4周移动平均）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反映劳动力市场边际变化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DoL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取最新周值，日频不变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高频就业代理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G7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韩国出口同比增速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全球贸易“煤矿中的金丝雀”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韩国关税厅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发布后线性插值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领先全球贸易1-2周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G8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德国IFO商业景气指数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欧洲经济火车头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IFO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卡尔曼滤波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同步欧元区工业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G9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美国零售销售（核心，不含汽车）环比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消费引擎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Census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发布后插值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高频信用卡数据校准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G10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全球半导体销售额同比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科技周期领先指标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SIA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与全球贸易高度相关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二、通胀压力因子（8维）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特征名称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定义/计算公式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原始频率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处理方法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I1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美国5年期盈亏平衡通胀率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5年期国债名义</w:t>
            </w:r>
            <w:r>
              <w:rPr>
                <w:rFonts w:eastAsia="等线" w:ascii="Arial" w:cs="Arial" w:hAnsi="Arial"/>
                <w:sz w:val="22"/>
              </w:rPr>
              <w:t>收益率 - 5年期TIPS收益率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FRED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市场隐含通胀预期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I2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美国10年期盈亏平衡通胀率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同上，10年期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FRED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长期通胀锚定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</w:t>
            </w: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CRB大宗商品指数同比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路透CRB指数（19种商品）年同比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Refinitiv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</w:t>
            </w:r>
            <w:r>
              <w:rPr>
                <w:rFonts w:eastAsia="等线" w:ascii="Arial" w:cs="Arial" w:hAnsi="Arial"/>
                <w:sz w:val="22"/>
              </w:rPr>
              <w:t>商品价格综合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I4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WTI原油价格同比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西得克萨斯轻质原油期货，连续合约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NYMEX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通胀核心驱动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I5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纽约联储全球供应链压力指数（GSCPI）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综合全球物流、交货</w:t>
            </w:r>
            <w:r>
              <w:rPr>
                <w:rFonts w:eastAsia="等线" w:ascii="Arial" w:cs="Arial" w:hAnsi="Arial"/>
                <w:sz w:val="22"/>
              </w:rPr>
              <w:t>时间、运费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 Fed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日频化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供给端通胀压力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I6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美国CPI中位数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克利夫兰联储编制，剔除极端分</w:t>
            </w:r>
            <w:r>
              <w:rPr>
                <w:rFonts w:eastAsia="等线" w:ascii="Arial" w:cs="Arial" w:hAnsi="Arial"/>
                <w:sz w:val="22"/>
              </w:rPr>
              <w:t>位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Cleveland Fed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日频化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核心通胀趋势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I7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欧元区调和CPI（HICP）同比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欧央行目标通胀指标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Eurostat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  <w:r>
              <w:rPr>
                <w:rFonts w:eastAsia="等线" w:ascii="Arial" w:cs="Arial" w:hAnsi="Arial"/>
                <w:sz w:val="22"/>
              </w:rPr>
              <w:t>频化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第二大经济体通胀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I8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中国PPI同比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工业生产者出厂价格指数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BS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日频</w:t>
            </w:r>
            <w:r>
              <w:rPr>
                <w:rFonts w:eastAsia="等线" w:ascii="Arial" w:cs="Arial" w:hAnsi="Arial"/>
                <w:sz w:val="22"/>
              </w:rPr>
              <w:t>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全球工业品成本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三、货币政策立场（6维）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特征名称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定义/计算公式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原始频率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处理方法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M1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美联储政策利率预期（OIS 1年期）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隔夜指数掉</w:t>
            </w:r>
            <w:r>
              <w:rPr>
                <w:rFonts w:eastAsia="等线" w:ascii="Arial" w:cs="Arial" w:hAnsi="Arial"/>
                <w:sz w:val="22"/>
              </w:rPr>
              <w:t>期隐含的1年后联邦基金利率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Bloomberg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反映加息/降息预期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M2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欧央行政策利率预期（ESTR 1年期）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欧元短期利率远期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Bloomberg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M3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中美10年期国债利差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美国10年期国债收益率 - 中国10年期国债</w:t>
            </w:r>
            <w:r>
              <w:rPr>
                <w:rFonts w:eastAsia="等线" w:ascii="Arial" w:cs="Arial" w:hAnsi="Arial"/>
                <w:sz w:val="22"/>
              </w:rPr>
              <w:t>收益率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Refinitiv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跨境资本流动、汇率压力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M4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全球负收益率债券规模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全球负收益率政府债券总市值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Bloomberg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极端宽松度量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M5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美联储资产负债表规模同比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总资产年同比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FRED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取最新周值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量化宽松</w:t>
            </w:r>
            <w:r>
              <w:rPr>
                <w:rFonts w:eastAsia="等线" w:ascii="Arial" w:cs="Arial" w:hAnsi="Arial"/>
                <w:sz w:val="22"/>
              </w:rPr>
              <w:t>代理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M6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日本央行10年期国债收益率控制目标偏离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当前10年期JGB收益率</w:t>
            </w:r>
            <w:r>
              <w:rPr>
                <w:rFonts w:eastAsia="等线" w:ascii="Arial" w:cs="Arial" w:hAnsi="Arial"/>
                <w:sz w:val="22"/>
              </w:rPr>
              <w:t xml:space="preserve"> - 政策目标（0%）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Bloomberg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YCC压力测试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四、风险与不确定性（8维）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特征名称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定义/计算公式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原始频率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处理方法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R1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CBOE波动率指数（VIX）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标普500期权隐含波动率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CBO</w:t>
            </w:r>
            <w:r>
              <w:rPr>
                <w:rFonts w:eastAsia="等线" w:ascii="Arial" w:cs="Arial" w:hAnsi="Arial"/>
                <w:sz w:val="22"/>
              </w:rPr>
              <w:t>E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</w:t>
            </w:r>
            <w:r>
              <w:rPr>
                <w:rFonts w:eastAsia="等线" w:ascii="Arial" w:cs="Arial" w:hAnsi="Arial"/>
                <w:sz w:val="22"/>
              </w:rPr>
              <w:t>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恐慌指数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R2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美国投资级公司债利差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穆迪Aaa企业债收益率 - 10年期国债收益率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FRED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信用风险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</w:t>
            </w: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美国高收益债利差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穆迪Baa企业债收益率 - 10年期国债收益率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FRED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垃圾债风险溢价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R4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地缘政治风险指数（GPR）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基于新闻文本的地理</w:t>
            </w:r>
            <w:r>
              <w:rPr>
                <w:rFonts w:eastAsia="等线" w:ascii="Arial" w:cs="Arial" w:hAnsi="Arial"/>
                <w:sz w:val="22"/>
              </w:rPr>
              <w:t>政治风险量化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Caldara &amp; Iac</w:t>
            </w:r>
            <w:r>
              <w:rPr>
                <w:rFonts w:eastAsia="等线" w:ascii="Arial" w:cs="Arial" w:hAnsi="Arial"/>
                <w:sz w:val="22"/>
              </w:rPr>
              <w:t>oviello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</w:t>
            </w:r>
            <w:r>
              <w:rPr>
                <w:rFonts w:eastAsia="等线" w:ascii="Arial" w:cs="Arial" w:hAnsi="Arial"/>
                <w:sz w:val="22"/>
              </w:rPr>
              <w:t>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战争、恐怖主义、紧张局势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R5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美元指数（DXY）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美元对六种主要货币汇率加权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ICE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全球避险情绪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R6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日元兑美元汇率（JPY/USD）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传统避险货币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Refinitiv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亚洲</w:t>
            </w:r>
            <w:r>
              <w:rPr>
                <w:rFonts w:eastAsia="等线" w:ascii="Arial" w:cs="Arial" w:hAnsi="Arial"/>
                <w:sz w:val="22"/>
              </w:rPr>
              <w:t>时段风险指标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R7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瑞郎兑美元汇率（CHF/USD）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欧洲避险货币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Refinitiv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R8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黄金/白银价格比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伦敦金价 / 伦敦银价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LBMA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工业需求 vs</w:t>
            </w:r>
            <w:r>
              <w:rPr>
                <w:rFonts w:eastAsia="等线" w:ascii="Arial" w:cs="Arial" w:hAnsi="Arial"/>
                <w:sz w:val="22"/>
              </w:rPr>
              <w:t xml:space="preserve"> 避险需求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五、实体活动高频代理（10维）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特征名称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定义/计算公式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原始频率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处理方法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A1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中国沿海主要枢纽港吞吐量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八大港口集装箱吞吐量周度数据，同比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中国交通运输部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周内重复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全球贸易实时代理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A2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美国铁路货运量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北美铁路协会周度货运量，同比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AAR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工业活动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A3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全球航班数量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Flightradar24全球商业航班数，7日移动平均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Flightradar24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服务业活动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A4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美国电影票房收入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周度票房收入，同比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BoxOfficeMojo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周内重复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可选消费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A5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中国电影票房收入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猫眼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可选消费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A6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美国Redbook同店销售同比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周度零售连锁店销售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Redbook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高频消费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A7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德国发电量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每周发电量，同比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ENTSO-E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工业产出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A8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中国挖掘机开工小时数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小松制作所月报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Komatsu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日频化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建筑业领先指标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A9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美国ISM就业指数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ISM制造业就业分项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ISM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  <w:r>
              <w:rPr>
                <w:rFonts w:eastAsia="等线" w:ascii="Arial" w:cs="Arial" w:hAnsi="Arial"/>
                <w:sz w:val="22"/>
              </w:rPr>
              <w:t>频化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非农领先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A10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全球集装箱运价指数（SCFI）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上海出口集装箱运价指数综合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上海航交所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周中线性插值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供应链成本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六、商品市场内部结构（8维）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ID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特征名称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定义/计算公式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原始频率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处理方法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C1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黄金ETF持仓量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全球最大黄金ETF（GLD）持仓吨数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World Gold Council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实物黄金投资需求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C2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铜期货期限结构（近远月价差）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LME铜3月期 - 现货价格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经济</w:t>
            </w:r>
            <w:r>
              <w:rPr>
                <w:rFonts w:eastAsia="等线" w:ascii="Arial" w:cs="Arial" w:hAnsi="Arial"/>
                <w:sz w:val="22"/>
              </w:rPr>
              <w:t>预期、库存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C3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原油裂解价差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汽油/取暖油期货 - 原油期货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NYMEX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炼油毛利、需求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C4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农产品库存消费比估计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USDA全球玉米/大豆库存</w:t>
            </w:r>
            <w:r>
              <w:rPr>
                <w:rFonts w:eastAsia="等线" w:ascii="Arial" w:cs="Arial" w:hAnsi="Arial"/>
                <w:sz w:val="22"/>
              </w:rPr>
              <w:t>消费比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USDA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日频化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粮食安全溢价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C5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波罗的海干散货指数（BDI）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全球干散货</w:t>
            </w:r>
            <w:r>
              <w:rPr>
                <w:rFonts w:eastAsia="等线" w:ascii="Arial" w:cs="Arial" w:hAnsi="Arial"/>
                <w:sz w:val="22"/>
              </w:rPr>
              <w:t>海运运费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Baltic Exchange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大宗商品运输成本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C6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铁矿石港口库存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中国主要港口库存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Mysteel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周内重复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中国钢铁需求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C7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LME铜库存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全球显性</w:t>
            </w:r>
            <w:r>
              <w:rPr>
                <w:rFonts w:eastAsia="等线" w:ascii="Arial" w:cs="Arial" w:hAnsi="Arial"/>
                <w:sz w:val="22"/>
              </w:rPr>
              <w:t>库存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原始日频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</w:t>
            </w:r>
            <w:r>
              <w:rPr>
                <w:rFonts w:eastAsia="等线" w:ascii="Arial" w:cs="Arial" w:hAnsi="Arial"/>
                <w:sz w:val="22"/>
              </w:rPr>
              <w:t>金属紧张度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C8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黄金期货投机净多头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CFTC持仓报告，管理基金净持仓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CFTC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周内重复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市场情绪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七、汇总表：50维特征分布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占比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主要功能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全球增长因子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捕捉经济周期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通胀压力因子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衡量价格压力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货币政策立场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利率与流动性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风险与不确定性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避险情绪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实体活动高频代理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实时经济活动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商品市场内部结构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商品自身供需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50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100%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八、特征版本与更新</w:t>
      </w:r>
      <w:bookmarkEnd w:id="8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静态版本</w:t>
      </w:r>
      <w:r>
        <w:rPr>
          <w:rFonts w:eastAsia="等线" w:ascii="Arial" w:cs="Arial" w:hAnsi="Arial"/>
          <w:sz w:val="22"/>
        </w:rPr>
        <w:t>：以上50维特征为</w:t>
      </w:r>
      <w:r>
        <w:rPr>
          <w:rFonts w:eastAsia="等线" w:ascii="Arial" w:cs="Arial" w:hAnsi="Arial"/>
          <w:b w:val="true"/>
          <w:sz w:val="22"/>
        </w:rPr>
        <w:t>v1.0</w:t>
      </w:r>
      <w:r>
        <w:rPr>
          <w:rFonts w:eastAsia="等线" w:ascii="Arial" w:cs="Arial" w:hAnsi="Arial"/>
          <w:sz w:val="22"/>
        </w:rPr>
        <w:t>，自2026年2月起固化。新增或替换特征需通过</w:t>
      </w:r>
      <w:r>
        <w:rPr>
          <w:rFonts w:eastAsia="等线" w:ascii="Arial" w:cs="Arial" w:hAnsi="Arial"/>
          <w:b w:val="true"/>
          <w:sz w:val="22"/>
        </w:rPr>
        <w:t>XIC治理投票</w:t>
      </w:r>
      <w:r>
        <w:rPr>
          <w:rFonts w:eastAsia="等线" w:ascii="Arial" w:cs="Arial" w:hAnsi="Arial"/>
          <w:sz w:val="22"/>
        </w:rPr>
        <w:t>（66%多数）。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定期复审</w:t>
      </w:r>
      <w:r>
        <w:rPr>
          <w:rFonts w:eastAsia="等线" w:ascii="Arial" w:cs="Arial" w:hAnsi="Arial"/>
          <w:sz w:val="22"/>
        </w:rPr>
        <w:t>：每年12月由数据治理委员会评估各特征的</w:t>
      </w:r>
      <w:r>
        <w:rPr>
          <w:rFonts w:eastAsia="等线" w:ascii="Arial" w:cs="Arial" w:hAnsi="Arial"/>
          <w:b w:val="true"/>
          <w:sz w:val="22"/>
        </w:rPr>
        <w:t>预测贡献度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数据源稳定性</w:t>
      </w:r>
      <w:r>
        <w:rPr>
          <w:rFonts w:eastAsia="等线" w:ascii="Arial" w:cs="Arial" w:hAnsi="Arial"/>
          <w:sz w:val="22"/>
        </w:rPr>
        <w:t>，剔除长期低效或不可靠指标，并提议新增指标。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历史回溯</w:t>
      </w:r>
      <w:r>
        <w:rPr>
          <w:rFonts w:eastAsia="等线" w:ascii="Arial" w:cs="Arial" w:hAnsi="Arial"/>
          <w:sz w:val="22"/>
        </w:rPr>
        <w:t>：所有特征均已成功回溯至</w:t>
      </w:r>
      <w:r>
        <w:rPr>
          <w:rFonts w:eastAsia="等线" w:ascii="Arial" w:cs="Arial" w:hAnsi="Arial"/>
          <w:b w:val="true"/>
          <w:sz w:val="22"/>
        </w:rPr>
        <w:t>2000年1月1日</w:t>
      </w:r>
      <w:r>
        <w:rPr>
          <w:rFonts w:eastAsia="等线" w:ascii="Arial" w:cs="Arial" w:hAnsi="Arial"/>
          <w:sz w:val="22"/>
        </w:rPr>
        <w:t>，完整历史数据可供训练与回测。回溯方法详见《特征历史构建白皮书》。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数据治理委员会签批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首席数据科学家：_________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宏观经济学家：_________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独立审计代表：_________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：2026年2月12日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本附件是《XTZH AI汇率定价模型建立与训练机制实施蓝图》不可分割的组成部分。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55801">
    <w:lvl>
      <w:numFmt w:val="bullet"/>
      <w:suff w:val="tab"/>
      <w:lvlText w:val="•"/>
      <w:rPr>
        <w:color w:val="3370ff"/>
      </w:rPr>
    </w:lvl>
  </w:abstractNum>
  <w:abstractNum w:abstractNumId="255802">
    <w:lvl>
      <w:numFmt w:val="bullet"/>
      <w:suff w:val="tab"/>
      <w:lvlText w:val="•"/>
      <w:rPr>
        <w:color w:val="3370ff"/>
      </w:rPr>
    </w:lvl>
  </w:abstractNum>
  <w:abstractNum w:abstractNumId="255803">
    <w:lvl>
      <w:numFmt w:val="bullet"/>
      <w:suff w:val="tab"/>
      <w:lvlText w:val="•"/>
      <w:rPr>
        <w:color w:val="3370ff"/>
      </w:rPr>
    </w:lvl>
  </w:abstractNum>
  <w:abstractNum w:abstractNumId="255804">
    <w:lvl>
      <w:numFmt w:val="bullet"/>
      <w:suff w:val="tab"/>
      <w:lvlText w:val="•"/>
      <w:rPr>
        <w:color w:val="3370ff"/>
      </w:rPr>
    </w:lvl>
  </w:abstractNum>
  <w:abstractNum w:abstractNumId="255805">
    <w:lvl>
      <w:numFmt w:val="bullet"/>
      <w:suff w:val="tab"/>
      <w:lvlText w:val="•"/>
      <w:rPr>
        <w:color w:val="3370ff"/>
      </w:rPr>
    </w:lvl>
  </w:abstractNum>
  <w:abstractNum w:abstractNumId="255806">
    <w:lvl>
      <w:numFmt w:val="bullet"/>
      <w:suff w:val="tab"/>
      <w:lvlText w:val="•"/>
      <w:rPr>
        <w:color w:val="3370ff"/>
      </w:rPr>
    </w:lvl>
  </w:abstractNum>
  <w:abstractNum w:abstractNumId="255807">
    <w:lvl>
      <w:numFmt w:val="bullet"/>
      <w:suff w:val="tab"/>
      <w:lvlText w:val="•"/>
      <w:rPr>
        <w:color w:val="3370ff"/>
      </w:rPr>
    </w:lvl>
  </w:abstractNum>
  <w:num w:numId="1">
    <w:abstractNumId w:val="255801"/>
  </w:num>
  <w:num w:numId="2">
    <w:abstractNumId w:val="255802"/>
  </w:num>
  <w:num w:numId="3">
    <w:abstractNumId w:val="255803"/>
  </w:num>
  <w:num w:numId="4">
    <w:abstractNumId w:val="255804"/>
  </w:num>
  <w:num w:numId="5">
    <w:abstractNumId w:val="255805"/>
  </w:num>
  <w:num w:numId="6">
    <w:abstractNumId w:val="255806"/>
  </w:num>
  <w:num w:numId="7">
    <w:abstractNumId w:val="25580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2026-02-12T12:41:48Z</dcterms:created>
  <dc:creator>Apache POI</dc:creator>
</cp:coreProperties>
</file>