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附件D：预言机节点API规范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 xml:space="preserve">：1.0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关联系统</w:t>
      </w:r>
      <w:r>
        <w:rPr>
          <w:rFonts w:eastAsia="等线" w:ascii="Arial" w:cs="Arial" w:hAnsi="Arial"/>
          <w:sz w:val="22"/>
        </w:rPr>
        <w:t xml:space="preserve">：XTZH AI汇率预言机网络 v1.0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 xml:space="preserve">：NAC预言机工程组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 xml:space="preserve">：2026年8月1日  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1. 概述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本规范定义XTZH汇率预言机网络中所有类型节点（ZK证明节点、TEE认证节点、乐观节点）对外提供的一致接口。预言机节点的核心职责是：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获取输入</w:t>
      </w:r>
      <w:r>
        <w:rPr>
          <w:rFonts w:eastAsia="等线" w:ascii="Arial" w:cs="Arial" w:hAnsi="Arial"/>
          <w:sz w:val="22"/>
        </w:rPr>
        <w:t>：从链上/链下数据源获取50维宏观特征向量。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执行推理</w:t>
      </w:r>
      <w:r>
        <w:rPr>
          <w:rFonts w:eastAsia="等线" w:ascii="Arial" w:cs="Arial" w:hAnsi="Arial"/>
          <w:sz w:val="22"/>
        </w:rPr>
        <w:t>：运行XTZH AI汇率模型（ONNX格式），生成汇率及权重输出。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生成证明</w:t>
      </w:r>
      <w:r>
        <w:rPr>
          <w:rFonts w:eastAsia="等线" w:ascii="Arial" w:cs="Arial" w:hAnsi="Arial"/>
          <w:sz w:val="22"/>
        </w:rPr>
        <w:t>：根据节点类型生成相应的可验证证明（ZK proof / TEE attestation / 乐观签名）。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提交收据</w:t>
      </w:r>
      <w:r>
        <w:rPr>
          <w:rFonts w:eastAsia="等线" w:ascii="Arial" w:cs="Arial" w:hAnsi="Arial"/>
          <w:sz w:val="22"/>
        </w:rPr>
        <w:t>：将汇率收据发送给聚合器或直接提交至链上。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本API采用</w:t>
      </w:r>
      <w:r>
        <w:rPr>
          <w:rFonts w:eastAsia="等线" w:ascii="Arial" w:cs="Arial" w:hAnsi="Arial"/>
          <w:b w:val="true"/>
          <w:sz w:val="22"/>
        </w:rPr>
        <w:t>gRPC over HTTP/2</w:t>
      </w:r>
      <w:r>
        <w:rPr>
          <w:rFonts w:eastAsia="等线" w:ascii="Arial" w:cs="Arial" w:hAnsi="Arial"/>
          <w:sz w:val="22"/>
        </w:rPr>
        <w:t>作为主要传输协议，同时提供</w:t>
      </w:r>
      <w:r>
        <w:rPr>
          <w:rFonts w:eastAsia="等线" w:ascii="Arial" w:cs="Arial" w:hAnsi="Arial"/>
          <w:b w:val="true"/>
          <w:sz w:val="22"/>
        </w:rPr>
        <w:t>JSON-RPC</w:t>
      </w:r>
      <w:r>
        <w:rPr>
          <w:rFonts w:eastAsia="等线" w:ascii="Arial" w:cs="Arial" w:hAnsi="Arial"/>
          <w:sz w:val="22"/>
        </w:rPr>
        <w:t>备选方案以兼容轻量级客户端。所有接口均需通过</w:t>
      </w:r>
      <w:r>
        <w:rPr>
          <w:rFonts w:eastAsia="等线" w:ascii="Arial" w:cs="Arial" w:hAnsi="Arial"/>
          <w:b w:val="true"/>
          <w:sz w:val="22"/>
        </w:rPr>
        <w:t>双向TLS（mTLS）</w:t>
      </w:r>
      <w:r>
        <w:rPr>
          <w:rFonts w:eastAsia="等线" w:ascii="Arial" w:cs="Arial" w:hAnsi="Arial"/>
          <w:sz w:val="22"/>
        </w:rPr>
        <w:t>加密，并使用</w:t>
      </w:r>
      <w:r>
        <w:rPr>
          <w:rFonts w:eastAsia="等线" w:ascii="Arial" w:cs="Arial" w:hAnsi="Arial"/>
          <w:b w:val="true"/>
          <w:sz w:val="22"/>
        </w:rPr>
        <w:t>BLS签名</w:t>
      </w:r>
      <w:r>
        <w:rPr>
          <w:rFonts w:eastAsia="等线" w:ascii="Arial" w:cs="Arial" w:hAnsi="Arial"/>
          <w:sz w:val="22"/>
        </w:rPr>
        <w:t>或</w:t>
      </w:r>
      <w:r>
        <w:rPr>
          <w:rFonts w:eastAsia="等线" w:ascii="Arial" w:cs="Arial" w:hAnsi="Arial"/>
          <w:b w:val="true"/>
          <w:sz w:val="22"/>
        </w:rPr>
        <w:t>Ed25519签名</w:t>
      </w:r>
      <w:r>
        <w:rPr>
          <w:rFonts w:eastAsia="等线" w:ascii="Arial" w:cs="Arial" w:hAnsi="Arial"/>
          <w:sz w:val="22"/>
        </w:rPr>
        <w:t>进行请求认证。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2. 节点角色与责任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节点类型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输出证明类型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依赖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性能要求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SLA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ZK节点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Groth16证明（BN254）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Nexus zkMCP运行时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证明生成 &lt; 10秒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99.9%可用性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TEE节点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 H100机密计算认证报告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硬件TEE支持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推理 &lt; 500ms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99.99%可用性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乐观节点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Ed25519签名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无特殊硬件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推理 &lt; 100ms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99.5%可用性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所有节点</w:t>
      </w:r>
      <w:r>
        <w:rPr>
          <w:rFonts w:eastAsia="等线" w:ascii="Arial" w:cs="Arial" w:hAnsi="Arial"/>
          <w:b w:val="true"/>
          <w:sz w:val="22"/>
        </w:rPr>
        <w:t>必须</w:t>
      </w:r>
      <w:r>
        <w:rPr>
          <w:rFonts w:eastAsia="等线" w:ascii="Arial" w:cs="Arial" w:hAnsi="Arial"/>
          <w:sz w:val="22"/>
        </w:rPr>
        <w:t>实现以下核心接口，并</w:t>
      </w:r>
      <w:r>
        <w:rPr>
          <w:rFonts w:eastAsia="等线" w:ascii="Arial" w:cs="Arial" w:hAnsi="Arial"/>
          <w:b w:val="true"/>
          <w:sz w:val="22"/>
        </w:rPr>
        <w:t>可选择性</w:t>
      </w:r>
      <w:r>
        <w:rPr>
          <w:rFonts w:eastAsia="等线" w:ascii="Arial" w:cs="Arial" w:hAnsi="Arial"/>
          <w:sz w:val="22"/>
        </w:rPr>
        <w:t>实现扩展接口。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3. 接口定义（gRPC）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使用Protocol Buffers v3定义服务接口。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 xml:space="preserve">3.1 核心服务 </w:t>
      </w:r>
      <w:r>
        <w:rPr>
          <w:rFonts w:eastAsia="Consolas" w:ascii="Consolas" w:cs="Consolas" w:hAnsi="Consolas"/>
          <w:b w:val="true"/>
          <w:sz w:val="32"/>
          <w:shd w:fill="EFF0F1"/>
        </w:rPr>
        <w:t>XTZHOracle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syntax = "proto3";</w:t>
              <w:br/>
              <w:br/>
              <w:t>package nac.xtzh.oracle.v1;</w:t>
              <w:br/>
              <w:br/>
              <w:t>import "google/protobuf/timestamp.proto";</w:t>
              <w:br/>
              <w:br/>
              <w:t>service XTZHOracle {</w:t>
              <w:br/>
              <w:t xml:space="preserve">    // 获取当前汇率（同步请求-响应）</w:t>
              <w:br/>
              <w:t xml:space="preserve">    rpc GetRate(RateRequest) returns (RateResponse);</w:t>
              <w:br/>
              <w:t xml:space="preserve">    </w:t>
              <w:br/>
              <w:t xml:space="preserve">    // 提交汇率收据（节点→聚合器）</w:t>
              <w:br/>
              <w:t xml:space="preserve">    rpc SubmitReceipt(ReceiptSubmission) returns (SubmissionAck);</w:t>
              <w:br/>
              <w:t xml:space="preserve">    </w:t>
              <w:br/>
              <w:t xml:space="preserve">    // 流式订阅汇率更新（聚合器→节点）</w:t>
              <w:br/>
              <w:t xml:space="preserve">    rpc SubscribeRates(SubscriptionRequest) returns (stream RateResponse);</w:t>
              <w:br/>
              <w:t xml:space="preserve">    </w:t>
              <w:br/>
              <w:t xml:space="preserve">    // 健康检查</w:t>
              <w:br/>
              <w:t xml:space="preserve">    rpc HealthCheck(HealthRequest) returns (HealthResponse);</w:t>
              <w:br/>
              <w:t>}</w:t>
              <w:br/>
              <w:br/>
              <w:t>// 汇率请求</w:t>
              <w:br/>
              <w:t>message RateRequest {</w:t>
              <w:br/>
              <w:t xml:space="preserve">    // 可选的宏观特征向量（若为空，节点使用自身获取的最新特征）</w:t>
              <w:br/>
              <w:t xml:space="preserve">    repeated sint32 features = 1 [packed = true]; // 50维，int8量化值</w:t>
              <w:br/>
              <w:t>}</w:t>
              <w:br/>
              <w:br/>
              <w:t>// 汇率响应</w:t>
              <w:br/>
              <w:t>message RateResponse {</w:t>
              <w:br/>
              <w:t xml:space="preserve">    // 汇率数据</w:t>
              <w:br/>
              <w:t xml:space="preserve">    uint64 rate_sdr = 1;          // 1 XTZH = ? SDR，定点数1e6</w:t>
              <w:br/>
              <w:t xml:space="preserve">    uint32 w_fx = 2;             // 货币层权重（基点）</w:t>
              <w:br/>
              <w:t xml:space="preserve">    uint32 w_au = 3;            // 黄金层权重（基点）</w:t>
              <w:br/>
              <w:t xml:space="preserve">    uint32 w_com = 4;          // 商品层权重（基点）</w:t>
              <w:br/>
              <w:t xml:space="preserve">    repeated sint32 deltas = 5; // 18商品偏离系数（int8，-30~30）</w:t>
              <w:br/>
              <w:t xml:space="preserve">    </w:t>
              <w:br/>
              <w:t xml:space="preserve">    // 元数据</w:t>
              <w:br/>
              <w:t xml:space="preserve">    google.protobuf.Timestamp timestamp = 6;</w:t>
              <w:br/>
              <w:t xml:space="preserve">    bytes model_hash = 7;        // 模型版本哈希（32字节）</w:t>
              <w:br/>
              <w:t xml:space="preserve">    bytes node_id = 8;          // 节点身份标识</w:t>
              <w:br/>
              <w:t xml:space="preserve">    </w:t>
              <w:br/>
              <w:t xml:space="preserve">    // 证明（节点类型特有）</w:t>
              <w:br/>
              <w:t xml:space="preserve">    oneof proof {</w:t>
              <w:br/>
              <w:t xml:space="preserve">        ZKProof zk = 9;</w:t>
              <w:br/>
              <w:t xml:space="preserve">        TEEProof tee = 10;</w:t>
              <w:br/>
              <w:t xml:space="preserve">        bytes signature = 11;    // 乐观节点Ed25519签名</w:t>
              <w:br/>
              <w:t xml:space="preserve">    }</w:t>
              <w:br/>
              <w:t>}</w:t>
              <w:br/>
              <w:br/>
              <w:t>// ZK证明（Groth16 BN254）</w:t>
              <w:br/>
              <w:t>message ZKProof {</w:t>
              <w:br/>
              <w:t xml:space="preserve">    bytes proof = 1;            // ~1.2KB</w:t>
              <w:br/>
              <w:t xml:space="preserve">    bytes public_inputs = 2;   // 序列化公开输入</w:t>
              <w:br/>
              <w:t>}</w:t>
              <w:br/>
              <w:br/>
              <w:t>// TEE证明（NVIDIA H100认证）</w:t>
              <w:br/>
              <w:t>message TEEProof {</w:t>
              <w:br/>
              <w:t xml:space="preserve">    bytes attestation = 1;     // DER格式</w:t>
              <w:br/>
              <w:t xml:space="preserve">    bytes code_hash = 2;       // 预期代码哈希</w:t>
              <w:br/>
              <w:t xml:space="preserve">    bytes input_hash = 3;     // 输入特征哈希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3.2 收据提交服务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收据提交（聚合器→链或节点→聚合器）</w:t>
              <w:br/>
              <w:t>message ReceiptSubmission {</w:t>
              <w:br/>
              <w:t xml:space="preserve">    RateResponse rate = 1;</w:t>
              <w:br/>
              <w:t xml:space="preserve">    repeated bytes node_signatures = 2; // BLS聚合签名或节点独立签名</w:t>
              <w:br/>
              <w:t xml:space="preserve">    bytes constitutional_hash = 3;       // 当前宪法哈希</w:t>
              <w:br/>
              <w:t xml:space="preserve">    uint64 expiry_block = 4;           // 过期区块高度</w:t>
              <w:br/>
              <w:t>}</w:t>
              <w:br/>
              <w:br/>
              <w:t>message SubmissionAck {</w:t>
              <w:br/>
              <w:t xml:space="preserve">    bool accepted = 1;</w:t>
              <w:br/>
              <w:t xml:space="preserve">    string message = 2;</w:t>
              <w:br/>
              <w:t xml:space="preserve">    bytes tx_hash = 3;               // 若已上链，返回交易哈希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3.3 订阅服务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SubscriptionRequest {</w:t>
              <w:br/>
              <w:t xml:space="preserve">    repeated string filter = 1;       // 预留，如按资产类型过滤</w:t>
              <w:br/>
              <w:t xml:space="preserve">    bool include_proof = 2;          // 是否包含证明（默认true）</w:t>
              <w:br/>
              <w:t>}</w:t>
              <w:br/>
              <w:br/>
              <w:t>// 服务端推送流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3.4 健康检查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HealthRequest {}</w:t>
              <w:br/>
              <w:br/>
              <w:t>message HealthResponse {</w:t>
              <w:br/>
              <w:t xml:space="preserve">    enum ServingStatus {</w:t>
              <w:br/>
              <w:t xml:space="preserve">        UNKNOWN = 0;</w:t>
              <w:br/>
              <w:t xml:space="preserve">        SERVING = 1;</w:t>
              <w:br/>
              <w:t xml:space="preserve">        NOT_SERVING = 2;</w:t>
              <w:br/>
              <w:t xml:space="preserve">        STARTING = 3;</w:t>
              <w:br/>
              <w:t xml:space="preserve">    }</w:t>
              <w:br/>
              <w:t xml:space="preserve">    ServingStatus status = 1;</w:t>
              <w:br/>
              <w:t xml:space="preserve">    string version = 2;              // 节点软件版本</w:t>
              <w:br/>
              <w:t xml:space="preserve">    uint64 latest_block = 3;        // 同步的区块高度</w:t>
              <w:br/>
              <w:t xml:space="preserve">    float load_avg_1m = 4;         // 1分钟负载</w:t>
              <w:br/>
              <w:t xml:space="preserve">    uint64 uptime_seconds = 5;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4. 接口定义（JSON-RPC备选）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对于无法部署gRPC的轻客户端，提供JSON-RPC 2.0 over HTTPS接口。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4.1 端点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https://&lt;node-domain&gt;/xtzh/v1/rpc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4.2 方法列表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方法名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返回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说明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xtzh_getRate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{"features": []int}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RateResponse</w:t>
            </w:r>
            <w:r>
              <w:rPr>
                <w:rFonts w:eastAsia="等线" w:ascii="Arial" w:cs="Arial" w:hAnsi="Arial"/>
                <w:sz w:val="22"/>
              </w:rPr>
              <w:t>（JSON）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获取汇率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xtzh_submitReceipt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ReceiptSubmission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SubmissionAck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提交收据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xtzh_health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null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HealthResponse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健康检查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4.3 示例请求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POST /xtzh/v1/rpc HTTP/1.1</w:t>
              <w:br/>
              <w:t>Host: oracle1.nac.network</w:t>
              <w:br/>
              <w:t>Content-Type: application/json</w:t>
              <w:br/>
              <w:t>X-Node-Signature: &lt;Ed25519签名&gt;</w:t>
              <w:br/>
              <w:br/>
              <w:t>{</w:t>
              <w:br/>
              <w:t xml:space="preserve">  "jsonrpc": "2.0",</w:t>
              <w:br/>
              <w:t xml:space="preserve">  "method": "xtzh_getRate",</w:t>
              <w:br/>
              <w:t xml:space="preserve">  "params": {</w:t>
              <w:br/>
              <w:t xml:space="preserve">    "features": [12, -5, 34, ...]</w:t>
              <w:br/>
              <w:t xml:space="preserve">  },</w:t>
              <w:br/>
              <w:t xml:space="preserve">  "id": 1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响应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"jsonrpc": "2.0",</w:t>
              <w:br/>
              <w:t xml:space="preserve">  "result": {</w:t>
              <w:br/>
              <w:t xml:space="preserve">    "rate_sdr": 1034000,</w:t>
              <w:br/>
              <w:t xml:space="preserve">    "w_fx": 3800,</w:t>
              <w:br/>
              <w:t xml:space="preserve">    "w_au": 1300,</w:t>
              <w:br/>
              <w:t xml:space="preserve">    "w_com": 4900,</w:t>
              <w:br/>
              <w:t xml:space="preserve">    "deltas": [12, -5, 3, ...],</w:t>
              <w:br/>
              <w:t xml:space="preserve">    "timestamp": "2026-08-01T12:00:00Z",</w:t>
              <w:br/>
              <w:t xml:space="preserve">    "model_hash": "0x7e9c...",</w:t>
              <w:br/>
              <w:t xml:space="preserve">    "node_id": "0xabc123...",</w:t>
              <w:br/>
              <w:t xml:space="preserve">    "zk": {</w:t>
              <w:br/>
              <w:t xml:space="preserve">      "proof": "0xabcd...",</w:t>
              <w:br/>
              <w:t xml:space="preserve">      "public_inputs": "0xef01..."</w:t>
              <w:br/>
              <w:t xml:space="preserve">    }</w:t>
              <w:br/>
              <w:t xml:space="preserve">  },</w:t>
              <w:br/>
              <w:t xml:space="preserve">  "id": 1</w:t>
              <w:br/>
            </w:r>
            <w:r>
              <w:rPr>
                <w:rFonts w:eastAsia="Consolas" w:ascii="Consolas" w:cs="Consolas" w:hAnsi="Consolas"/>
                <w:sz w:val="22"/>
              </w:rPr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1" w:id="11"/>
      <w:r>
        <w:rPr>
          <w:rFonts w:eastAsia="等线" w:ascii="Arial" w:cs="Arial" w:hAnsi="Arial"/>
          <w:b w:val="true"/>
          <w:sz w:val="36"/>
        </w:rPr>
        <w:t>5. 节点身份与认证</w:t>
      </w:r>
      <w:bookmarkEnd w:id="1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5.1 身份标识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每个预言机节点必须在NAC链上注册，获取唯一的</w:t>
      </w:r>
      <w:r>
        <w:rPr>
          <w:rFonts w:eastAsia="Consolas" w:ascii="Consolas" w:cs="Consolas" w:hAnsi="Consolas"/>
          <w:sz w:val="22"/>
          <w:shd w:fill="EFF0F1"/>
        </w:rPr>
        <w:t>node_id</w:t>
      </w:r>
      <w:r>
        <w:rPr>
          <w:rFonts w:eastAsia="等线" w:ascii="Arial" w:cs="Arial" w:hAnsi="Arial"/>
          <w:sz w:val="22"/>
        </w:rPr>
        <w:t>（32字节），并公布其公钥：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ZK/TEE节点</w:t>
      </w:r>
      <w:r>
        <w:rPr>
          <w:rFonts w:eastAsia="等线" w:ascii="Arial" w:cs="Arial" w:hAnsi="Arial"/>
          <w:sz w:val="22"/>
        </w:rPr>
        <w:t>：BLS12-381公钥（48字节）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乐观节点</w:t>
      </w:r>
      <w:r>
        <w:rPr>
          <w:rFonts w:eastAsia="等线" w:ascii="Arial" w:cs="Arial" w:hAnsi="Arial"/>
          <w:sz w:val="22"/>
        </w:rPr>
        <w:t>：Ed25519公钥（32字节）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注册交易需质押</w:t>
      </w:r>
      <w:r>
        <w:rPr>
          <w:rFonts w:eastAsia="等线" w:ascii="Arial" w:cs="Arial" w:hAnsi="Arial"/>
          <w:b w:val="true"/>
          <w:sz w:val="22"/>
        </w:rPr>
        <w:t>10万XIC</w:t>
      </w:r>
      <w:r>
        <w:rPr>
          <w:rFonts w:eastAsia="等线" w:ascii="Arial" w:cs="Arial" w:hAnsi="Arial"/>
          <w:sz w:val="22"/>
        </w:rPr>
        <w:t>，并经由治理委员会批准。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5.2 请求签名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所有API请求（除健康检查）必须包含签名头部：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X-Node-Signature: &lt;hex(sign(sha256(body)))&gt;</w:t>
              <w:br/>
              <w:t>X-Node-Id: &amp;lt;hex(node_id)&amp;gt;</w:t>
              <w:br/>
              <w:t>X-Timestamp: &amp;lt;Unix秒&amp;gt;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接收方需验证签名、时间戳（允许±30秒偏移），并检查节点状态（是否活跃、质押充足）。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5.3 mTLS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生产环境</w:t>
      </w:r>
      <w:r>
        <w:rPr>
          <w:rFonts w:eastAsia="等线" w:ascii="Arial" w:cs="Arial" w:hAnsi="Arial"/>
          <w:b w:val="true"/>
          <w:sz w:val="22"/>
        </w:rPr>
        <w:t>必须</w:t>
      </w:r>
      <w:r>
        <w:rPr>
          <w:rFonts w:eastAsia="等线" w:ascii="Arial" w:cs="Arial" w:hAnsi="Arial"/>
          <w:sz w:val="22"/>
        </w:rPr>
        <w:t>启用mTLS，客户端证书由NAC预言机CA签发。CA证书链上存证。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5" w:id="15"/>
      <w:r>
        <w:rPr>
          <w:rFonts w:eastAsia="等线" w:ascii="Arial" w:cs="Arial" w:hAnsi="Arial"/>
          <w:b w:val="true"/>
          <w:sz w:val="36"/>
        </w:rPr>
        <w:t>6. 数据模型与序列化</w:t>
      </w:r>
      <w:bookmarkEnd w:id="1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6.1 宏观特征向量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特征向量为</w:t>
      </w:r>
      <w:r>
        <w:rPr>
          <w:rFonts w:eastAsia="等线" w:ascii="Arial" w:cs="Arial" w:hAnsi="Arial"/>
          <w:b w:val="true"/>
          <w:sz w:val="22"/>
        </w:rPr>
        <w:t>50维int8</w:t>
      </w:r>
      <w:r>
        <w:rPr>
          <w:rFonts w:eastAsia="等线" w:ascii="Arial" w:cs="Arial" w:hAnsi="Arial"/>
          <w:sz w:val="22"/>
        </w:rPr>
        <w:t>数组，取值范围[-128, 127]，由标准化后的宏观指标经对称量化得到。量化参数（scale=0.023529，zero_point=0）固化于模型，全网一致。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序列化</w:t>
      </w:r>
      <w:r>
        <w:rPr>
          <w:rFonts w:eastAsia="等线" w:ascii="Arial" w:cs="Arial" w:hAnsi="Arial"/>
          <w:sz w:val="22"/>
        </w:rPr>
        <w:t>：gRPC使用</w:t>
      </w:r>
      <w:r>
        <w:rPr>
          <w:rFonts w:eastAsia="Consolas" w:ascii="Consolas" w:cs="Consolas" w:hAnsi="Consolas"/>
          <w:sz w:val="22"/>
          <w:shd w:fill="EFF0F1"/>
        </w:rPr>
        <w:t>repeated sint32</w:t>
      </w:r>
      <w:r>
        <w:rPr>
          <w:rFonts w:eastAsia="等线" w:ascii="Arial" w:cs="Arial" w:hAnsi="Arial"/>
          <w:sz w:val="22"/>
        </w:rPr>
        <w:t>（变长编码），JSON使用整数数组。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6.2 汇率与权重</w:t>
      </w:r>
      <w:bookmarkEnd w:id="1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类型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精度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示例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说明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rate_sdr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uint64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1e6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1034000 = 1.034 SDR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w_fx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uint32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基点(1/10000)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3800 = 38.00%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货币层权重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w_au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uint32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1300 = 13.00%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黄金层权重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w_com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uint32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4900 = 49.00%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商品层权重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deltas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sint32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1/100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12 = +0.12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商品偏离系数（限幅-30~30）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约束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w_fx + w_au + w_com = 10000</w:t>
      </w:r>
      <w:r>
        <w:rPr>
          <w:rFonts w:eastAsia="等线" w:ascii="Arial" w:cs="Arial" w:hAnsi="Arial"/>
          <w:sz w:val="22"/>
        </w:rPr>
        <w:t>，</w:t>
      </w:r>
      <w:r>
        <w:rPr>
          <w:rFonts w:eastAsia="Consolas" w:ascii="Consolas" w:cs="Consolas" w:hAnsi="Consolas"/>
          <w:sz w:val="22"/>
          <w:shd w:fill="EFF0F1"/>
        </w:rPr>
        <w:t>∑β·deltas = 0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6.3 证明数据</w:t>
      </w:r>
      <w:bookmarkEnd w:id="18"/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ZK证明</w:t>
      </w:r>
      <w:r>
        <w:rPr>
          <w:rFonts w:eastAsia="等线" w:ascii="Arial" w:cs="Arial" w:hAnsi="Arial"/>
          <w:sz w:val="22"/>
        </w:rPr>
        <w:t>：Groth16证明（BN254），固定长度</w:t>
      </w:r>
      <w:r>
        <w:rPr>
          <w:rFonts w:eastAsia="等线" w:ascii="Arial" w:cs="Arial" w:hAnsi="Arial"/>
          <w:b w:val="true"/>
          <w:sz w:val="22"/>
        </w:rPr>
        <w:t>1216字节</w:t>
      </w:r>
      <w:r>
        <w:rPr>
          <w:rFonts w:eastAsia="等线" w:ascii="Arial" w:cs="Arial" w:hAnsi="Arial"/>
          <w:sz w:val="22"/>
        </w:rPr>
        <w:t>，序列化为</w:t>
      </w:r>
      <w:r>
        <w:rPr>
          <w:rFonts w:eastAsia="Consolas" w:ascii="Consolas" w:cs="Consolas" w:hAnsi="Consolas"/>
          <w:sz w:val="22"/>
          <w:shd w:fill="EFF0F1"/>
        </w:rPr>
        <w:t>bytes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TEE认证</w:t>
      </w:r>
      <w:r>
        <w:rPr>
          <w:rFonts w:eastAsia="等线" w:ascii="Arial" w:cs="Arial" w:hAnsi="Arial"/>
          <w:sz w:val="22"/>
        </w:rPr>
        <w:t>：NVIDIA H100认证报告，DER格式，大小约4KB。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乐观签名</w:t>
      </w:r>
      <w:r>
        <w:rPr>
          <w:rFonts w:eastAsia="等线" w:ascii="Arial" w:cs="Arial" w:hAnsi="Arial"/>
          <w:sz w:val="22"/>
        </w:rPr>
        <w:t>：Ed25519签名，</w:t>
      </w:r>
      <w:r>
        <w:rPr>
          <w:rFonts w:eastAsia="等线" w:ascii="Arial" w:cs="Arial" w:hAnsi="Arial"/>
          <w:b w:val="true"/>
          <w:sz w:val="22"/>
        </w:rPr>
        <w:t>64字节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9" w:id="19"/>
      <w:r>
        <w:rPr>
          <w:rFonts w:eastAsia="等线" w:ascii="Arial" w:cs="Arial" w:hAnsi="Arial"/>
          <w:b w:val="true"/>
          <w:sz w:val="36"/>
        </w:rPr>
        <w:t>7. 节点间通信流程</w:t>
      </w:r>
      <w:bookmarkEnd w:id="19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7.1 标准汇率生成与提交流程</w:t>
      </w:r>
      <w:bookmarkEnd w:id="2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┌─────────┐    ┌─────────┐    ┌─────────┐    ┌─────────┐    ┌─────────┐</w:t>
              <w:br/>
              <w:t>│ 数据源  │───▶│ 预言机  │───▶│ 聚合器  │───▶│ 链上合约│    │ 消费者  │</w:t>
              <w:br/>
              <w:t>└─────────┘    │  节点   │    │(Leader) │    │XTZHFeed │    │(DApp等) │</w:t>
              <w:br/>
              <w:t xml:space="preserve">               └─────────┘    └─────────┘    └─────────┘    └─────────┘</w:t>
              <w:br/>
              <w:t xml:space="preserve">                                    ▲                           ▲</w:t>
              <w:br/>
              <w:t xml:space="preserve">                                    └───────────────────────────┘</w:t>
              <w:br/>
              <w:t xml:space="preserve">                                        订阅推送 (gRPC stream</w:t>
            </w:r>
            <w:r>
              <w:rPr>
                <w:rFonts w:eastAsia="Consolas" w:ascii="Consolas" w:cs="Consolas" w:hAnsi="Consolas"/>
                <w:sz w:val="22"/>
              </w:rPr>
              <w:t>)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步骤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每个预言机节点从链上/链下数据源获取宏观特征（或接收</w:t>
      </w:r>
      <w:r>
        <w:rPr>
          <w:rFonts w:eastAsia="Consolas" w:ascii="Consolas" w:cs="Consolas" w:hAnsi="Consolas"/>
          <w:sz w:val="22"/>
          <w:shd w:fill="EFF0F1"/>
        </w:rPr>
        <w:t>RateRequest</w:t>
      </w:r>
      <w:r>
        <w:rPr>
          <w:rFonts w:eastAsia="等线" w:ascii="Arial" w:cs="Arial" w:hAnsi="Arial"/>
          <w:sz w:val="22"/>
        </w:rPr>
        <w:t>主动查询）。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节点加载模型，执行推理，生成证明。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节点调用</w:t>
      </w:r>
      <w:r>
        <w:rPr>
          <w:rFonts w:eastAsia="Consolas" w:ascii="Consolas" w:cs="Consolas" w:hAnsi="Consolas"/>
          <w:sz w:val="22"/>
          <w:shd w:fill="EFF0F1"/>
        </w:rPr>
        <w:t>SubmitReceipt</w:t>
      </w:r>
      <w:r>
        <w:rPr>
          <w:rFonts w:eastAsia="等线" w:ascii="Arial" w:cs="Arial" w:hAnsi="Arial"/>
          <w:sz w:val="22"/>
        </w:rPr>
        <w:t>将</w:t>
      </w:r>
      <w:r>
        <w:rPr>
          <w:rFonts w:eastAsia="Consolas" w:ascii="Consolas" w:cs="Consolas" w:hAnsi="Consolas"/>
          <w:sz w:val="22"/>
          <w:shd w:fill="EFF0F1"/>
        </w:rPr>
        <w:t>RateResponse</w:t>
      </w:r>
      <w:r>
        <w:rPr>
          <w:rFonts w:eastAsia="等线" w:ascii="Arial" w:cs="Arial" w:hAnsi="Arial"/>
          <w:sz w:val="22"/>
        </w:rPr>
        <w:t>发送给</w:t>
      </w:r>
      <w:r>
        <w:rPr>
          <w:rFonts w:eastAsia="等线" w:ascii="Arial" w:cs="Arial" w:hAnsi="Arial"/>
          <w:b w:val="true"/>
          <w:sz w:val="22"/>
        </w:rPr>
        <w:t>聚合器Leader</w:t>
      </w:r>
      <w:r>
        <w:rPr>
          <w:rFonts w:eastAsia="等线" w:ascii="Arial" w:cs="Arial" w:hAnsi="Arial"/>
          <w:sz w:val="22"/>
        </w:rPr>
        <w:t>（轮换制）。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聚合器收集至少</w:t>
      </w:r>
      <w:r>
        <w:rPr>
          <w:rFonts w:eastAsia="等线" w:ascii="Arial" w:cs="Arial" w:hAnsi="Arial"/>
          <w:b w:val="true"/>
          <w:sz w:val="22"/>
        </w:rPr>
        <w:t>5个有效响应</w:t>
      </w:r>
      <w:r>
        <w:rPr>
          <w:rFonts w:eastAsia="等线" w:ascii="Arial" w:cs="Arial" w:hAnsi="Arial"/>
          <w:sz w:val="22"/>
        </w:rPr>
        <w:t>（ZK+TEE+乐观混合，且满足偏差&lt;0.3%），计算中位数，生成</w:t>
      </w:r>
      <w:r>
        <w:rPr>
          <w:rFonts w:eastAsia="Consolas" w:ascii="Consolas" w:cs="Consolas" w:hAnsi="Consolas"/>
          <w:sz w:val="22"/>
          <w:shd w:fill="EFF0F1"/>
        </w:rPr>
        <w:t>ReceiptSubmission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聚合器将收据提交至NAC链</w:t>
      </w:r>
      <w:r>
        <w:rPr>
          <w:rFonts w:eastAsia="Consolas" w:ascii="Consolas" w:cs="Consolas" w:hAnsi="Consolas"/>
          <w:sz w:val="22"/>
          <w:shd w:fill="EFF0F1"/>
        </w:rPr>
        <w:t>XTZHFeed.submitRate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链上合约验证签名、宪法哈希、时间戳后写入状态。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所有节点订阅</w:t>
      </w:r>
      <w:r>
        <w:rPr>
          <w:rFonts w:eastAsia="Consolas" w:ascii="Consolas" w:cs="Consolas" w:hAnsi="Consolas"/>
          <w:sz w:val="22"/>
          <w:shd w:fill="EFF0F1"/>
        </w:rPr>
        <w:t>SubscribeRates</w:t>
      </w:r>
      <w:r>
        <w:rPr>
          <w:rFonts w:eastAsia="等线" w:ascii="Arial" w:cs="Arial" w:hAnsi="Arial"/>
          <w:sz w:val="22"/>
        </w:rPr>
        <w:t>流，实时同步最新汇率。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7.2 聚合器Leader选举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采用</w:t>
      </w:r>
      <w:r>
        <w:rPr>
          <w:rFonts w:eastAsia="等线" w:ascii="Arial" w:cs="Arial" w:hAnsi="Arial"/>
          <w:b w:val="true"/>
          <w:sz w:val="22"/>
        </w:rPr>
        <w:t>轮换Round-Robin</w:t>
      </w:r>
      <w:r>
        <w:rPr>
          <w:rFonts w:eastAsia="等线" w:ascii="Arial" w:cs="Arial" w:hAnsi="Arial"/>
          <w:sz w:val="22"/>
        </w:rPr>
        <w:t>，按节点ID排序，每纪元（24小时）更换一次。Leader负责收集响应、聚合、提交。Leader需质押额外</w:t>
      </w:r>
      <w:r>
        <w:rPr>
          <w:rFonts w:eastAsia="等线" w:ascii="Arial" w:cs="Arial" w:hAnsi="Arial"/>
          <w:b w:val="true"/>
          <w:sz w:val="22"/>
        </w:rPr>
        <w:t>50万XIC</w:t>
      </w:r>
      <w:r>
        <w:rPr>
          <w:rFonts w:eastAsia="等线" w:ascii="Arial" w:cs="Arial" w:hAnsi="Arial"/>
          <w:sz w:val="22"/>
        </w:rPr>
        <w:t>，作恶可被罚没。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7.3 故障转移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若Leader在</w:t>
      </w:r>
      <w:r>
        <w:rPr>
          <w:rFonts w:eastAsia="等线" w:ascii="Arial" w:cs="Arial" w:hAnsi="Arial"/>
          <w:b w:val="true"/>
          <w:sz w:val="22"/>
        </w:rPr>
        <w:t>30秒</w:t>
      </w:r>
      <w:r>
        <w:rPr>
          <w:rFonts w:eastAsia="等线" w:ascii="Arial" w:cs="Arial" w:hAnsi="Arial"/>
          <w:sz w:val="22"/>
        </w:rPr>
        <w:t>内未成功提交，备份节点自动触发超时选举，启用新Leader。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3" w:id="23"/>
      <w:r>
        <w:rPr>
          <w:rFonts w:eastAsia="等线" w:ascii="Arial" w:cs="Arial" w:hAnsi="Arial"/>
          <w:b w:val="true"/>
          <w:sz w:val="36"/>
        </w:rPr>
        <w:t>8. 错误处理</w:t>
      </w:r>
      <w:bookmarkEnd w:id="2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8.1 标准错误码（gRPC）</w:t>
      </w:r>
      <w:bookmarkEnd w:id="2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码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状态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说明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OK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成功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INVALID_ARGUMENT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参数错误（如特征维度≠50）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NOT_FOUND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模型或配置未找到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PERMISSION_DENIED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签名无效、节点未注册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RESOURCE_EXHAUSTED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速率限制触发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INTERNAL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内部错误（模型推理失败、证明生成失败）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UNAUTHENTICATED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mTLS证书错误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8.2 JSON-RPC错误</w:t>
      </w:r>
      <w:bookmarkEnd w:id="2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符合JSON-RPC 2.0标准：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{</w:t>
              <w:br/>
              <w:t xml:space="preserve">  "jsonrpc": "2.0",</w:t>
              <w:br/>
              <w:t xml:space="preserve">  "error": {</w:t>
              <w:br/>
              <w:t xml:space="preserve">    "code": -32000,</w:t>
              <w:br/>
              <w:t xml:space="preserve">    "message": "Proof generation timeout",</w:t>
              <w:br/>
              <w:t xml:space="preserve">    "data": { "duration_ms": 15500 }</w:t>
              <w:br/>
              <w:t xml:space="preserve">  },</w:t>
              <w:br/>
              <w:t xml:space="preserve">  "id": 1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6" w:id="26"/>
      <w:r>
        <w:rPr>
          <w:rFonts w:eastAsia="等线" w:ascii="Arial" w:cs="Arial" w:hAnsi="Arial"/>
          <w:b w:val="true"/>
          <w:sz w:val="32"/>
        </w:rPr>
        <w:t>8.3 重试策略</w:t>
      </w:r>
      <w:bookmarkEnd w:id="26"/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瞬时错误（5xx，超时）：指数退避重试（初始1秒，最大30秒）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认证错误：立即失败，需人工干预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模型不匹配：检查</w:t>
      </w:r>
      <w:r>
        <w:rPr>
          <w:rFonts w:eastAsia="Consolas" w:ascii="Consolas" w:cs="Consolas" w:hAnsi="Consolas"/>
          <w:sz w:val="22"/>
          <w:shd w:fill="EFF0F1"/>
        </w:rPr>
        <w:t>model_hash</w:t>
      </w:r>
      <w:r>
        <w:rPr>
          <w:rFonts w:eastAsia="等线" w:ascii="Arial" w:cs="Arial" w:hAnsi="Arial"/>
          <w:sz w:val="22"/>
        </w:rPr>
        <w:t>，必要时自动下载最新模型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7" w:id="27"/>
      <w:r>
        <w:rPr>
          <w:rFonts w:eastAsia="等线" w:ascii="Arial" w:cs="Arial" w:hAnsi="Arial"/>
          <w:b w:val="true"/>
          <w:sz w:val="36"/>
        </w:rPr>
        <w:t>9. 安全要求</w:t>
      </w:r>
      <w:bookmarkEnd w:id="2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8" w:id="28"/>
      <w:r>
        <w:rPr>
          <w:rFonts w:eastAsia="等线" w:ascii="Arial" w:cs="Arial" w:hAnsi="Arial"/>
          <w:b w:val="true"/>
          <w:sz w:val="32"/>
        </w:rPr>
        <w:t>9.1 密钥管理</w:t>
      </w:r>
      <w:bookmarkEnd w:id="28"/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BLS/Ed25519私钥必须存储在</w:t>
      </w:r>
      <w:r>
        <w:rPr>
          <w:rFonts w:eastAsia="等线" w:ascii="Arial" w:cs="Arial" w:hAnsi="Arial"/>
          <w:b w:val="true"/>
          <w:sz w:val="22"/>
        </w:rPr>
        <w:t>硬件安全模块（HSM）</w:t>
      </w:r>
      <w:r>
        <w:rPr>
          <w:rFonts w:eastAsia="等线" w:ascii="Arial" w:cs="Arial" w:hAnsi="Arial"/>
          <w:sz w:val="22"/>
        </w:rPr>
        <w:t>或</w:t>
      </w:r>
      <w:r>
        <w:rPr>
          <w:rFonts w:eastAsia="等线" w:ascii="Arial" w:cs="Arial" w:hAnsi="Arial"/>
          <w:b w:val="true"/>
          <w:sz w:val="22"/>
        </w:rPr>
        <w:t>机密计算环境</w:t>
      </w:r>
      <w:r>
        <w:rPr>
          <w:rFonts w:eastAsia="等线" w:ascii="Arial" w:cs="Arial" w:hAnsi="Arial"/>
          <w:sz w:val="22"/>
        </w:rPr>
        <w:t>中。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内存中私钥存在时间不超过签名操作所需。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每个节点应定期轮换密钥（治理规定：每年至少1次）。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9.2 抗女巫攻击</w:t>
      </w:r>
      <w:bookmarkEnd w:id="2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节点注册需质押</w:t>
      </w:r>
      <w:r>
        <w:rPr>
          <w:rFonts w:eastAsia="等线" w:ascii="Arial" w:cs="Arial" w:hAnsi="Arial"/>
          <w:b w:val="true"/>
          <w:sz w:val="22"/>
        </w:rPr>
        <w:t>10万XIC</w:t>
      </w:r>
      <w:r>
        <w:rPr>
          <w:rFonts w:eastAsia="等线" w:ascii="Arial" w:cs="Arial" w:hAnsi="Arial"/>
          <w:sz w:val="22"/>
        </w:rPr>
        <w:t>，作恶可被罚没50%质押金。验证者集通过链上治理动态调整。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0" w:id="30"/>
      <w:r>
        <w:rPr>
          <w:rFonts w:eastAsia="等线" w:ascii="Arial" w:cs="Arial" w:hAnsi="Arial"/>
          <w:b w:val="true"/>
          <w:sz w:val="32"/>
        </w:rPr>
        <w:t>9.3 速率限制</w:t>
      </w:r>
      <w:bookmarkEnd w:id="3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接口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限制（每秒）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策略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GetRate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基于节点ID的令牌桶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SubmitReceipt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每个节点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SubscribeRates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每个客户端IP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超出返回</w:t>
      </w:r>
      <w:r>
        <w:rPr>
          <w:rFonts w:eastAsia="Consolas" w:ascii="Consolas" w:cs="Consolas" w:hAnsi="Consolas"/>
          <w:sz w:val="22"/>
          <w:shd w:fill="EFF0F1"/>
        </w:rPr>
        <w:t>RESOURCE_EXHAUSTED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1" w:id="31"/>
      <w:r>
        <w:rPr>
          <w:rFonts w:eastAsia="等线" w:ascii="Arial" w:cs="Arial" w:hAnsi="Arial"/>
          <w:b w:val="true"/>
          <w:sz w:val="36"/>
        </w:rPr>
        <w:t>10. 监控与可观测性</w:t>
      </w:r>
      <w:bookmarkEnd w:id="3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所有节点必须暴露</w:t>
      </w:r>
      <w:r>
        <w:rPr>
          <w:rFonts w:eastAsia="等线" w:ascii="Arial" w:cs="Arial" w:hAnsi="Arial"/>
          <w:b w:val="true"/>
          <w:sz w:val="22"/>
        </w:rPr>
        <w:t>Prometheus Metrics</w:t>
      </w:r>
      <w:r>
        <w:rPr>
          <w:rFonts w:eastAsia="等线" w:ascii="Arial" w:cs="Arial" w:hAnsi="Arial"/>
          <w:sz w:val="22"/>
        </w:rPr>
        <w:t>端点（默认端口</w:t>
      </w:r>
      <w:r>
        <w:rPr>
          <w:rFonts w:eastAsia="Consolas" w:ascii="Consolas" w:cs="Consolas" w:hAnsi="Consolas"/>
          <w:sz w:val="22"/>
          <w:shd w:fill="EFF0F1"/>
        </w:rPr>
        <w:t>:9090</w:t>
      </w:r>
      <w:r>
        <w:rPr>
          <w:rFonts w:eastAsia="等线" w:ascii="Arial" w:cs="Arial" w:hAnsi="Arial"/>
          <w:sz w:val="22"/>
        </w:rPr>
        <w:t>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Metric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类型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标签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说明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xtzh_requests_total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Counter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method, status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总请求数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xtzh_request_duration_seconds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Histogram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method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请求延迟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xtzh_proof_generation_seconds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Histogram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type (zk/tee/opt)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证明生成时间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xtzh_model_inference_seconds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Histogram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模型推理时间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xtzh_node_balance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Gauge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节点质押余额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xtzh_up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Gauge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节点存活状态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健康检查端点</w:t>
      </w:r>
      <w:r>
        <w:rPr>
          <w:rFonts w:eastAsia="Consolas" w:ascii="Consolas" w:cs="Consolas" w:hAnsi="Consolas"/>
          <w:sz w:val="22"/>
          <w:shd w:fill="EFF0F1"/>
        </w:rPr>
        <w:t>/healthz</w:t>
      </w:r>
      <w:r>
        <w:rPr>
          <w:rFonts w:eastAsia="等线" w:ascii="Arial" w:cs="Arial" w:hAnsi="Arial"/>
          <w:sz w:val="22"/>
        </w:rPr>
        <w:t>返回HTTP 200/503。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2" w:id="32"/>
      <w:r>
        <w:rPr>
          <w:rFonts w:eastAsia="等线" w:ascii="Arial" w:cs="Arial" w:hAnsi="Arial"/>
          <w:b w:val="true"/>
          <w:sz w:val="36"/>
        </w:rPr>
        <w:t>11. 部署清单</w:t>
      </w:r>
      <w:bookmarkEnd w:id="3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要求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最低规格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推荐规格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CPU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8核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32核（ZK节点需更多）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RAM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16 GB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64 GB（ZK节点128 GB）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GPU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NVIDIA H100</w:t>
            </w:r>
            <w:r>
              <w:rPr>
                <w:rFonts w:eastAsia="等线" w:ascii="Arial" w:cs="Arial" w:hAnsi="Arial"/>
                <w:sz w:val="22"/>
              </w:rPr>
              <w:t>（ZK/TEE）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存储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100 GB SSD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500 GB NVMe SSD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带宽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100 Mbps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500 Mbps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OS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Ubuntu 22.04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Ubuntu 22.04 LTS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依赖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Docker, CUDA 12.1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同左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网络策略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开放端口：443（gRPC/TLS），80（重定向），9090（metrics）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出站允许访问：IMF、LBMA、LME等数据源API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3" w:id="33"/>
      <w:r>
        <w:rPr>
          <w:rFonts w:eastAsia="等线" w:ascii="Arial" w:cs="Arial" w:hAnsi="Arial"/>
          <w:b w:val="true"/>
          <w:sz w:val="36"/>
        </w:rPr>
        <w:t>12. 版本与兼容性</w:t>
      </w:r>
      <w:bookmarkEnd w:id="3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本API规范遵循</w:t>
      </w:r>
      <w:r>
        <w:rPr>
          <w:rFonts w:eastAsia="等线" w:ascii="Arial" w:cs="Arial" w:hAnsi="Arial"/>
          <w:b w:val="true"/>
          <w:sz w:val="22"/>
        </w:rPr>
        <w:t>语义化版本</w:t>
      </w:r>
      <w:r>
        <w:rPr>
          <w:rFonts w:eastAsia="等线" w:ascii="Arial" w:cs="Arial" w:hAnsi="Arial"/>
          <w:sz w:val="22"/>
        </w:rPr>
        <w:t>，主版本不兼容更新需经XIC治理投票。当前版本</w:t>
      </w:r>
      <w:r>
        <w:rPr>
          <w:rFonts w:eastAsia="等线" w:ascii="Arial" w:cs="Arial" w:hAnsi="Arial"/>
          <w:b w:val="true"/>
          <w:sz w:val="22"/>
        </w:rPr>
        <w:t>1.0</w:t>
      </w:r>
      <w:r>
        <w:rPr>
          <w:rFonts w:eastAsia="等线" w:ascii="Arial" w:cs="Arial" w:hAnsi="Arial"/>
          <w:sz w:val="22"/>
        </w:rPr>
        <w:t>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版本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日期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变更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兼容性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1.0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2026-08-01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初始版本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NAC预言机工程组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2026年8月1日  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本附件与《XTZH AI汇率模型建立与训练机制实施蓝图》其他附件构成完整技术规范。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174874">
    <w:lvl>
      <w:start w:val="1"/>
      <w:numFmt w:val="decimal"/>
      <w:suff w:val="tab"/>
      <w:lvlText w:val="%1."/>
      <w:rPr>
        <w:color w:val="3370ff"/>
      </w:rPr>
    </w:lvl>
  </w:abstractNum>
  <w:abstractNum w:abstractNumId="2174875">
    <w:lvl>
      <w:start w:val="2"/>
      <w:numFmt w:val="decimal"/>
      <w:suff w:val="tab"/>
      <w:lvlText w:val="%1."/>
      <w:rPr>
        <w:color w:val="3370ff"/>
      </w:rPr>
    </w:lvl>
  </w:abstractNum>
  <w:abstractNum w:abstractNumId="2174876">
    <w:lvl>
      <w:start w:val="3"/>
      <w:numFmt w:val="decimal"/>
      <w:suff w:val="tab"/>
      <w:lvlText w:val="%1."/>
      <w:rPr>
        <w:color w:val="3370ff"/>
      </w:rPr>
    </w:lvl>
  </w:abstractNum>
  <w:abstractNum w:abstractNumId="2174877">
    <w:lvl>
      <w:start w:val="4"/>
      <w:numFmt w:val="decimal"/>
      <w:suff w:val="tab"/>
      <w:lvlText w:val="%1."/>
      <w:rPr>
        <w:color w:val="3370ff"/>
      </w:rPr>
    </w:lvl>
  </w:abstractNum>
  <w:abstractNum w:abstractNumId="2174878">
    <w:lvl>
      <w:numFmt w:val="bullet"/>
      <w:suff w:val="tab"/>
      <w:lvlText w:val="•"/>
      <w:rPr>
        <w:color w:val="3370ff"/>
      </w:rPr>
    </w:lvl>
  </w:abstractNum>
  <w:abstractNum w:abstractNumId="2174879">
    <w:lvl>
      <w:numFmt w:val="bullet"/>
      <w:suff w:val="tab"/>
      <w:lvlText w:val="•"/>
      <w:rPr>
        <w:color w:val="3370ff"/>
      </w:rPr>
    </w:lvl>
  </w:abstractNum>
  <w:abstractNum w:abstractNumId="2174880">
    <w:lvl>
      <w:numFmt w:val="bullet"/>
      <w:suff w:val="tab"/>
      <w:lvlText w:val="•"/>
      <w:rPr>
        <w:color w:val="3370ff"/>
      </w:rPr>
    </w:lvl>
  </w:abstractNum>
  <w:abstractNum w:abstractNumId="2174881">
    <w:lvl>
      <w:numFmt w:val="bullet"/>
      <w:suff w:val="tab"/>
      <w:lvlText w:val="•"/>
      <w:rPr>
        <w:color w:val="3370ff"/>
      </w:rPr>
    </w:lvl>
  </w:abstractNum>
  <w:abstractNum w:abstractNumId="2174882">
    <w:lvl>
      <w:numFmt w:val="bullet"/>
      <w:suff w:val="tab"/>
      <w:lvlText w:val="•"/>
      <w:rPr>
        <w:color w:val="3370ff"/>
      </w:rPr>
    </w:lvl>
  </w:abstractNum>
  <w:abstractNum w:abstractNumId="2174883">
    <w:lvl>
      <w:start w:val="1"/>
      <w:numFmt w:val="decimal"/>
      <w:suff w:val="tab"/>
      <w:lvlText w:val="%1."/>
      <w:rPr>
        <w:color w:val="3370ff"/>
      </w:rPr>
    </w:lvl>
  </w:abstractNum>
  <w:abstractNum w:abstractNumId="2174884">
    <w:lvl>
      <w:start w:val="2"/>
      <w:numFmt w:val="decimal"/>
      <w:suff w:val="tab"/>
      <w:lvlText w:val="%1."/>
      <w:rPr>
        <w:color w:val="3370ff"/>
      </w:rPr>
    </w:lvl>
  </w:abstractNum>
  <w:abstractNum w:abstractNumId="2174885">
    <w:lvl>
      <w:start w:val="3"/>
      <w:numFmt w:val="decimal"/>
      <w:suff w:val="tab"/>
      <w:lvlText w:val="%1."/>
      <w:rPr>
        <w:color w:val="3370ff"/>
      </w:rPr>
    </w:lvl>
  </w:abstractNum>
  <w:abstractNum w:abstractNumId="2174886">
    <w:lvl>
      <w:start w:val="4"/>
      <w:numFmt w:val="decimal"/>
      <w:suff w:val="tab"/>
      <w:lvlText w:val="%1."/>
      <w:rPr>
        <w:color w:val="3370ff"/>
      </w:rPr>
    </w:lvl>
  </w:abstractNum>
  <w:abstractNum w:abstractNumId="2174887">
    <w:lvl>
      <w:start w:val="5"/>
      <w:numFmt w:val="decimal"/>
      <w:suff w:val="tab"/>
      <w:lvlText w:val="%1."/>
      <w:rPr>
        <w:color w:val="3370ff"/>
      </w:rPr>
    </w:lvl>
  </w:abstractNum>
  <w:abstractNum w:abstractNumId="2174888">
    <w:lvl>
      <w:start w:val="6"/>
      <w:numFmt w:val="decimal"/>
      <w:suff w:val="tab"/>
      <w:lvlText w:val="%1."/>
      <w:rPr>
        <w:color w:val="3370ff"/>
      </w:rPr>
    </w:lvl>
  </w:abstractNum>
  <w:abstractNum w:abstractNumId="2174889">
    <w:lvl>
      <w:start w:val="7"/>
      <w:numFmt w:val="decimal"/>
      <w:suff w:val="tab"/>
      <w:lvlText w:val="%1."/>
      <w:rPr>
        <w:color w:val="3370ff"/>
      </w:rPr>
    </w:lvl>
  </w:abstractNum>
  <w:abstractNum w:abstractNumId="2174890">
    <w:lvl>
      <w:numFmt w:val="bullet"/>
      <w:suff w:val="tab"/>
      <w:lvlText w:val="•"/>
      <w:rPr>
        <w:color w:val="3370ff"/>
      </w:rPr>
    </w:lvl>
  </w:abstractNum>
  <w:abstractNum w:abstractNumId="2174891">
    <w:lvl>
      <w:numFmt w:val="bullet"/>
      <w:suff w:val="tab"/>
      <w:lvlText w:val="•"/>
      <w:rPr>
        <w:color w:val="3370ff"/>
      </w:rPr>
    </w:lvl>
  </w:abstractNum>
  <w:abstractNum w:abstractNumId="2174892">
    <w:lvl>
      <w:numFmt w:val="bullet"/>
      <w:suff w:val="tab"/>
      <w:lvlText w:val="•"/>
      <w:rPr>
        <w:color w:val="3370ff"/>
      </w:rPr>
    </w:lvl>
  </w:abstractNum>
  <w:abstractNum w:abstractNumId="2174893">
    <w:lvl>
      <w:numFmt w:val="bullet"/>
      <w:suff w:val="tab"/>
      <w:lvlText w:val="•"/>
      <w:rPr>
        <w:color w:val="3370ff"/>
      </w:rPr>
    </w:lvl>
  </w:abstractNum>
  <w:abstractNum w:abstractNumId="2174894">
    <w:lvl>
      <w:numFmt w:val="bullet"/>
      <w:suff w:val="tab"/>
      <w:lvlText w:val="•"/>
      <w:rPr>
        <w:color w:val="3370ff"/>
      </w:rPr>
    </w:lvl>
  </w:abstractNum>
  <w:abstractNum w:abstractNumId="2174895">
    <w:lvl>
      <w:numFmt w:val="bullet"/>
      <w:suff w:val="tab"/>
      <w:lvlText w:val="•"/>
      <w:rPr>
        <w:color w:val="3370ff"/>
      </w:rPr>
    </w:lvl>
  </w:abstractNum>
  <w:abstractNum w:abstractNumId="2174896">
    <w:lvl>
      <w:numFmt w:val="bullet"/>
      <w:suff w:val="tab"/>
      <w:lvlText w:val="•"/>
      <w:rPr>
        <w:color w:val="3370ff"/>
      </w:rPr>
    </w:lvl>
  </w:abstractNum>
  <w:abstractNum w:abstractNumId="2174897">
    <w:lvl>
      <w:numFmt w:val="bullet"/>
      <w:suff w:val="tab"/>
      <w:lvlText w:val="•"/>
      <w:rPr>
        <w:color w:val="3370ff"/>
      </w:rPr>
    </w:lvl>
  </w:abstractNum>
  <w:num w:numId="1">
    <w:abstractNumId w:val="2174874"/>
  </w:num>
  <w:num w:numId="2">
    <w:abstractNumId w:val="2174875"/>
  </w:num>
  <w:num w:numId="3">
    <w:abstractNumId w:val="2174876"/>
  </w:num>
  <w:num w:numId="4">
    <w:abstractNumId w:val="2174877"/>
  </w:num>
  <w:num w:numId="5">
    <w:abstractNumId w:val="2174878"/>
  </w:num>
  <w:num w:numId="6">
    <w:abstractNumId w:val="2174879"/>
  </w:num>
  <w:num w:numId="7">
    <w:abstractNumId w:val="2174880"/>
  </w:num>
  <w:num w:numId="8">
    <w:abstractNumId w:val="2174881"/>
  </w:num>
  <w:num w:numId="9">
    <w:abstractNumId w:val="2174882"/>
  </w:num>
  <w:num w:numId="10">
    <w:abstractNumId w:val="2174883"/>
  </w:num>
  <w:num w:numId="11">
    <w:abstractNumId w:val="2174884"/>
  </w:num>
  <w:num w:numId="12">
    <w:abstractNumId w:val="2174885"/>
  </w:num>
  <w:num w:numId="13">
    <w:abstractNumId w:val="2174886"/>
  </w:num>
  <w:num w:numId="14">
    <w:abstractNumId w:val="2174887"/>
  </w:num>
  <w:num w:numId="15">
    <w:abstractNumId w:val="2174888"/>
  </w:num>
  <w:num w:numId="16">
    <w:abstractNumId w:val="2174889"/>
  </w:num>
  <w:num w:numId="17">
    <w:abstractNumId w:val="2174890"/>
  </w:num>
  <w:num w:numId="18">
    <w:abstractNumId w:val="2174891"/>
  </w:num>
  <w:num w:numId="19">
    <w:abstractNumId w:val="2174892"/>
  </w:num>
  <w:num w:numId="20">
    <w:abstractNumId w:val="2174893"/>
  </w:num>
  <w:num w:numId="21">
    <w:abstractNumId w:val="2174894"/>
  </w:num>
  <w:num w:numId="22">
    <w:abstractNumId w:val="2174895"/>
  </w:num>
  <w:num w:numId="23">
    <w:abstractNumId w:val="2174896"/>
  </w:num>
  <w:num w:numId="24">
    <w:abstractNumId w:val="2174897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2026-02-12T12:57:35Z</dcterms:created>
  <dc:creator>Apache POI</dc:creator>
</cp:coreProperties>
</file>