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附件K：NAC宪政免疫系统设计——面向宪法一致性的主动</w:t>
      </w:r>
      <w:r>
        <w:rPr>
          <w:rFonts w:eastAsia="等线" w:ascii="Arial" w:cs="Arial" w:hAnsi="Arial"/>
          <w:b w:val="true"/>
          <w:sz w:val="52"/>
        </w:rPr>
        <w:t>防御与排错辅助子系统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：NAC核心协议工程组 · 编译器与静态分析小组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：附件G（多编译器协同）、附件J（类型系统静态验证）、全栈宪政编译器约束体系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执行摘要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随着NAC公链技术栈日益庞大——三套编译器、两类宏库、数十个Rust crate、数千个宪法参数与规则——仅靠静态Lint已无法完全杜绝</w:t>
      </w:r>
      <w:r>
        <w:rPr>
          <w:rFonts w:eastAsia="等线" w:ascii="Arial" w:cs="Arial" w:hAnsi="Arial"/>
          <w:b w:val="true"/>
          <w:sz w:val="22"/>
        </w:rPr>
        <w:t>潜藏的宪法冲突</w:t>
      </w:r>
      <w:r>
        <w:rPr>
          <w:rFonts w:eastAsia="等线" w:ascii="Arial" w:cs="Arial" w:hAnsi="Arial"/>
          <w:sz w:val="22"/>
        </w:rPr>
        <w:t>。冲突可能源于：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宪法升级后的遗留代码</w:t>
      </w:r>
      <w:r>
        <w:rPr>
          <w:rFonts w:eastAsia="等线" w:ascii="Arial" w:cs="Arial" w:hAnsi="Arial"/>
          <w:sz w:val="22"/>
        </w:rPr>
        <w:t>：旧代码仍使用已被废除的参数名或过时的字段偏移。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多版本依赖导致的间接冲突</w:t>
      </w:r>
      <w:r>
        <w:rPr>
          <w:rFonts w:eastAsia="等线" w:ascii="Arial" w:cs="Arial" w:hAnsi="Arial"/>
          <w:sz w:val="22"/>
        </w:rPr>
        <w:t>：不同crate依赖不同版本的宪法状态文件。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运行时配置与宪法偏离</w:t>
      </w:r>
      <w:r>
        <w:rPr>
          <w:rFonts w:eastAsia="等线" w:ascii="Arial" w:cs="Arial" w:hAnsi="Arial"/>
          <w:sz w:val="22"/>
        </w:rPr>
        <w:t>：节点配置文件中的参数与宪法要求不一致。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第三方库的意外行为</w:t>
      </w:r>
      <w:r>
        <w:rPr>
          <w:rFonts w:eastAsia="等线" w:ascii="Arial" w:cs="Arial" w:hAnsi="Arial"/>
          <w:sz w:val="22"/>
        </w:rPr>
        <w:t>：未经审计的依赖可能引入与宪法冲突的逻辑。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开发者误解</w:t>
      </w:r>
      <w:r>
        <w:rPr>
          <w:rFonts w:eastAsia="等线" w:ascii="Arial" w:cs="Arial" w:hAnsi="Arial"/>
          <w:sz w:val="22"/>
        </w:rPr>
        <w:t>：即使通过编译，代码行为仍可能与宪法意图相悖（如对宪法谓词的理解错误）。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为此，我们设计</w:t>
      </w:r>
      <w:r>
        <w:rPr>
          <w:rFonts w:eastAsia="等线" w:ascii="Arial" w:cs="Arial" w:hAnsi="Arial"/>
          <w:b w:val="true"/>
          <w:sz w:val="22"/>
        </w:rPr>
        <w:t>NAC宪政免疫系统</w:t>
      </w:r>
      <w:r>
        <w:rPr>
          <w:rFonts w:eastAsia="等线" w:ascii="Arial" w:cs="Arial" w:hAnsi="Arial"/>
          <w:sz w:val="22"/>
        </w:rPr>
        <w:t>——一个</w:t>
      </w:r>
      <w:r>
        <w:rPr>
          <w:rFonts w:eastAsia="等线" w:ascii="Arial" w:cs="Arial" w:hAnsi="Arial"/>
          <w:b w:val="true"/>
          <w:sz w:val="22"/>
        </w:rPr>
        <w:t>微型、嵌入式、自感知</w:t>
      </w:r>
      <w:r>
        <w:rPr>
          <w:rFonts w:eastAsia="等线" w:ascii="Arial" w:cs="Arial" w:hAnsi="Arial"/>
          <w:sz w:val="22"/>
        </w:rPr>
        <w:t>的辅助子系统，旨在：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静态排异</w:t>
      </w:r>
      <w:r>
        <w:rPr>
          <w:rFonts w:eastAsia="等线" w:ascii="Arial" w:cs="Arial" w:hAnsi="Arial"/>
          <w:sz w:val="22"/>
        </w:rPr>
        <w:t>：在编译期检测跨crate、跨版本的宪法一致性冲突，比普通Lint更深入。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动态排错</w:t>
      </w:r>
      <w:r>
        <w:rPr>
          <w:rFonts w:eastAsia="等线" w:ascii="Arial" w:cs="Arial" w:hAnsi="Arial"/>
          <w:sz w:val="22"/>
        </w:rPr>
        <w:t>：在运行时监控关键宪法参数是否被意外修改，并实时报警。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诊断建议</w:t>
      </w:r>
      <w:r>
        <w:rPr>
          <w:rFonts w:eastAsia="等线" w:ascii="Arial" w:cs="Arial" w:hAnsi="Arial"/>
          <w:sz w:val="22"/>
        </w:rPr>
        <w:t>：对检测到的违宪行为提供具体的修复指引，甚至自动生成补丁。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健康报告</w:t>
      </w:r>
      <w:r>
        <w:rPr>
          <w:rFonts w:eastAsia="等线" w:ascii="Arial" w:cs="Arial" w:hAnsi="Arial"/>
          <w:sz w:val="22"/>
        </w:rPr>
        <w:t>：生成宪法一致性评分，辅助审计与治理。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免疫系统并非取代现有Lint，而是作为</w:t>
      </w:r>
      <w:r>
        <w:rPr>
          <w:rFonts w:eastAsia="等线" w:ascii="Arial" w:cs="Arial" w:hAnsi="Arial"/>
          <w:b w:val="true"/>
          <w:sz w:val="22"/>
        </w:rPr>
        <w:t>最后一道防线</w:t>
      </w:r>
      <w:r>
        <w:rPr>
          <w:rFonts w:eastAsia="等线" w:ascii="Arial" w:cs="Arial" w:hAnsi="Arial"/>
          <w:sz w:val="22"/>
        </w:rPr>
        <w:t>，在Lint遗漏时仍能捕获问题。它遵循“微型、无侵入、可观测”原则，对正常运行的性能影响可忽略（通过采样、异步报告等方式）。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1. 架构总览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    NAC宪政免疫系统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├─────────────────┬─────────────────┬─────────────────────────────┤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静态免疫引擎   │   动态免疫引擎   │    诊断与修复引擎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(编译时)       │   (运行时)       │    (离线/在线)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├─────────────────┴─────────────────┴─────────────────────────────┤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     报告与可视化层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(日志、指标、dashboard、PR评论)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└─────────────────────────────────────────────────────────────────┘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与现有工具链的关系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3000"/>
        <w:gridCol w:w="27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工具链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免疫系统集成方式</w:t>
            </w:r>
          </w:p>
        </w:tc>
        <w:tc>
          <w:tcPr>
            <w:tcW w:w="27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触发时机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cargo-constitution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作为Lint扩展，但提供更深度的跨crate分析</w:t>
            </w:r>
          </w:p>
        </w:tc>
        <w:tc>
          <w:tcPr>
            <w:tcW w:w="27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编译时（可选）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nac-toolbox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 xml:space="preserve">新增 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nac immune</w:t>
            </w:r>
            <w:r>
              <w:rPr>
                <w:rFonts w:eastAsia="等线" w:ascii="Arial" w:cs="Arial" w:hAnsi="Arial"/>
                <w:sz w:val="22"/>
              </w:rPr>
              <w:t xml:space="preserve"> 子命令</w:t>
            </w:r>
          </w:p>
        </w:tc>
        <w:tc>
          <w:tcPr>
            <w:tcW w:w="27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用户手动触发或CI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节点运行时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作为轻量级线程运行，定期检查</w:t>
            </w:r>
          </w:p>
        </w:tc>
        <w:tc>
          <w:tcPr>
            <w:tcW w:w="27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节点运行期间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宪法沙箱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免疫系统可模拟宪法变更对代码的影响</w:t>
            </w:r>
          </w:p>
        </w:tc>
        <w:tc>
          <w:tcPr>
            <w:tcW w:w="27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提案评估阶段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CI/CD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自动运行静态免疫扫描，阻止合并</w:t>
            </w:r>
          </w:p>
        </w:tc>
        <w:tc>
          <w:tcPr>
            <w:tcW w:w="27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每次PR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2. 静态免疫引擎（编译时排异）</w:t>
      </w:r>
      <w:bookmarkEnd w:id="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2.1 跨crate宪法一致性检查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Rust工作空间可能包含多个crate，每个crate都可能直接或间接依赖宪法状态文件。若不同crate依赖了不同版本的宪法状态文件（例如，一个crate仍使用旧版参数名），可能导致最终二进制行为不一致。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静态免疫引擎</w:t>
      </w:r>
      <w:r>
        <w:rPr>
          <w:rFonts w:eastAsia="等线" w:ascii="Arial" w:cs="Arial" w:hAnsi="Arial"/>
          <w:sz w:val="22"/>
        </w:rPr>
        <w:t>在链接阶段分析所有crate的宪法依赖，检查：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宪法状态文件哈希一致性</w:t>
      </w:r>
      <w:r>
        <w:rPr>
          <w:rFonts w:eastAsia="等线" w:ascii="Arial" w:cs="Arial" w:hAnsi="Arial"/>
          <w:sz w:val="22"/>
        </w:rPr>
        <w:t>：所有crate必须使用完全相同哈希的宪法状态文件，否则报错。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参数名称冲突</w:t>
      </w:r>
      <w:r>
        <w:rPr>
          <w:rFonts w:eastAsia="等线" w:ascii="Arial" w:cs="Arial" w:hAnsi="Arial"/>
          <w:sz w:val="22"/>
        </w:rPr>
        <w:t>：若两个crate对同一宪法参数使用了不同的常量名（例如，一个用</w:t>
      </w:r>
      <w:r>
        <w:rPr>
          <w:rFonts w:eastAsia="Consolas" w:ascii="Consolas" w:cs="Consolas" w:hAnsi="Consolas"/>
          <w:sz w:val="22"/>
          <w:shd w:fill="EFF0F1"/>
        </w:rPr>
        <w:t>CBPP_DT_MIN</w:t>
      </w:r>
      <w:r>
        <w:rPr>
          <w:rFonts w:eastAsia="等线" w:ascii="Arial" w:cs="Arial" w:hAnsi="Arial"/>
          <w:sz w:val="22"/>
        </w:rPr>
        <w:t>，另一个用旧名</w:t>
      </w:r>
      <w:r>
        <w:rPr>
          <w:rFonts w:eastAsia="Consolas" w:ascii="Consolas" w:cs="Consolas" w:hAnsi="Consolas"/>
          <w:sz w:val="22"/>
          <w:shd w:fill="EFF0F1"/>
        </w:rPr>
        <w:t>CBPP_MIN_INTERVAL</w:t>
      </w:r>
      <w:r>
        <w:rPr>
          <w:rFonts w:eastAsia="等线" w:ascii="Arial" w:cs="Arial" w:hAnsi="Arial"/>
          <w:sz w:val="22"/>
        </w:rPr>
        <w:t>），则报错。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类型布局一致性</w:t>
      </w:r>
      <w:r>
        <w:rPr>
          <w:rFonts w:eastAsia="等线" w:ascii="Arial" w:cs="Arial" w:hAnsi="Arial"/>
          <w:sz w:val="22"/>
        </w:rPr>
        <w:t>：对于</w:t>
      </w:r>
      <w:r>
        <w:rPr>
          <w:rFonts w:eastAsia="Consolas" w:ascii="Consolas" w:cs="Consolas" w:hAnsi="Consolas"/>
          <w:sz w:val="22"/>
          <w:shd w:fill="EFF0F1"/>
        </w:rPr>
        <w:t>Address</w:t>
      </w:r>
      <w:r>
        <w:rPr>
          <w:rFonts w:eastAsia="等线" w:ascii="Arial" w:cs="Arial" w:hAnsi="Arial"/>
          <w:sz w:val="22"/>
        </w:rPr>
        <w:t>等类型，所有crate必须使用相同的字段偏移（通过比较</w:t>
      </w:r>
      <w:r>
        <w:rPr>
          <w:rFonts w:eastAsia="Consolas" w:ascii="Consolas" w:cs="Consolas" w:hAnsi="Consolas"/>
          <w:sz w:val="22"/>
          <w:shd w:fill="EFF0F1"/>
        </w:rPr>
        <w:t>nac-primitives</w:t>
      </w:r>
      <w:r>
        <w:rPr>
          <w:rFonts w:eastAsia="等线" w:ascii="Arial" w:cs="Arial" w:hAnsi="Arial"/>
          <w:sz w:val="22"/>
        </w:rPr>
        <w:t>的版本实现）。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实现方式</w:t>
      </w:r>
      <w:r>
        <w:rPr>
          <w:rFonts w:eastAsia="等线" w:ascii="Arial" w:cs="Arial" w:hAnsi="Arial"/>
          <w:sz w:val="22"/>
        </w:rPr>
        <w:t>：在构建时生成一个“宪法依赖图”，由免疫引擎分析。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2.2 版本漂移检测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检测依赖树中是否存在多个版本的</w:t>
      </w:r>
      <w:r>
        <w:rPr>
          <w:rFonts w:eastAsia="Consolas" w:ascii="Consolas" w:cs="Consolas" w:hAnsi="Consolas"/>
          <w:sz w:val="22"/>
          <w:shd w:fill="EFF0F1"/>
        </w:rPr>
        <w:t>nac-primitives</w:t>
      </w:r>
      <w:r>
        <w:rPr>
          <w:rFonts w:eastAsia="等线" w:ascii="Arial" w:cs="Arial" w:hAnsi="Arial"/>
          <w:sz w:val="22"/>
        </w:rPr>
        <w:t>、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>等核心库，这些库的版本不匹配可能导致类型布局不一致。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免疫规则</w:t>
      </w:r>
      <w:r>
        <w:rPr>
          <w:rFonts w:eastAsia="等线" w:ascii="Arial" w:cs="Arial" w:hAnsi="Arial"/>
          <w:sz w:val="22"/>
        </w:rPr>
        <w:t>：若存在两个主要版本的核心库，则视为“排异反应”，阻止构建。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2.3 未使用宪法参数检测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列出所有宪法参数，并检测Rust代码中哪些参数从未被使用。未使用的参数可能意味着：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代码未实现某条宪法要求（如未使用</w:t>
      </w:r>
      <w:r>
        <w:rPr>
          <w:rFonts w:eastAsia="Consolas" w:ascii="Consolas" w:cs="Consolas" w:hAnsi="Consolas"/>
          <w:sz w:val="22"/>
          <w:shd w:fill="EFF0F1"/>
        </w:rPr>
        <w:t>CBP_HW_MIN_CORES</w:t>
      </w:r>
      <w:r>
        <w:rPr>
          <w:rFonts w:eastAsia="等线" w:ascii="Arial" w:cs="Arial" w:hAnsi="Arial"/>
          <w:sz w:val="22"/>
        </w:rPr>
        <w:t>，导致CBP注册时缺少硬件检查）。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参数已被废弃但未从宪法中移除。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输出</w:t>
      </w:r>
      <w:r>
        <w:rPr>
          <w:rFonts w:eastAsia="等线" w:ascii="Arial" w:cs="Arial" w:hAnsi="Arial"/>
          <w:sz w:val="22"/>
        </w:rPr>
        <w:t>：生成“宪法参数覆盖率报告”，供审计。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7" w:id="7"/>
      <w:r>
        <w:rPr>
          <w:rFonts w:eastAsia="等线" w:ascii="Arial" w:cs="Arial" w:hAnsi="Arial"/>
          <w:b w:val="true"/>
          <w:sz w:val="36"/>
        </w:rPr>
        <w:t>3. 动态免疫引擎（运行时监控）</w:t>
      </w:r>
      <w:bookmarkEnd w:id="7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3.1 关键宪法参数监控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在节点运行时，免疫引擎定期（如每分钟）检查以下内容：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CBP出块参数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Δt_min</w:t>
      </w:r>
      <w:r>
        <w:rPr>
          <w:rFonts w:eastAsia="等线" w:ascii="Arial" w:cs="Arial" w:hAnsi="Arial"/>
          <w:sz w:val="22"/>
        </w:rPr>
        <w:t>、</w:t>
      </w:r>
      <w:r>
        <w:rPr>
          <w:rFonts w:eastAsia="Consolas" w:ascii="Consolas" w:cs="Consolas" w:hAnsi="Consolas"/>
          <w:sz w:val="22"/>
          <w:shd w:fill="EFF0F1"/>
        </w:rPr>
        <w:t>Δt_max</w:t>
      </w:r>
      <w:r>
        <w:rPr>
          <w:rFonts w:eastAsia="等线" w:ascii="Arial" w:cs="Arial" w:hAnsi="Arial"/>
          <w:sz w:val="22"/>
        </w:rPr>
        <w:t>是否与宪法一致（防止被运行时配置覆盖）。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覆盖率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XTZH_GOLD_COVERAGE</w:t>
      </w:r>
      <w:r>
        <w:rPr>
          <w:rFonts w:eastAsia="等线" w:ascii="Arial" w:cs="Arial" w:hAnsi="Arial"/>
          <w:sz w:val="22"/>
        </w:rPr>
        <w:t>是否持续满足≥125%。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网络连接</w:t>
      </w:r>
      <w:r>
        <w:rPr>
          <w:rFonts w:eastAsia="等线" w:ascii="Arial" w:cs="Arial" w:hAnsi="Arial"/>
          <w:sz w:val="22"/>
        </w:rPr>
        <w:t>：CBP节点连接数是否满足</w:t>
      </w:r>
      <w:r>
        <w:rPr>
          <w:rFonts w:eastAsia="Consolas" w:ascii="Consolas" w:cs="Consolas" w:hAnsi="Consolas"/>
          <w:sz w:val="22"/>
          <w:shd w:fill="EFF0F1"/>
        </w:rPr>
        <w:t>NET_CBP_MIN_PEERS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地址编码</w:t>
      </w:r>
      <w:r>
        <w:rPr>
          <w:rFonts w:eastAsia="等线" w:ascii="Arial" w:cs="Arial" w:hAnsi="Arial"/>
          <w:sz w:val="22"/>
        </w:rPr>
        <w:t>：对外输出的地址是否遵循宪法定义的默认格式。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触发机制</w:t>
      </w:r>
      <w:r>
        <w:rPr>
          <w:rFonts w:eastAsia="等线" w:ascii="Arial" w:cs="Arial" w:hAnsi="Arial"/>
          <w:sz w:val="22"/>
        </w:rPr>
        <w:t>：若检测到偏离，根据严重级别触发：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警告</w:t>
      </w:r>
      <w:r>
        <w:rPr>
          <w:rFonts w:eastAsia="等线" w:ascii="Arial" w:cs="Arial" w:hAnsi="Arial"/>
          <w:sz w:val="22"/>
        </w:rPr>
        <w:t>：记录日志，发送到监控系统。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熔断</w:t>
      </w:r>
      <w:r>
        <w:rPr>
          <w:rFonts w:eastAsia="等线" w:ascii="Arial" w:cs="Arial" w:hAnsi="Arial"/>
          <w:sz w:val="22"/>
        </w:rPr>
        <w:t>：若严重违宪（如覆盖率跌破125%且未触发熔断），节点可自动暂停某些功能（需宪法授权）。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3.2 运行时宪法谓词验证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对于关键交易（如XTZH铸造、黄金储备再平衡），免疫引擎可在CEE收据验证之外</w:t>
      </w:r>
      <w:r>
        <w:rPr>
          <w:rFonts w:eastAsia="等线" w:ascii="Arial" w:cs="Arial" w:hAnsi="Arial"/>
          <w:b w:val="true"/>
          <w:sz w:val="22"/>
        </w:rPr>
        <w:t>二次验证</w:t>
      </w:r>
      <w:r>
        <w:rPr>
          <w:rFonts w:eastAsia="等线" w:ascii="Arial" w:cs="Arial" w:hAnsi="Arial"/>
          <w:sz w:val="22"/>
        </w:rPr>
        <w:t>宪法谓词，作为防CEE出错的最后屏障。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实现</w:t>
      </w:r>
      <w:r>
        <w:rPr>
          <w:rFonts w:eastAsia="等线" w:ascii="Arial" w:cs="Arial" w:hAnsi="Arial"/>
          <w:sz w:val="22"/>
        </w:rPr>
        <w:t>：将宪法谓词编译为WASM，在运行时沙箱中执行，与CEE结果比对。若不一致，记录“宪法审计失败”事件。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3.3 跨节点一致性心跳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免疫引擎可向其他节点发送“宪法心跳”，包含本地宪法哈希和关键参数签名。若收到的心跳与本地不一致，则发出“网络分裂”警告，提示可能的分区或版本不兼容。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1" w:id="11"/>
      <w:r>
        <w:rPr>
          <w:rFonts w:eastAsia="等线" w:ascii="Arial" w:cs="Arial" w:hAnsi="Arial"/>
          <w:b w:val="true"/>
          <w:sz w:val="36"/>
        </w:rPr>
        <w:t>4. 诊断与修复引擎</w:t>
      </w:r>
      <w:bookmarkEnd w:id="1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4.1 违宪报告结构化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所有检测到的违宪事件被格式化为标准化报告，包含：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宪法条款ID</w:t>
      </w:r>
      <w:r>
        <w:rPr>
          <w:rFonts w:eastAsia="等线" w:ascii="Arial" w:cs="Arial" w:hAnsi="Arial"/>
          <w:sz w:val="22"/>
        </w:rPr>
        <w:t xml:space="preserve">：如 </w:t>
      </w:r>
      <w:r>
        <w:rPr>
          <w:rFonts w:eastAsia="Consolas" w:ascii="Consolas" w:cs="Consolas" w:hAnsi="Consolas"/>
          <w:sz w:val="22"/>
          <w:shd w:fill="EFF0F1"/>
        </w:rPr>
        <w:t>XTZH_GOLD_COVERAGE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预期值/行为</w:t>
      </w:r>
      <w:r>
        <w:rPr>
          <w:rFonts w:eastAsia="等线" w:ascii="Arial" w:cs="Arial" w:hAnsi="Arial"/>
          <w:sz w:val="22"/>
        </w:rPr>
        <w:t xml:space="preserve">：如 </w:t>
      </w:r>
      <w:r>
        <w:rPr>
          <w:rFonts w:eastAsia="Consolas" w:ascii="Consolas" w:cs="Consolas" w:hAnsi="Consolas"/>
          <w:sz w:val="22"/>
          <w:shd w:fill="EFF0F1"/>
        </w:rPr>
        <w:t>覆盖率 ≥ 1.25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实际值</w:t>
      </w:r>
      <w:r>
        <w:rPr>
          <w:rFonts w:eastAsia="等线" w:ascii="Arial" w:cs="Arial" w:hAnsi="Arial"/>
          <w:sz w:val="22"/>
        </w:rPr>
        <w:t xml:space="preserve">：如 </w:t>
      </w:r>
      <w:r>
        <w:rPr>
          <w:rFonts w:eastAsia="Consolas" w:ascii="Consolas" w:cs="Consolas" w:hAnsi="Consolas"/>
          <w:sz w:val="22"/>
          <w:shd w:fill="EFF0F1"/>
        </w:rPr>
        <w:t>覆盖率 = 1.18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发生位置</w:t>
      </w:r>
      <w:r>
        <w:rPr>
          <w:rFonts w:eastAsia="等线" w:ascii="Arial" w:cs="Arial" w:hAnsi="Arial"/>
          <w:sz w:val="22"/>
        </w:rPr>
        <w:t>：代码文件/行号，或运行时上下文（交易哈希、节点ID）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可能原因</w:t>
      </w:r>
      <w:r>
        <w:rPr>
          <w:rFonts w:eastAsia="等线" w:ascii="Arial" w:cs="Arial" w:hAnsi="Arial"/>
          <w:sz w:val="22"/>
        </w:rPr>
        <w:t>：自动分析（如“硬编码参数”、“配置错误”）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修复建议</w:t>
      </w:r>
      <w:r>
        <w:rPr>
          <w:rFonts w:eastAsia="等线" w:ascii="Arial" w:cs="Arial" w:hAnsi="Arial"/>
          <w:sz w:val="22"/>
        </w:rPr>
        <w:t>：如“请将配置文件中的</w:t>
      </w:r>
      <w:r>
        <w:rPr>
          <w:rFonts w:eastAsia="Consolas" w:ascii="Consolas" w:cs="Consolas" w:hAnsi="Consolas"/>
          <w:sz w:val="22"/>
          <w:shd w:fill="EFF0F1"/>
        </w:rPr>
        <w:t>coverage_target</w:t>
      </w:r>
      <w:r>
        <w:rPr>
          <w:rFonts w:eastAsia="等线" w:ascii="Arial" w:cs="Arial" w:hAnsi="Arial"/>
          <w:sz w:val="22"/>
        </w:rPr>
        <w:t>改为引用宪法常量</w:t>
      </w:r>
      <w:r>
        <w:rPr>
          <w:rFonts w:eastAsia="Consolas" w:ascii="Consolas" w:cs="Consolas" w:hAnsi="Consolas"/>
          <w:sz w:val="22"/>
          <w:shd w:fill="EFF0F1"/>
        </w:rPr>
        <w:t>XTZH_GOLD_COVERAGE_MIN</w:t>
      </w:r>
      <w:r>
        <w:rPr>
          <w:rFonts w:eastAsia="等线" w:ascii="Arial" w:cs="Arial" w:hAnsi="Arial"/>
          <w:sz w:val="22"/>
        </w:rPr>
        <w:t>”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4.2 自动补丁生成（可选）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对于常见违宪模式（如硬编码宪法参数），免疫引擎可生成</w:t>
      </w:r>
      <w:r>
        <w:rPr>
          <w:rFonts w:eastAsia="等线" w:ascii="Arial" w:cs="Arial" w:hAnsi="Arial"/>
          <w:b w:val="true"/>
          <w:sz w:val="22"/>
        </w:rPr>
        <w:t>补丁文件</w:t>
      </w:r>
      <w:r>
        <w:rPr>
          <w:rFonts w:eastAsia="等线" w:ascii="Arial" w:cs="Arial" w:hAnsi="Arial"/>
          <w:sz w:val="22"/>
        </w:rPr>
        <w:t>（</w:t>
      </w:r>
      <w:r>
        <w:rPr>
          <w:rFonts w:eastAsia="Consolas" w:ascii="Consolas" w:cs="Consolas" w:hAnsi="Consolas"/>
          <w:sz w:val="22"/>
          <w:shd w:fill="EFF0F1"/>
        </w:rPr>
        <w:t>.patch</w:t>
      </w:r>
      <w:r>
        <w:rPr>
          <w:rFonts w:eastAsia="等线" w:ascii="Arial" w:cs="Arial" w:hAnsi="Arial"/>
          <w:sz w:val="22"/>
        </w:rPr>
        <w:t>），开发者可直接应用。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示例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```diff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const TARGET: f64 = 1.25;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+ const TARGET: f64 = constitutional_state::parameters::XTZH_GOLD_COVERAGE_MIN;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4.3 宪法沙箱集成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在宪法修正案提案阶段，免疫引擎可模拟新宪法对现有代码库的影响，生成“兼容性影响报告”，辅助宪法法院决策。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5" w:id="15"/>
      <w:r>
        <w:rPr>
          <w:rFonts w:eastAsia="等线" w:ascii="Arial" w:cs="Arial" w:hAnsi="Arial"/>
          <w:b w:val="true"/>
          <w:sz w:val="36"/>
        </w:rPr>
        <w:t>5. 与现有工具链的深度集成</w:t>
      </w:r>
      <w:bookmarkEnd w:id="1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5.1 cargo-constitution 扩展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</w:t>
      </w:r>
      <w:r>
        <w:rPr>
          <w:rFonts w:eastAsia="Consolas" w:ascii="Consolas" w:cs="Consolas" w:hAnsi="Consolas"/>
          <w:sz w:val="22"/>
          <w:shd w:fill="EFF0F1"/>
        </w:rPr>
        <w:t>cargo-constitution</w:t>
      </w:r>
      <w:r>
        <w:rPr>
          <w:rFonts w:eastAsia="等线" w:ascii="Arial" w:cs="Arial" w:hAnsi="Arial"/>
          <w:sz w:val="22"/>
        </w:rPr>
        <w:t>中新增</w:t>
      </w:r>
      <w:r>
        <w:rPr>
          <w:rFonts w:eastAsia="Consolas" w:ascii="Consolas" w:cs="Consolas" w:hAnsi="Consolas"/>
          <w:sz w:val="22"/>
          <w:shd w:fill="EFF0F1"/>
        </w:rPr>
        <w:t>immune</w:t>
      </w:r>
      <w:r>
        <w:rPr>
          <w:rFonts w:eastAsia="等线" w:ascii="Arial" w:cs="Arial" w:hAnsi="Arial"/>
          <w:sz w:val="22"/>
        </w:rPr>
        <w:t>子命令，运行静态免疫检查。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cargo constitution immune --static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输出格式支持JSON、表格、Markdown，便于CI集成。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5.2 nac-toolbox 集成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nac-toolbox</w:t>
      </w:r>
      <w:r>
        <w:rPr>
          <w:rFonts w:eastAsia="等线" w:ascii="Arial" w:cs="Arial" w:hAnsi="Arial"/>
          <w:sz w:val="22"/>
        </w:rPr>
        <w:t>新增</w:t>
      </w:r>
      <w:r>
        <w:rPr>
          <w:rFonts w:eastAsia="Consolas" w:ascii="Consolas" w:cs="Consolas" w:hAnsi="Consolas"/>
          <w:sz w:val="22"/>
          <w:shd w:fill="EFF0F1"/>
        </w:rPr>
        <w:t>immune</w:t>
      </w:r>
      <w:r>
        <w:rPr>
          <w:rFonts w:eastAsia="等线" w:ascii="Arial" w:cs="Arial" w:hAnsi="Arial"/>
          <w:sz w:val="22"/>
        </w:rPr>
        <w:t>命令组：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immune status          # 查看当前运行时免疫状态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immune logs            # 查看历史违宪事件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immune scan            # 手动触发静态扫描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immune fix             # 尝试自动修复（需确认）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5.3 节点运行时集成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在节点软件中，免疫系统作为可选组件编译（通过feature </w:t>
      </w:r>
      <w:r>
        <w:rPr>
          <w:rFonts w:eastAsia="Consolas" w:ascii="Consolas" w:cs="Consolas" w:hAnsi="Consolas"/>
          <w:sz w:val="22"/>
          <w:shd w:fill="EFF0F1"/>
        </w:rPr>
        <w:t>immune</w:t>
      </w:r>
      <w:r>
        <w:rPr>
          <w:rFonts w:eastAsia="等线" w:ascii="Arial" w:cs="Arial" w:hAnsi="Arial"/>
          <w:sz w:val="22"/>
        </w:rPr>
        <w:t>）。默认开启，但可通过配置禁用（仅限测试网）。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运行时免疫数据可通过Prometheus端点暴露，供Grafana监控。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5.4 CI/CD集成</w:t>
      </w:r>
      <w:bookmarkEnd w:id="1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在GitHub Actions中增加</w:t>
      </w:r>
      <w:r>
        <w:rPr>
          <w:rFonts w:eastAsia="Consolas" w:ascii="Consolas" w:cs="Consolas" w:hAnsi="Consolas"/>
          <w:sz w:val="22"/>
          <w:shd w:fill="EFF0F1"/>
        </w:rPr>
        <w:t>immune</w:t>
      </w:r>
      <w:r>
        <w:rPr>
          <w:rFonts w:eastAsia="等线" w:ascii="Arial" w:cs="Arial" w:hAnsi="Arial"/>
          <w:sz w:val="22"/>
        </w:rPr>
        <w:t>检查步骤：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```yaml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name: Constitutional Immunity Check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run: nac immune scan --fail-on-violation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env: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CONSTITUTIONAL_HASH: ${{ needs.constitution.outputs.hash }}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若检测到违宪，PR自动标记为失败。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0" w:id="20"/>
      <w:r>
        <w:rPr>
          <w:rFonts w:eastAsia="等线" w:ascii="Arial" w:cs="Arial" w:hAnsi="Arial"/>
          <w:b w:val="true"/>
          <w:sz w:val="36"/>
        </w:rPr>
        <w:t>6. 免疫系统的自免疫</w:t>
      </w:r>
      <w:bookmarkEnd w:id="2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为确保免疫系统自身不引入新问题，必须遵循：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最小权限</w:t>
      </w:r>
      <w:r>
        <w:rPr>
          <w:rFonts w:eastAsia="等线" w:ascii="Arial" w:cs="Arial" w:hAnsi="Arial"/>
          <w:sz w:val="22"/>
        </w:rPr>
        <w:t>：免疫系统运行时线程只读访问宪法状态和节点配置，无修改权限。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独立沙箱</w:t>
      </w:r>
      <w:r>
        <w:rPr>
          <w:rFonts w:eastAsia="等线" w:ascii="Arial" w:cs="Arial" w:hAnsi="Arial"/>
          <w:sz w:val="22"/>
        </w:rPr>
        <w:t>：运行时谓词验证在WASM沙箱中执行，与主进程隔离。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可降级</w:t>
      </w:r>
      <w:r>
        <w:rPr>
          <w:rFonts w:eastAsia="等线" w:ascii="Arial" w:cs="Arial" w:hAnsi="Arial"/>
          <w:sz w:val="22"/>
        </w:rPr>
        <w:t>：若免疫系统崩溃，不影响节点核心功能（仅丢失监控）。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宪法绑定</w:t>
      </w:r>
      <w:r>
        <w:rPr>
          <w:rFonts w:eastAsia="等线" w:ascii="Arial" w:cs="Arial" w:hAnsi="Arial"/>
          <w:sz w:val="22"/>
        </w:rPr>
        <w:t>：免疫系统的行为本身也受宪法约束（例如，不得泄露敏感数据）。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1" w:id="21"/>
      <w:r>
        <w:rPr>
          <w:rFonts w:eastAsia="等线" w:ascii="Arial" w:cs="Arial" w:hAnsi="Arial"/>
          <w:b w:val="true"/>
          <w:sz w:val="36"/>
        </w:rPr>
        <w:t>7. 实施路线图</w:t>
      </w:r>
      <w:bookmarkEnd w:id="2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275"/>
        <w:gridCol w:w="1275"/>
        <w:gridCol w:w="3570"/>
        <w:gridCol w:w="2160"/>
      </w:tblGrid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阶段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时间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交付物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负责人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1. 静态免疫原型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2026.02-03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cargo-constitution immune子命令，跨crate哈希检查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核心协议工程组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2. 运行时监控原型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2026.03-04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节点内置免疫线程，关键参数监控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核心协议工程组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3. 诊断与报告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2026.04-05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违宪报告格式化、自动补丁生成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开发者工具工作组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4. nac-toolbox集成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2026.05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immune 命令组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开发者工具工作组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5. CI集成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2026.06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GitHub Actions 模板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基础设施组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6. 主网部署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2026.07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免疫系统作为可选特性发布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核心协议工程组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2" w:id="22"/>
      <w:r>
        <w:rPr>
          <w:rFonts w:eastAsia="等线" w:ascii="Arial" w:cs="Arial" w:hAnsi="Arial"/>
          <w:b w:val="true"/>
          <w:sz w:val="36"/>
        </w:rPr>
        <w:t>8. 结论</w:t>
      </w:r>
      <w:bookmarkEnd w:id="2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NAC宪政免疫系统为庞大复杂的NAC技术栈提供了</w:t>
      </w:r>
      <w:r>
        <w:rPr>
          <w:rFonts w:eastAsia="等线" w:ascii="Arial" w:cs="Arial" w:hAnsi="Arial"/>
          <w:b w:val="true"/>
          <w:sz w:val="22"/>
        </w:rPr>
        <w:t>主动防御层</w:t>
      </w:r>
      <w:r>
        <w:rPr>
          <w:rFonts w:eastAsia="等线" w:ascii="Arial" w:cs="Arial" w:hAnsi="Arial"/>
          <w:sz w:val="22"/>
        </w:rPr>
        <w:t>，在编译器和运行时持续监控宪法一致性，将潜在的违宪风险扼杀在萌芽状态。它与现有静态验证工具链形成互补，共同构成</w:t>
      </w:r>
      <w:r>
        <w:rPr>
          <w:rFonts w:eastAsia="等线" w:ascii="Arial" w:cs="Arial" w:hAnsi="Arial"/>
          <w:b w:val="true"/>
          <w:sz w:val="22"/>
        </w:rPr>
        <w:t>从立法、编译、部署到运行的全生命周期宪法保障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这是“宪法即代码”理念在运维阶段的最终落实</w:t>
      </w:r>
      <w:r>
        <w:rPr>
          <w:rFonts w:eastAsia="等线" w:ascii="Arial" w:cs="Arial" w:hAnsi="Arial"/>
          <w:sz w:val="22"/>
        </w:rPr>
        <w:t>——宪法不仅写在文档中、编译在代码里，更时刻在系统中被感知、被守护。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：NAC核心协议工程组 · 编译器与静态分析小组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本附件与全栈宪政编译器约束体系、附件J共同构成NAC宪法保障的三层防线：静态验证、编译约束、免疫监控。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1209894">
    <w:lvl>
      <w:numFmt w:val="bullet"/>
      <w:suff w:val="tab"/>
      <w:lvlText w:val="•"/>
      <w:rPr>
        <w:color w:val="3370ff"/>
      </w:rPr>
    </w:lvl>
  </w:abstractNum>
  <w:abstractNum w:abstractNumId="1209895">
    <w:lvl>
      <w:numFmt w:val="bullet"/>
      <w:suff w:val="tab"/>
      <w:lvlText w:val="•"/>
      <w:rPr>
        <w:color w:val="3370ff"/>
      </w:rPr>
    </w:lvl>
  </w:abstractNum>
  <w:abstractNum w:abstractNumId="1209896">
    <w:lvl>
      <w:numFmt w:val="bullet"/>
      <w:suff w:val="tab"/>
      <w:lvlText w:val="•"/>
      <w:rPr>
        <w:color w:val="3370ff"/>
      </w:rPr>
    </w:lvl>
  </w:abstractNum>
  <w:abstractNum w:abstractNumId="1209897">
    <w:lvl>
      <w:numFmt w:val="bullet"/>
      <w:suff w:val="tab"/>
      <w:lvlText w:val="•"/>
      <w:rPr>
        <w:color w:val="3370ff"/>
      </w:rPr>
    </w:lvl>
  </w:abstractNum>
  <w:abstractNum w:abstractNumId="1209898">
    <w:lvl>
      <w:numFmt w:val="bullet"/>
      <w:suff w:val="tab"/>
      <w:lvlText w:val="•"/>
      <w:rPr>
        <w:color w:val="3370ff"/>
      </w:rPr>
    </w:lvl>
  </w:abstractNum>
  <w:abstractNum w:abstractNumId="1209899">
    <w:lvl>
      <w:start w:val="1"/>
      <w:numFmt w:val="decimal"/>
      <w:suff w:val="tab"/>
      <w:lvlText w:val="%1."/>
      <w:rPr>
        <w:color w:val="3370ff"/>
      </w:rPr>
    </w:lvl>
  </w:abstractNum>
  <w:abstractNum w:abstractNumId="1209900">
    <w:lvl>
      <w:start w:val="2"/>
      <w:numFmt w:val="decimal"/>
      <w:suff w:val="tab"/>
      <w:lvlText w:val="%1."/>
      <w:rPr>
        <w:color w:val="3370ff"/>
      </w:rPr>
    </w:lvl>
  </w:abstractNum>
  <w:abstractNum w:abstractNumId="1209901">
    <w:lvl>
      <w:start w:val="3"/>
      <w:numFmt w:val="decimal"/>
      <w:suff w:val="tab"/>
      <w:lvlText w:val="%1."/>
      <w:rPr>
        <w:color w:val="3370ff"/>
      </w:rPr>
    </w:lvl>
  </w:abstractNum>
  <w:abstractNum w:abstractNumId="1209902">
    <w:lvl>
      <w:start w:val="4"/>
      <w:numFmt w:val="decimal"/>
      <w:suff w:val="tab"/>
      <w:lvlText w:val="%1."/>
      <w:rPr>
        <w:color w:val="3370ff"/>
      </w:rPr>
    </w:lvl>
  </w:abstractNum>
  <w:abstractNum w:abstractNumId="1209903">
    <w:lvl>
      <w:numFmt w:val="bullet"/>
      <w:suff w:val="tab"/>
      <w:lvlText w:val="•"/>
      <w:rPr>
        <w:color w:val="3370ff"/>
      </w:rPr>
    </w:lvl>
  </w:abstractNum>
  <w:abstractNum w:abstractNumId="1209904">
    <w:lvl>
      <w:numFmt w:val="bullet"/>
      <w:suff w:val="tab"/>
      <w:lvlText w:val="•"/>
      <w:rPr>
        <w:color w:val="3370ff"/>
      </w:rPr>
    </w:lvl>
  </w:abstractNum>
  <w:abstractNum w:abstractNumId="1209905">
    <w:lvl>
      <w:numFmt w:val="bullet"/>
      <w:suff w:val="tab"/>
      <w:lvlText w:val="•"/>
      <w:rPr>
        <w:color w:val="3370ff"/>
      </w:rPr>
    </w:lvl>
  </w:abstractNum>
  <w:abstractNum w:abstractNumId="1209906">
    <w:lvl>
      <w:numFmt w:val="bullet"/>
      <w:suff w:val="tab"/>
      <w:lvlText w:val="•"/>
      <w:rPr>
        <w:color w:val="3370ff"/>
      </w:rPr>
    </w:lvl>
  </w:abstractNum>
  <w:abstractNum w:abstractNumId="1209907">
    <w:lvl>
      <w:numFmt w:val="bullet"/>
      <w:suff w:val="tab"/>
      <w:lvlText w:val="•"/>
      <w:rPr>
        <w:color w:val="3370ff"/>
      </w:rPr>
    </w:lvl>
  </w:abstractNum>
  <w:abstractNum w:abstractNumId="1209908">
    <w:lvl>
      <w:numFmt w:val="bullet"/>
      <w:suff w:val="tab"/>
      <w:lvlText w:val="•"/>
      <w:rPr>
        <w:color w:val="3370ff"/>
      </w:rPr>
    </w:lvl>
  </w:abstractNum>
  <w:abstractNum w:abstractNumId="1209909">
    <w:lvl>
      <w:numFmt w:val="bullet"/>
      <w:suff w:val="tab"/>
      <w:lvlText w:val="•"/>
      <w:rPr>
        <w:color w:val="3370ff"/>
      </w:rPr>
    </w:lvl>
  </w:abstractNum>
  <w:abstractNum w:abstractNumId="1209910">
    <w:lvl>
      <w:numFmt w:val="bullet"/>
      <w:suff w:val="tab"/>
      <w:lvlText w:val="•"/>
      <w:rPr>
        <w:color w:val="3370ff"/>
      </w:rPr>
    </w:lvl>
  </w:abstractNum>
  <w:abstractNum w:abstractNumId="1209911">
    <w:lvl>
      <w:numFmt w:val="bullet"/>
      <w:suff w:val="tab"/>
      <w:lvlText w:val="•"/>
      <w:rPr>
        <w:color w:val="3370ff"/>
      </w:rPr>
    </w:lvl>
  </w:abstractNum>
  <w:abstractNum w:abstractNumId="1209912">
    <w:lvl>
      <w:numFmt w:val="bullet"/>
      <w:suff w:val="tab"/>
      <w:lvlText w:val="•"/>
      <w:rPr>
        <w:color w:val="3370ff"/>
      </w:rPr>
    </w:lvl>
  </w:abstractNum>
  <w:abstractNum w:abstractNumId="1209913">
    <w:lvl>
      <w:numFmt w:val="bullet"/>
      <w:suff w:val="tab"/>
      <w:lvlText w:val="•"/>
      <w:rPr>
        <w:color w:val="3370ff"/>
      </w:rPr>
    </w:lvl>
  </w:abstractNum>
  <w:abstractNum w:abstractNumId="1209914">
    <w:lvl>
      <w:numFmt w:val="bullet"/>
      <w:suff w:val="tab"/>
      <w:lvlText w:val="•"/>
      <w:rPr>
        <w:color w:val="3370ff"/>
      </w:rPr>
    </w:lvl>
  </w:abstractNum>
  <w:abstractNum w:abstractNumId="1209915">
    <w:lvl>
      <w:numFmt w:val="bullet"/>
      <w:suff w:val="tab"/>
      <w:lvlText w:val="•"/>
      <w:rPr>
        <w:color w:val="3370ff"/>
      </w:rPr>
    </w:lvl>
  </w:abstractNum>
  <w:abstractNum w:abstractNumId="1209916">
    <w:lvl>
      <w:numFmt w:val="bullet"/>
      <w:suff w:val="tab"/>
      <w:lvlText w:val="•"/>
      <w:rPr>
        <w:color w:val="3370ff"/>
      </w:rPr>
    </w:lvl>
  </w:abstractNum>
  <w:abstractNum w:abstractNumId="1209917">
    <w:lvl>
      <w:numFmt w:val="bullet"/>
      <w:suff w:val="tab"/>
      <w:lvlText w:val="•"/>
      <w:rPr>
        <w:color w:val="3370ff"/>
      </w:rPr>
    </w:lvl>
  </w:abstractNum>
  <w:abstractNum w:abstractNumId="1209918">
    <w:lvl>
      <w:numFmt w:val="bullet"/>
      <w:suff w:val="tab"/>
      <w:lvlText w:val="•"/>
      <w:rPr>
        <w:color w:val="3370ff"/>
      </w:rPr>
    </w:lvl>
  </w:abstractNum>
  <w:abstractNum w:abstractNumId="1209919">
    <w:lvl>
      <w:numFmt w:val="bullet"/>
      <w:suff w:val="tab"/>
      <w:lvlText w:val="•"/>
      <w:rPr>
        <w:color w:val="3370ff"/>
      </w:rPr>
    </w:lvl>
  </w:abstractNum>
  <w:abstractNum w:abstractNumId="1209920">
    <w:lvl>
      <w:numFmt w:val="bullet"/>
      <w:suff w:val="tab"/>
      <w:lvlText w:val="•"/>
      <w:rPr>
        <w:color w:val="3370ff"/>
      </w:rPr>
    </w:lvl>
  </w:abstractNum>
  <w:abstractNum w:abstractNumId="1209921">
    <w:lvl>
      <w:numFmt w:val="bullet"/>
      <w:suff w:val="tab"/>
      <w:lvlText w:val="•"/>
      <w:rPr>
        <w:color w:val="3370ff"/>
      </w:rPr>
    </w:lvl>
  </w:abstractNum>
  <w:abstractNum w:abstractNumId="1209922">
    <w:lvl>
      <w:numFmt w:val="bullet"/>
      <w:suff w:val="tab"/>
      <w:lvlText w:val="•"/>
      <w:rPr>
        <w:color w:val="3370ff"/>
      </w:rPr>
    </w:lvl>
  </w:abstractNum>
  <w:abstractNum w:abstractNumId="1209923">
    <w:lvl>
      <w:numFmt w:val="bullet"/>
      <w:suff w:val="tab"/>
      <w:lvlText w:val="•"/>
      <w:rPr>
        <w:color w:val="3370ff"/>
      </w:rPr>
    </w:lvl>
  </w:abstractNum>
  <w:num w:numId="1">
    <w:abstractNumId w:val="1209894"/>
  </w:num>
  <w:num w:numId="2">
    <w:abstractNumId w:val="1209895"/>
  </w:num>
  <w:num w:numId="3">
    <w:abstractNumId w:val="1209896"/>
  </w:num>
  <w:num w:numId="4">
    <w:abstractNumId w:val="1209897"/>
  </w:num>
  <w:num w:numId="5">
    <w:abstractNumId w:val="1209898"/>
  </w:num>
  <w:num w:numId="6">
    <w:abstractNumId w:val="1209899"/>
  </w:num>
  <w:num w:numId="7">
    <w:abstractNumId w:val="1209900"/>
  </w:num>
  <w:num w:numId="8">
    <w:abstractNumId w:val="1209901"/>
  </w:num>
  <w:num w:numId="9">
    <w:abstractNumId w:val="1209902"/>
  </w:num>
  <w:num w:numId="10">
    <w:abstractNumId w:val="1209903"/>
  </w:num>
  <w:num w:numId="11">
    <w:abstractNumId w:val="1209904"/>
  </w:num>
  <w:num w:numId="12">
    <w:abstractNumId w:val="1209905"/>
  </w:num>
  <w:num w:numId="13">
    <w:abstractNumId w:val="1209906"/>
  </w:num>
  <w:num w:numId="14">
    <w:abstractNumId w:val="1209907"/>
  </w:num>
  <w:num w:numId="15">
    <w:abstractNumId w:val="1209908"/>
  </w:num>
  <w:num w:numId="16">
    <w:abstractNumId w:val="1209909"/>
  </w:num>
  <w:num w:numId="17">
    <w:abstractNumId w:val="1209910"/>
  </w:num>
  <w:num w:numId="18">
    <w:abstractNumId w:val="1209911"/>
  </w:num>
  <w:num w:numId="19">
    <w:abstractNumId w:val="1209912"/>
  </w:num>
  <w:num w:numId="20">
    <w:abstractNumId w:val="1209913"/>
  </w:num>
  <w:num w:numId="21">
    <w:abstractNumId w:val="1209914"/>
  </w:num>
  <w:num w:numId="22">
    <w:abstractNumId w:val="1209915"/>
  </w:num>
  <w:num w:numId="23">
    <w:abstractNumId w:val="1209916"/>
  </w:num>
  <w:num w:numId="24">
    <w:abstractNumId w:val="1209917"/>
  </w:num>
  <w:num w:numId="25">
    <w:abstractNumId w:val="1209918"/>
  </w:num>
  <w:num w:numId="26">
    <w:abstractNumId w:val="1209919"/>
  </w:num>
  <w:num w:numId="27">
    <w:abstractNumId w:val="1209920"/>
  </w:num>
  <w:num w:numId="28">
    <w:abstractNumId w:val="1209921"/>
  </w:num>
  <w:num w:numId="29">
    <w:abstractNumId w:val="1209922"/>
  </w:num>
  <w:num w:numId="30">
    <w:abstractNumId w:val="1209923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2026-02-13T10:14:31Z</dcterms:created>
  <dc:creator>Apache POI</dc:creator>
</cp:coreProperties>
</file>