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CNNL、CSNP、Charter的定位、区别与协同关系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——NAC公链三套技术体系的完整辨析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：NAC协议标准委员会 · 架构组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日期</w:t>
      </w:r>
      <w:r>
        <w:rPr>
          <w:rFonts w:eastAsia="等线" w:ascii="Arial" w:cs="Arial" w:hAnsi="Arial"/>
          <w:sz w:val="22"/>
        </w:rPr>
        <w:t>：2026年2月13日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关联文档</w:t>
      </w:r>
      <w:r>
        <w:rPr>
          <w:rFonts w:eastAsia="等线" w:ascii="Arial" w:cs="Arial" w:hAnsi="Arial"/>
          <w:sz w:val="22"/>
        </w:rPr>
        <w:t>：CNNL白皮书v1.0、CSNP v2.0、Charter语言规范v2.0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________________________________________________________________________________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核心结论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CNNL、CSNP、Charter是NAC公链三个完全正交、层级分明、互不冲突的技术体系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CNNL</w:t>
      </w:r>
      <w:r>
        <w:rPr>
          <w:rFonts w:eastAsia="等线" w:ascii="Arial" w:cs="Arial" w:hAnsi="Arial"/>
          <w:sz w:val="22"/>
        </w:rPr>
        <w:t>是</w:t>
      </w:r>
      <w:r>
        <w:rPr>
          <w:rFonts w:eastAsia="等线" w:ascii="Arial" w:cs="Arial" w:hAnsi="Arial"/>
          <w:b w:val="true"/>
          <w:sz w:val="22"/>
        </w:rPr>
        <w:t>宪法层立法语言</w:t>
      </w:r>
      <w:r>
        <w:rPr>
          <w:rFonts w:eastAsia="等线" w:ascii="Arial" w:cs="Arial" w:hAnsi="Arial"/>
          <w:sz w:val="22"/>
        </w:rPr>
        <w:t>，服务于数字宪法的编写与执行。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Charter</w:t>
      </w:r>
      <w:r>
        <w:rPr>
          <w:rFonts w:eastAsia="等线" w:ascii="Arial" w:cs="Arial" w:hAnsi="Arial"/>
          <w:sz w:val="22"/>
        </w:rPr>
        <w:t>是</w:t>
      </w:r>
      <w:r>
        <w:rPr>
          <w:rFonts w:eastAsia="等线" w:ascii="Arial" w:cs="Arial" w:hAnsi="Arial"/>
          <w:b w:val="true"/>
          <w:sz w:val="22"/>
        </w:rPr>
        <w:t>应用层智能合约语言</w:t>
      </w:r>
      <w:r>
        <w:rPr>
          <w:rFonts w:eastAsia="等线" w:ascii="Arial" w:cs="Arial" w:hAnsi="Arial"/>
          <w:sz w:val="22"/>
        </w:rPr>
        <w:t>，服务于资产发行与业务逻辑。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CSNP</w:t>
      </w:r>
      <w:r>
        <w:rPr>
          <w:rFonts w:eastAsia="等线" w:ascii="Arial" w:cs="Arial" w:hAnsi="Arial"/>
          <w:sz w:val="22"/>
        </w:rPr>
        <w:t>是</w:t>
      </w:r>
      <w:r>
        <w:rPr>
          <w:rFonts w:eastAsia="等线" w:ascii="Arial" w:cs="Arial" w:hAnsi="Arial"/>
          <w:b w:val="true"/>
          <w:sz w:val="22"/>
        </w:rPr>
        <w:t>网络层通信协议</w:t>
      </w:r>
      <w:r>
        <w:rPr>
          <w:rFonts w:eastAsia="等线" w:ascii="Arial" w:cs="Arial" w:hAnsi="Arial"/>
          <w:sz w:val="22"/>
        </w:rPr>
        <w:t>，服务于节点连接与数据传播。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三者</w:t>
      </w:r>
      <w:r>
        <w:rPr>
          <w:rFonts w:eastAsia="等线" w:ascii="Arial" w:cs="Arial" w:hAnsi="Arial"/>
          <w:b w:val="true"/>
          <w:sz w:val="22"/>
        </w:rPr>
        <w:t>无任何语法、编译器、运行时冲突</w:t>
      </w:r>
      <w:r>
        <w:rPr>
          <w:rFonts w:eastAsia="等线" w:ascii="Arial" w:cs="Arial" w:hAnsi="Arial"/>
          <w:sz w:val="22"/>
        </w:rPr>
        <w:t>，且已通过</w:t>
      </w:r>
      <w:r>
        <w:rPr>
          <w:rFonts w:eastAsia="等线" w:ascii="Arial" w:cs="Arial" w:hAnsi="Arial"/>
          <w:b w:val="true"/>
          <w:sz w:val="22"/>
        </w:rPr>
        <w:t>分层架构设计</w:t>
      </w:r>
      <w:r>
        <w:rPr>
          <w:rFonts w:eastAsia="等线" w:ascii="Arial" w:cs="Arial" w:hAnsi="Arial"/>
          <w:sz w:val="22"/>
        </w:rPr>
        <w:t>实现清晰解耦。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现有Charter编译器及库无需任何修改</w:t>
      </w:r>
      <w:r>
        <w:rPr>
          <w:rFonts w:eastAsia="等线" w:ascii="Arial" w:cs="Arial" w:hAnsi="Arial"/>
          <w:sz w:val="22"/>
        </w:rPr>
        <w:t>，CNNL将作为</w:t>
      </w:r>
      <w:r>
        <w:rPr>
          <w:rFonts w:eastAsia="等线" w:ascii="Arial" w:cs="Arial" w:hAnsi="Arial"/>
          <w:b w:val="true"/>
          <w:sz w:val="22"/>
        </w:rPr>
        <w:t>独立的编译工具链</w:t>
      </w:r>
      <w:r>
        <w:rPr>
          <w:rFonts w:eastAsia="等线" w:ascii="Arial" w:cs="Arial" w:hAnsi="Arial"/>
          <w:sz w:val="22"/>
        </w:rPr>
        <w:t>部署。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________________________________________________________________________________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1. 三组件全景定位表</w:t>
      </w:r>
      <w:bookmarkEnd w:id="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维度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CNNL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Charter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CSNP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全称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Constitutional Neural Network Language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 Smart Contract Language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Constitutional Structured Network Protocol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层级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宪法层（L7）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协议层（L1）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基础层</w:t>
            </w:r>
            <w:r>
              <w:rPr>
                <w:rFonts w:eastAsia="等线" w:ascii="Arial" w:cs="Arial" w:hAnsi="Arial"/>
                <w:sz w:val="22"/>
              </w:rPr>
              <w:t>（L0）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本质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立法语言</w:t>
            </w:r>
            <w:r>
              <w:rPr>
                <w:rFonts w:eastAsia="等线" w:ascii="Arial" w:cs="Arial" w:hAnsi="Arial"/>
                <w:sz w:val="22"/>
              </w:rPr>
              <w:t>（数字宪法）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合约语言</w:t>
            </w:r>
            <w:r>
              <w:rPr>
                <w:rFonts w:eastAsia="等线" w:ascii="Arial" w:cs="Arial" w:hAnsi="Arial"/>
                <w:sz w:val="22"/>
              </w:rPr>
              <w:t>（业务代码）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网络协议</w:t>
            </w:r>
            <w:r>
              <w:rPr>
                <w:rFonts w:eastAsia="等线" w:ascii="Arial" w:cs="Arial" w:hAnsi="Arial"/>
                <w:sz w:val="22"/>
              </w:rPr>
              <w:t>（通信规则）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目标用户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立法者、宪法法院、治理委员会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资产发行方、DApp开发者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节点运营商、网络工程师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输入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.cnnl 宪法条款文件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 xml:space="preserve">.charter </w:t>
            </w:r>
            <w:r>
              <w:rPr>
                <w:rFonts w:eastAsia="等线" w:ascii="Arial" w:cs="Arial" w:hAnsi="Arial"/>
                <w:sz w:val="22"/>
              </w:rPr>
              <w:t>合约源代码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宪法附录、治理</w:t>
            </w:r>
            <w:r>
              <w:rPr>
                <w:rFonts w:eastAsia="等线" w:ascii="Arial" w:cs="Arial" w:hAnsi="Arial"/>
                <w:sz w:val="22"/>
              </w:rPr>
              <w:t>参数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输出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NVM字节码</w:t>
            </w:r>
            <w:r>
              <w:rPr>
                <w:rFonts w:eastAsia="等线" w:ascii="Arial" w:cs="Arial" w:hAnsi="Arial"/>
                <w:sz w:val="22"/>
              </w:rPr>
              <w:t>（宪法收据验证逻辑）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NVM字节码（业务</w:t>
            </w:r>
            <w:r>
              <w:rPr>
                <w:rFonts w:eastAsia="等线" w:ascii="Arial" w:cs="Arial" w:hAnsi="Arial"/>
                <w:sz w:val="22"/>
              </w:rPr>
              <w:t>逻辑）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P2P连接表、路由策略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执行环境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宪法执行引擎（CEE）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NVM虚拟机（普通合约）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节点网络栈（libp2p）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状态存储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宪法状态树（只读）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合约状态树（读写）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节点本地缓存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治理方式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全民公投+宪法法院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XIC治理（参数调整）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宪法附录动态更新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升级机制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宪法修正案（硬约束</w:t>
            </w:r>
            <w:r>
              <w:rPr>
                <w:rFonts w:eastAsia="等线" w:ascii="Arial" w:cs="Arial" w:hAnsi="Arial"/>
                <w:sz w:val="22"/>
              </w:rPr>
              <w:t>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UDM模块热升级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网络参数热加载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结论</w:t>
      </w:r>
      <w:r>
        <w:rPr>
          <w:rFonts w:eastAsia="等线" w:ascii="Arial" w:cs="Arial" w:hAnsi="Arial"/>
          <w:sz w:val="22"/>
        </w:rPr>
        <w:t>：三者分属不同架构层次，</w:t>
      </w:r>
      <w:r>
        <w:rPr>
          <w:rFonts w:eastAsia="等线" w:ascii="Arial" w:cs="Arial" w:hAnsi="Arial"/>
          <w:b w:val="true"/>
          <w:sz w:val="22"/>
        </w:rPr>
        <w:t>不存在任何重叠或竞争关系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________________________________________________________________________________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" w:id="2"/>
      <w:r>
        <w:rPr>
          <w:rFonts w:eastAsia="等线" w:ascii="Arial" w:cs="Arial" w:hAnsi="Arial"/>
          <w:b w:val="true"/>
          <w:sz w:val="36"/>
        </w:rPr>
        <w:t>2. CNNL与Charter的本质区别</w:t>
      </w:r>
      <w:bookmarkEnd w:id="2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2.1 设计哲学差异</w:t>
      </w:r>
      <w:bookmarkEnd w:id="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对比项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CNNL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Charter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范式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声明式（Declarative）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命令式（Imperative） + 面向合约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核心抽象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义务、权利、权力、时态逻辑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资产、账户、钩子、修饰器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表达目标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“什么是合法的”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“如何实现业务”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用户心智模型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立法者思考法律条文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开发者思考算法流程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可读性目标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法官、议员可直接审阅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程序员可快速开发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形式化验证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强制</w:t>
            </w:r>
            <w:r>
              <w:rPr>
                <w:rFonts w:eastAsia="等线" w:ascii="Arial" w:cs="Arial" w:hAnsi="Arial"/>
                <w:sz w:val="22"/>
              </w:rPr>
              <w:t>（编译时SMT求解）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可选</w:t>
            </w:r>
            <w:r>
              <w:rPr>
                <w:rFonts w:eastAsia="等线" w:ascii="Arial" w:cs="Arial" w:hAnsi="Arial"/>
                <w:sz w:val="22"/>
              </w:rPr>
              <w:t>（第三方工具）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状态修改能力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只读</w:t>
            </w:r>
            <w:r>
              <w:rPr>
                <w:rFonts w:eastAsia="等线" w:ascii="Arial" w:cs="Arial" w:hAnsi="Arial"/>
                <w:sz w:val="22"/>
              </w:rPr>
              <w:t>（仅查询链状态）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读写</w:t>
            </w:r>
            <w:r>
              <w:rPr>
                <w:rFonts w:eastAsia="等线" w:ascii="Arial" w:cs="Arial" w:hAnsi="Arial"/>
                <w:sz w:val="22"/>
              </w:rPr>
              <w:t>（可修改状态）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典型语句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obligation, right, power, always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transfer, mint, hook, modifier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示例对比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CNNL条款</w:t>
      </w:r>
      <w:r>
        <w:rPr>
          <w:rFonts w:eastAsia="等线" w:ascii="Arial" w:cs="Arial" w:hAnsi="Arial"/>
          <w:sz w:val="22"/>
        </w:rPr>
        <w:t>（黄金覆盖率）：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cnnl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obligation maintain_coverage:</w:t>
              <w:br/>
              <w:t xml:space="preserve">    at all_times</w:t>
              <w:br/>
              <w:t xml:space="preserve">    requires GOLD_CONTRACT.total_value() &gt;= </w:t>
              <w:br/>
              <w:t xml:space="preserve">           </w:t>
            </w:r>
            <w:r>
              <w:rPr>
                <w:rFonts w:eastAsia="Consolas" w:ascii="Consolas" w:cs="Consolas" w:hAnsi="Consolas"/>
                <w:sz w:val="22"/>
              </w:rPr>
              <w:t xml:space="preserve"> XTZH.circulation() * XTZH.price() * XTZH.w_au() / 10000 * 1.25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Charter实现</w:t>
      </w:r>
      <w:r>
        <w:rPr>
          <w:rFonts w:eastAsia="等线" w:ascii="Arial" w:cs="Arial" w:hAnsi="Arial"/>
          <w:sz w:val="22"/>
        </w:rPr>
        <w:t>（智能合约中的检查）：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func mint(amount: uint256) {</w:t>
              <w:br/>
              <w:t xml:space="preserve">    let coverage = gold_reserve.total_value() * 10000 </w:t>
              <w:br/>
              <w:t xml:space="preserve">                   / (xtzh.total_supply * xtzh.get_rate().rate_usd * xtzh.w_au);</w:t>
              <w:br/>
              <w:t xml:space="preserve">    require(coverage &gt;= 12500, "Coverage below 125%");</w:t>
              <w:br/>
              <w:t xml:space="preserve">    _mint(msg.sender, amount);</w:t>
              <w:br/>
              <w:t>}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关键区别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CNNL描述</w:t>
      </w:r>
      <w:r>
        <w:rPr>
          <w:rFonts w:eastAsia="等线" w:ascii="Arial" w:cs="Arial" w:hAnsi="Arial"/>
          <w:b w:val="true"/>
          <w:sz w:val="22"/>
        </w:rPr>
        <w:t>永恒的法律义务</w:t>
      </w:r>
      <w:r>
        <w:rPr>
          <w:rFonts w:eastAsia="等线" w:ascii="Arial" w:cs="Arial" w:hAnsi="Arial"/>
          <w:sz w:val="22"/>
        </w:rPr>
        <w:t>，不关心具体在哪个函数、何时检查。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Charter描述</w:t>
      </w:r>
      <w:r>
        <w:rPr>
          <w:rFonts w:eastAsia="等线" w:ascii="Arial" w:cs="Arial" w:hAnsi="Arial"/>
          <w:b w:val="true"/>
          <w:sz w:val="22"/>
        </w:rPr>
        <w:t>具体的实现逻辑</w:t>
      </w:r>
      <w:r>
        <w:rPr>
          <w:rFonts w:eastAsia="等线" w:ascii="Arial" w:cs="Arial" w:hAnsi="Arial"/>
          <w:sz w:val="22"/>
        </w:rPr>
        <w:t>，在特定函数中插入require检查。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2.2 执行层级差异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CNNL编译产物</w:t>
      </w:r>
      <w:r>
        <w:rPr>
          <w:rFonts w:eastAsia="等线" w:ascii="Arial" w:cs="Arial" w:hAnsi="Arial"/>
          <w:sz w:val="22"/>
        </w:rPr>
        <w:t>：部署在</w:t>
      </w:r>
      <w:r>
        <w:rPr>
          <w:rFonts w:eastAsia="等线" w:ascii="Arial" w:cs="Arial" w:hAnsi="Arial"/>
          <w:b w:val="true"/>
          <w:sz w:val="22"/>
        </w:rPr>
        <w:t>宪法执行引擎（CEE）</w:t>
      </w:r>
      <w:r>
        <w:rPr>
          <w:rFonts w:eastAsia="等线" w:ascii="Arial" w:cs="Arial" w:hAnsi="Arial"/>
          <w:sz w:val="22"/>
        </w:rPr>
        <w:t>，</w:t>
      </w:r>
      <w:r>
        <w:rPr>
          <w:rFonts w:eastAsia="等线" w:ascii="Arial" w:cs="Arial" w:hAnsi="Arial"/>
          <w:b w:val="true"/>
          <w:sz w:val="22"/>
        </w:rPr>
        <w:t>对所有交易自动生效</w:t>
      </w:r>
      <w:r>
        <w:rPr>
          <w:rFonts w:eastAsia="等线" w:ascii="Arial" w:cs="Arial" w:hAnsi="Arial"/>
          <w:sz w:val="22"/>
        </w:rPr>
        <w:t>，无需合约主动调用。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Charter编译产物</w:t>
      </w:r>
      <w:r>
        <w:rPr>
          <w:rFonts w:eastAsia="等线" w:ascii="Arial" w:cs="Arial" w:hAnsi="Arial"/>
          <w:sz w:val="22"/>
        </w:rPr>
        <w:t>：部署在</w:t>
      </w:r>
      <w:r>
        <w:rPr>
          <w:rFonts w:eastAsia="等线" w:ascii="Arial" w:cs="Arial" w:hAnsi="Arial"/>
          <w:b w:val="true"/>
          <w:sz w:val="22"/>
        </w:rPr>
        <w:t>NVM虚拟机</w:t>
      </w:r>
      <w:r>
        <w:rPr>
          <w:rFonts w:eastAsia="等线" w:ascii="Arial" w:cs="Arial" w:hAnsi="Arial"/>
          <w:sz w:val="22"/>
        </w:rPr>
        <w:t>的特定合约地址，</w:t>
      </w:r>
      <w:r>
        <w:rPr>
          <w:rFonts w:eastAsia="等线" w:ascii="Arial" w:cs="Arial" w:hAnsi="Arial"/>
          <w:b w:val="true"/>
          <w:sz w:val="22"/>
        </w:rPr>
        <w:t>仅在被调用时执行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示例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当用户发起XTZH铸造交易时：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1. </w:t>
      </w:r>
      <w:r>
        <w:rPr>
          <w:rFonts w:eastAsia="等线" w:ascii="Arial" w:cs="Arial" w:hAnsi="Arial"/>
          <w:b w:val="true"/>
          <w:sz w:val="22"/>
        </w:rPr>
        <w:t>CEE</w:t>
      </w:r>
      <w:r>
        <w:rPr>
          <w:rFonts w:eastAsia="等线" w:ascii="Arial" w:cs="Arial" w:hAnsi="Arial"/>
          <w:sz w:val="22"/>
        </w:rPr>
        <w:t>自动加载CNNL条款XTZH_MINT_COLLATERAL，验证覆盖率≥125%。</w:t>
      </w:r>
      <w:r>
        <w:rPr>
          <w:rFonts w:eastAsia="等线" w:ascii="Arial" w:cs="Arial" w:hAnsi="Arial"/>
          <w:b w:val="true"/>
          <w:sz w:val="22"/>
        </w:rPr>
        <w:t>若违反，交易直接被拒绝，合约代码永远不会执行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</w:t>
      </w:r>
      <w:r>
        <w:rPr>
          <w:rFonts w:eastAsia="等线" w:ascii="Arial" w:cs="Arial" w:hAnsi="Arial"/>
          <w:b w:val="true"/>
          <w:sz w:val="22"/>
        </w:rPr>
        <w:t>若通过</w:t>
      </w:r>
      <w:r>
        <w:rPr>
          <w:rFonts w:eastAsia="等线" w:ascii="Arial" w:cs="Arial" w:hAnsi="Arial"/>
          <w:sz w:val="22"/>
        </w:rPr>
        <w:t>，交易进入内存池，最终调用Charter合约XTZH.mint()，该合约内部可包含额外的业务检查（如用户级风控）。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关系</w:t>
      </w:r>
      <w:r>
        <w:rPr>
          <w:rFonts w:eastAsia="等线" w:ascii="Arial" w:cs="Arial" w:hAnsi="Arial"/>
          <w:sz w:val="22"/>
        </w:rPr>
        <w:t>：CNNL是</w:t>
      </w:r>
      <w:r>
        <w:rPr>
          <w:rFonts w:eastAsia="等线" w:ascii="Arial" w:cs="Arial" w:hAnsi="Arial"/>
          <w:b w:val="true"/>
          <w:sz w:val="22"/>
        </w:rPr>
        <w:t>前置宪法过滤器</w:t>
      </w:r>
      <w:r>
        <w:rPr>
          <w:rFonts w:eastAsia="等线" w:ascii="Arial" w:cs="Arial" w:hAnsi="Arial"/>
          <w:sz w:val="22"/>
        </w:rPr>
        <w:t>，Charter是</w:t>
      </w:r>
      <w:r>
        <w:rPr>
          <w:rFonts w:eastAsia="等线" w:ascii="Arial" w:cs="Arial" w:hAnsi="Arial"/>
          <w:b w:val="true"/>
          <w:sz w:val="22"/>
        </w:rPr>
        <w:t>业务执行器</w:t>
      </w:r>
      <w:r>
        <w:rPr>
          <w:rFonts w:eastAsia="等线" w:ascii="Arial" w:cs="Arial" w:hAnsi="Arial"/>
          <w:sz w:val="22"/>
        </w:rPr>
        <w:t>。两者</w:t>
      </w:r>
      <w:r>
        <w:rPr>
          <w:rFonts w:eastAsia="等线" w:ascii="Arial" w:cs="Arial" w:hAnsi="Arial"/>
          <w:b w:val="true"/>
          <w:sz w:val="22"/>
        </w:rPr>
        <w:t>串行协作，互不覆盖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________________________________________________________________________________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5" w:id="5"/>
      <w:r>
        <w:rPr>
          <w:rFonts w:eastAsia="等线" w:ascii="Arial" w:cs="Arial" w:hAnsi="Arial"/>
          <w:b w:val="true"/>
          <w:sz w:val="36"/>
        </w:rPr>
        <w:t>3. CNNL与CSNP的关系</w:t>
      </w:r>
      <w:bookmarkEnd w:id="5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3.1 本质差异</w:t>
      </w:r>
      <w:bookmarkEnd w:id="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对比项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CNNL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CSNP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类型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编程语言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网络协议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存在形式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源代码 + 编译器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二进制规范</w:t>
            </w:r>
            <w:r>
              <w:rPr>
                <w:rFonts w:eastAsia="等线" w:ascii="Arial" w:cs="Arial" w:hAnsi="Arial"/>
                <w:sz w:val="22"/>
              </w:rPr>
              <w:t xml:space="preserve"> + 实现代码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执行方式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编译为NVM指令，由CEE执行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节点软件内置，</w:t>
            </w:r>
            <w:r>
              <w:rPr>
                <w:rFonts w:eastAsia="等线" w:ascii="Arial" w:cs="Arial" w:hAnsi="Arial"/>
                <w:sz w:val="22"/>
              </w:rPr>
              <w:t>P2P运行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修改方式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宪法修正案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宪法附录参数调整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结论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两者无直接交集</w:t>
      </w:r>
      <w:r>
        <w:rPr>
          <w:rFonts w:eastAsia="等线" w:ascii="Arial" w:cs="Arial" w:hAnsi="Arial"/>
          <w:sz w:val="22"/>
        </w:rPr>
        <w:t>。CNNL不涉及网络通信，CSNP不涉及宪法条款编写。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3.2 间接集成：CNNL → CSNP策略生成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CNNL条款可</w:t>
      </w:r>
      <w:r>
        <w:rPr>
          <w:rFonts w:eastAsia="等线" w:ascii="Arial" w:cs="Arial" w:hAnsi="Arial"/>
          <w:b w:val="true"/>
          <w:sz w:val="22"/>
        </w:rPr>
        <w:t>间接生成</w:t>
      </w:r>
      <w:r>
        <w:rPr>
          <w:rFonts w:eastAsia="等线" w:ascii="Arial" w:cs="Arial" w:hAnsi="Arial"/>
          <w:sz w:val="22"/>
        </w:rPr>
        <w:t>CSNP的传播策略配置，</w:t>
      </w:r>
      <w:r>
        <w:rPr>
          <w:rFonts w:eastAsia="等线" w:ascii="Arial" w:cs="Arial" w:hAnsi="Arial"/>
          <w:b w:val="true"/>
          <w:sz w:val="22"/>
        </w:rPr>
        <w:t>但这是编译器工具链的附加功能，并非CNNL语言本身的能力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示例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cnnl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clause HIGH_RISK_ASSET_PROPAGATION:</w:t>
              <w:br/>
              <w:t xml:space="preserve">    condition gnacs.risk_weight &gt;= 5</w:t>
              <w:br/>
              <w:t xml:space="preserve">    obligation:</w:t>
            </w:r>
            <w:r>
              <w:rPr>
                <w:rFonts w:eastAsia="Consolas" w:ascii="Consolas" w:cs="Consolas" w:hAnsi="Consolas"/>
                <w:sz w:val="22"/>
              </w:rPr>
              <w:t xml:space="preserve"> propagate_only_to(regulator_nodes)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CNNL编译器</w:t>
      </w:r>
      <w:r>
        <w:rPr>
          <w:rFonts w:eastAsia="等线" w:ascii="Arial" w:cs="Arial" w:hAnsi="Arial"/>
          <w:sz w:val="22"/>
        </w:rPr>
        <w:t>可</w:t>
      </w:r>
      <w:r>
        <w:rPr>
          <w:rFonts w:eastAsia="等线" w:ascii="Arial" w:cs="Arial" w:hAnsi="Arial"/>
          <w:b w:val="true"/>
          <w:sz w:val="22"/>
        </w:rPr>
        <w:t>额外生成</w:t>
      </w:r>
      <w:r>
        <w:rPr>
          <w:rFonts w:eastAsia="等线" w:ascii="Arial" w:cs="Arial" w:hAnsi="Arial"/>
          <w:sz w:val="22"/>
        </w:rPr>
        <w:t>一份JSON格式的</w:t>
      </w:r>
      <w:r>
        <w:rPr>
          <w:rFonts w:eastAsia="等线" w:ascii="Arial" w:cs="Arial" w:hAnsi="Arial"/>
          <w:b w:val="true"/>
          <w:sz w:val="22"/>
        </w:rPr>
        <w:t>CSNP策略表更新提案</w:t>
      </w:r>
      <w:r>
        <w:rPr>
          <w:rFonts w:eastAsia="等线" w:ascii="Arial" w:cs="Arial" w:hAnsi="Arial"/>
          <w:sz w:val="22"/>
        </w:rPr>
        <w:t>，提交至治理模块。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但</w:t>
      </w:r>
      <w:r>
        <w:rPr>
          <w:rFonts w:eastAsia="等线" w:ascii="Arial" w:cs="Arial" w:hAnsi="Arial"/>
          <w:b w:val="true"/>
          <w:sz w:val="22"/>
        </w:rPr>
        <w:t>CNNL语言本身不包含任何网络通信原语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关系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CNNL是策略的“立法来源”，CSNP是策略的“执行载体”</w:t>
      </w:r>
      <w:r>
        <w:rPr>
          <w:rFonts w:eastAsia="等线" w:ascii="Arial" w:cs="Arial" w:hAnsi="Arial"/>
          <w:sz w:val="22"/>
        </w:rPr>
        <w:t>。两者通过治理流程间接耦合。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________________________________________________________________________________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8" w:id="8"/>
      <w:r>
        <w:rPr>
          <w:rFonts w:eastAsia="等线" w:ascii="Arial" w:cs="Arial" w:hAnsi="Arial"/>
          <w:b w:val="true"/>
          <w:sz w:val="36"/>
        </w:rPr>
        <w:t>4. CNNL与现有Charter编译器/库的兼容性</w:t>
      </w:r>
      <w:bookmarkEnd w:id="8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4.1 完全独立的工具链</w:t>
      </w:r>
      <w:bookmarkEnd w:id="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维度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CNNL编译器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Charter编译器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源代码后缀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.cnnl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.charter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词法/语法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独立定义（</w:t>
            </w:r>
            <w:r>
              <w:rPr>
                <w:rFonts w:eastAsia="等线" w:ascii="Arial" w:cs="Arial" w:hAnsi="Arial"/>
                <w:sz w:val="22"/>
              </w:rPr>
              <w:t>法律英语风格）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类Solidity语法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中间表示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NCCL-IR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</w:t>
            </w:r>
            <w:r>
              <w:rPr>
                <w:rFonts w:eastAsia="等线" w:ascii="Arial" w:cs="Arial" w:hAnsi="Arial"/>
                <w:sz w:val="22"/>
              </w:rPr>
              <w:t>-IR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后端目标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NVM宪法指令（0xE0-</w:t>
            </w:r>
            <w:r>
              <w:rPr>
                <w:rFonts w:eastAsia="等线" w:ascii="Arial" w:cs="Arial" w:hAnsi="Arial"/>
                <w:sz w:val="22"/>
              </w:rPr>
              <w:t>0xEF）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NVM通用指令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标准库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constitution.cnsl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acc.charter, xtzh.charter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部署目标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</w:t>
            </w:r>
            <w:r>
              <w:rPr>
                <w:rFonts w:eastAsia="等线" w:ascii="Arial" w:cs="Arial" w:hAnsi="Arial"/>
                <w:sz w:val="22"/>
              </w:rPr>
              <w:t>状态树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合约账户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开发工具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Constitutional Studio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</w:t>
            </w:r>
            <w:r>
              <w:rPr>
                <w:rFonts w:eastAsia="等线" w:ascii="Arial" w:cs="Arial" w:hAnsi="Arial"/>
                <w:sz w:val="22"/>
              </w:rPr>
              <w:t xml:space="preserve"> IDE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两者安装路径完全隔离</w:t>
      </w:r>
      <w:r>
        <w:rPr>
          <w:rFonts w:eastAsia="等线" w:ascii="Arial" w:cs="Arial" w:hAnsi="Arial"/>
          <w:sz w:val="22"/>
        </w:rPr>
        <w:t>，不会发生文件名冲突、符号冲突。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4.2 无运行时冲突</w:t>
      </w:r>
      <w:bookmarkEnd w:id="1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CNNL编译产物</w:t>
      </w:r>
      <w:r>
        <w:rPr>
          <w:rFonts w:eastAsia="等线" w:ascii="Arial" w:cs="Arial" w:hAnsi="Arial"/>
          <w:sz w:val="22"/>
        </w:rPr>
        <w:t>（宪法收据验证逻辑）</w:t>
      </w:r>
      <w:r>
        <w:rPr>
          <w:rFonts w:eastAsia="等线" w:ascii="Arial" w:cs="Arial" w:hAnsi="Arial"/>
          <w:b w:val="true"/>
          <w:sz w:val="22"/>
        </w:rPr>
        <w:t>运行在CEE</w:t>
      </w:r>
      <w:r>
        <w:rPr>
          <w:rFonts w:eastAsia="等线" w:ascii="Arial" w:cs="Arial" w:hAnsi="Arial"/>
          <w:sz w:val="22"/>
        </w:rPr>
        <w:t>，这是NVM的一个</w:t>
      </w:r>
      <w:r>
        <w:rPr>
          <w:rFonts w:eastAsia="等线" w:ascii="Arial" w:cs="Arial" w:hAnsi="Arial"/>
          <w:b w:val="true"/>
          <w:sz w:val="22"/>
        </w:rPr>
        <w:t>特权执行环境</w:t>
      </w:r>
      <w:r>
        <w:rPr>
          <w:rFonts w:eastAsia="等线" w:ascii="Arial" w:cs="Arial" w:hAnsi="Arial"/>
          <w:sz w:val="22"/>
        </w:rPr>
        <w:t>，普通Charter合约</w:t>
      </w:r>
      <w:r>
        <w:rPr>
          <w:rFonts w:eastAsia="等线" w:ascii="Arial" w:cs="Arial" w:hAnsi="Arial"/>
          <w:b w:val="true"/>
          <w:sz w:val="22"/>
        </w:rPr>
        <w:t>无权访问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Charter合约</w:t>
      </w:r>
      <w:r>
        <w:rPr>
          <w:rFonts w:eastAsia="等线" w:ascii="Arial" w:cs="Arial" w:hAnsi="Arial"/>
          <w:sz w:val="22"/>
        </w:rPr>
        <w:t>运行在</w:t>
      </w:r>
      <w:r>
        <w:rPr>
          <w:rFonts w:eastAsia="等线" w:ascii="Arial" w:cs="Arial" w:hAnsi="Arial"/>
          <w:b w:val="true"/>
          <w:sz w:val="22"/>
        </w:rPr>
        <w:t>普通NVM沙箱</w:t>
      </w:r>
      <w:r>
        <w:rPr>
          <w:rFonts w:eastAsia="等线" w:ascii="Arial" w:cs="Arial" w:hAnsi="Arial"/>
          <w:sz w:val="22"/>
        </w:rPr>
        <w:t>，无法修改宪法状态，只能通过__builtin_constitutional_query等专用接口</w:t>
      </w:r>
      <w:r>
        <w:rPr>
          <w:rFonts w:eastAsia="等线" w:ascii="Arial" w:cs="Arial" w:hAnsi="Arial"/>
          <w:b w:val="true"/>
          <w:sz w:val="22"/>
        </w:rPr>
        <w:t>只读查询</w:t>
      </w:r>
      <w:r>
        <w:rPr>
          <w:rFonts w:eastAsia="等线" w:ascii="Arial" w:cs="Arial" w:hAnsi="Arial"/>
          <w:sz w:val="22"/>
        </w:rPr>
        <w:t>宪法条款执行结果。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示例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Charter合约中查询当前宪法是否允许该操作</w:t>
              <w:br/>
              <w:t>func checkConstitutional() {</w:t>
              <w:br/>
              <w:t xml:space="preserve">    let is_compliant = __builtin_constitutional_query(</w:t>
              <w:br/>
              <w:t xml:space="preserve">        "XTZH_MINT_COLLATERAL", </w:t>
              <w:br/>
              <w:t xml:space="preserve">        [msg.sender, amount]</w:t>
              <w:br/>
              <w:t xml:space="preserve">    );</w:t>
              <w:br/>
              <w:t xml:space="preserve">    require(is_compliant, "Transaction would violate constitution");</w:t>
              <w:br/>
              <w:t>}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关系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Charter合约可主动查询CNNL条款的评估结果，但CNNL从不调用Charter合约</w:t>
      </w:r>
      <w:r>
        <w:rPr>
          <w:rFonts w:eastAsia="等线" w:ascii="Arial" w:cs="Arial" w:hAnsi="Arial"/>
          <w:sz w:val="22"/>
        </w:rPr>
        <w:t>。这是单向依赖。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4.3 版本管理无冲突</w:t>
      </w:r>
      <w:bookmarkEnd w:id="1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CNNL条款版本</w:t>
      </w:r>
      <w:r>
        <w:rPr>
          <w:rFonts w:eastAsia="等线" w:ascii="Arial" w:cs="Arial" w:hAnsi="Arial"/>
          <w:sz w:val="22"/>
        </w:rPr>
        <w:t>：由</w:t>
      </w:r>
      <w:r>
        <w:rPr>
          <w:rFonts w:eastAsia="等线" w:ascii="Arial" w:cs="Arial" w:hAnsi="Arial"/>
          <w:b w:val="true"/>
          <w:sz w:val="22"/>
        </w:rPr>
        <w:t>宪法哈希</w:t>
      </w:r>
      <w:r>
        <w:rPr>
          <w:rFonts w:eastAsia="等线" w:ascii="Arial" w:cs="Arial" w:hAnsi="Arial"/>
          <w:sz w:val="22"/>
        </w:rPr>
        <w:t>标识，每通过一项修正案，宪法根哈希改变。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Charter合约版本</w:t>
      </w:r>
      <w:r>
        <w:rPr>
          <w:rFonts w:eastAsia="等线" w:ascii="Arial" w:cs="Arial" w:hAnsi="Arial"/>
          <w:sz w:val="22"/>
        </w:rPr>
        <w:t>：由</w:t>
      </w:r>
      <w:r>
        <w:rPr>
          <w:rFonts w:eastAsia="等线" w:ascii="Arial" w:cs="Arial" w:hAnsi="Arial"/>
          <w:b w:val="true"/>
          <w:sz w:val="22"/>
        </w:rPr>
        <w:t>合约地址+UDM模块版本</w:t>
      </w:r>
      <w:r>
        <w:rPr>
          <w:rFonts w:eastAsia="等线" w:ascii="Arial" w:cs="Arial" w:hAnsi="Arial"/>
          <w:sz w:val="22"/>
        </w:rPr>
        <w:t>标识。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两者版本号</w:t>
      </w:r>
      <w:r>
        <w:rPr>
          <w:rFonts w:eastAsia="等线" w:ascii="Arial" w:cs="Arial" w:hAnsi="Arial"/>
          <w:b w:val="true"/>
          <w:sz w:val="22"/>
        </w:rPr>
        <w:t>完全独立</w:t>
      </w:r>
      <w:r>
        <w:rPr>
          <w:rFonts w:eastAsia="等线" w:ascii="Arial" w:cs="Arial" w:hAnsi="Arial"/>
          <w:sz w:val="22"/>
        </w:rPr>
        <w:t>，互不影响。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________________________________________________________________________________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2" w:id="12"/>
      <w:r>
        <w:rPr>
          <w:rFonts w:eastAsia="等线" w:ascii="Arial" w:cs="Arial" w:hAnsi="Arial"/>
          <w:b w:val="true"/>
          <w:sz w:val="36"/>
        </w:rPr>
        <w:t>5. 总结：三层架构下的分工与协作</w:t>
      </w:r>
      <w:bookmarkEnd w:id="1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架构层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组件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职责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与CNNL</w:t>
            </w:r>
            <w:r>
              <w:rPr>
                <w:rFonts w:eastAsia="等线" w:ascii="Arial" w:cs="Arial" w:hAnsi="Arial"/>
                <w:sz w:val="22"/>
              </w:rPr>
              <w:t>关系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L7宪法层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CNNL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立法语言，编写不可违逆的规则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——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L1协议层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Charter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智能</w:t>
            </w:r>
            <w:r>
              <w:rPr>
                <w:rFonts w:eastAsia="等线" w:ascii="Arial" w:cs="Arial" w:hAnsi="Arial"/>
                <w:sz w:val="22"/>
              </w:rPr>
              <w:t>合约语言，实现资产与业务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CNNL是宪兵，Charter是市民</w:t>
            </w:r>
            <w:r>
              <w:rPr>
                <w:rFonts w:eastAsia="等线" w:ascii="Arial" w:cs="Arial" w:hAnsi="Arial"/>
                <w:sz w:val="22"/>
              </w:rPr>
              <w:t>：CNNL审查交易合法性，Ch</w:t>
            </w:r>
            <w:r>
              <w:rPr>
                <w:rFonts w:eastAsia="等线" w:ascii="Arial" w:cs="Arial" w:hAnsi="Arial"/>
                <w:sz w:val="22"/>
              </w:rPr>
              <w:t>arter执行交易业务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L0基础层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CSNP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网络通信协议，数据传播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CNNL是立法者，CSNP是执法者</w:t>
            </w:r>
            <w:r>
              <w:rPr>
                <w:rFonts w:eastAsia="等线" w:ascii="Arial" w:cs="Arial" w:hAnsi="Arial"/>
                <w:sz w:val="22"/>
              </w:rPr>
              <w:t>：CNNL定义传播规则，CSNP执行传播策略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最终结论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  <w:tblLayout w:type="fixed"/>
      </w:tblPr>
      <w:tblGrid>
        <w:gridCol w:w="8280"/>
      </w:tblGrid>
      <w:tr>
        <w:tc>
          <w:tcPr>
            <w:tcW w:w="8280" w:type="dxa"/>
            <w:tcBorders>
              <w:top w:val="nil"/>
              <w:left w:sz="18" w:val="single" w:color="BBBFC4"/>
              <w:bottom w:val="nil"/>
              <w:right w:val="nil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color w:val="646a73"/>
                <w:sz w:val="22"/>
              </w:rPr>
              <w:t>CNNL与Charter、CSNP不仅不会冲突，而且构成了NAC公链“立法、行政、司法”三权分立的完整技术映射</w:t>
            </w:r>
            <w:r>
              <w:rPr>
                <w:rFonts w:eastAsia="等线" w:ascii="Arial" w:cs="Arial" w:hAnsi="Arial"/>
                <w:color w:val="646a73"/>
                <w:sz w:val="22"/>
              </w:rPr>
              <w:t>：</w:t>
            </w:r>
          </w:p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 xml:space="preserve">- </w:t>
            </w:r>
            <w:r>
              <w:rPr>
                <w:rFonts w:eastAsia="等线" w:ascii="Arial" w:cs="Arial" w:hAnsi="Arial"/>
                <w:b w:val="true"/>
                <w:color w:val="646a73"/>
                <w:sz w:val="22"/>
              </w:rPr>
              <w:t>CNNL</w:t>
            </w:r>
            <w:r>
              <w:rPr>
                <w:rFonts w:eastAsia="等线" w:ascii="Arial" w:cs="Arial" w:hAnsi="Arial"/>
                <w:color w:val="646a73"/>
                <w:sz w:val="22"/>
              </w:rPr>
              <w:t>：立法权 —— 定义什么是合法的。</w:t>
            </w:r>
          </w:p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 xml:space="preserve">- </w:t>
            </w:r>
            <w:r>
              <w:rPr>
                <w:rFonts w:eastAsia="等线" w:ascii="Arial" w:cs="Arial" w:hAnsi="Arial"/>
                <w:b w:val="true"/>
                <w:color w:val="646a73"/>
                <w:sz w:val="22"/>
              </w:rPr>
              <w:t>CSNP/CBPP</w:t>
            </w:r>
            <w:r>
              <w:rPr>
                <w:rFonts w:eastAsia="等线" w:ascii="Arial" w:cs="Arial" w:hAnsi="Arial"/>
                <w:color w:val="646a73"/>
                <w:sz w:val="22"/>
              </w:rPr>
              <w:t>：行政权 —— 执行合法交易，传播合规数据。</w:t>
            </w:r>
          </w:p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 xml:space="preserve">- </w:t>
            </w:r>
            <w:r>
              <w:rPr>
                <w:rFonts w:eastAsia="等线" w:ascii="Arial" w:cs="Arial" w:hAnsi="Arial"/>
                <w:b w:val="true"/>
                <w:color w:val="646a73"/>
                <w:sz w:val="22"/>
              </w:rPr>
              <w:t>宪法法院</w:t>
            </w:r>
            <w:r>
              <w:rPr>
                <w:rFonts w:eastAsia="等线" w:ascii="Arial" w:cs="Arial" w:hAnsi="Arial"/>
                <w:color w:val="646a73"/>
                <w:sz w:val="22"/>
              </w:rPr>
              <w:t>：司法权 —— 解释CNNL条款，裁决争议。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现有Charter编译器及库无需任何修改，也不会被CNNL替代或覆盖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CNNL是NAC技术栈的新增组件，而非替代组件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________________________________________________________________________________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：NAC协议标准委员会 · 架构组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>：正式发布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________________________________________________________________________________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本文件已提交宪法法院备案，作为CNNL与现有技术体系兼容性的官方技术意见。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4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2026-02-12T21:36:54Z</dcterms:created>
  <dc:creator>Apache POI</dc:creator>
</cp:coreProperties>
</file>