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CNNL编译库建设方案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——为数字宪法立法工具链提供基础设施支撑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：NAC宪法法院 · 立法技术委员会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关联规范</w:t>
      </w:r>
      <w:r>
        <w:rPr>
          <w:rFonts w:eastAsia="等线" w:ascii="Arial" w:cs="Arial" w:hAnsi="Arial"/>
          <w:sz w:val="22"/>
        </w:rPr>
        <w:t>：CNNL语言规范v1.0、Charter编译器架构v2.0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核心结论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需要建立独立的CNNL编译库（libcnnl）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CNNL编译库并非Charter编译库的替代品或竞争品，而是</w:t>
      </w:r>
      <w:r>
        <w:rPr>
          <w:rFonts w:eastAsia="等线" w:ascii="Arial" w:cs="Arial" w:hAnsi="Arial"/>
          <w:b w:val="true"/>
          <w:sz w:val="22"/>
        </w:rPr>
        <w:t>面向数字宪法立法场景的专用基础设施</w:t>
      </w:r>
      <w:r>
        <w:rPr>
          <w:rFonts w:eastAsia="等线" w:ascii="Arial" w:cs="Arial" w:hAnsi="Arial"/>
          <w:sz w:val="22"/>
        </w:rPr>
        <w:t>。其存在将：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支撑</w:t>
      </w:r>
      <w:r>
        <w:rPr>
          <w:rFonts w:eastAsia="等线" w:ascii="Arial" w:cs="Arial" w:hAnsi="Arial"/>
          <w:b w:val="true"/>
          <w:sz w:val="22"/>
        </w:rPr>
        <w:t>Constitutional Studio立法IDE</w:t>
      </w:r>
      <w:r>
        <w:rPr>
          <w:rFonts w:eastAsia="等线" w:ascii="Arial" w:cs="Arial" w:hAnsi="Arial"/>
          <w:sz w:val="22"/>
        </w:rPr>
        <w:t>的实时语法检查、语义分析、条款依赖图谱绘制；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</w:t>
      </w:r>
      <w:r>
        <w:rPr>
          <w:rFonts w:eastAsia="等线" w:ascii="Arial" w:cs="Arial" w:hAnsi="Arial"/>
          <w:b w:val="true"/>
          <w:sz w:val="22"/>
        </w:rPr>
        <w:t>宪法沙箱模拟器</w:t>
      </w:r>
      <w:r>
        <w:rPr>
          <w:rFonts w:eastAsia="等线" w:ascii="Arial" w:cs="Arial" w:hAnsi="Arial"/>
          <w:sz w:val="22"/>
        </w:rPr>
        <w:t>提供CNNL条款到约束求解器的前端转换；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</w:t>
      </w:r>
      <w:r>
        <w:rPr>
          <w:rFonts w:eastAsia="等线" w:ascii="Arial" w:cs="Arial" w:hAnsi="Arial"/>
          <w:b w:val="true"/>
          <w:sz w:val="22"/>
        </w:rPr>
        <w:t>宪法执行引擎（CEE）</w:t>
      </w:r>
      <w:r>
        <w:rPr>
          <w:rFonts w:eastAsia="等线" w:ascii="Arial" w:cs="Arial" w:hAnsi="Arial"/>
          <w:sz w:val="22"/>
        </w:rPr>
        <w:t>提供CNNL编译产物的动态加载接口；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</w:t>
      </w:r>
      <w:r>
        <w:rPr>
          <w:rFonts w:eastAsia="等线" w:ascii="Arial" w:cs="Arial" w:hAnsi="Arial"/>
          <w:b w:val="true"/>
          <w:sz w:val="22"/>
        </w:rPr>
        <w:t>第三方审计机构</w:t>
      </w:r>
      <w:r>
        <w:rPr>
          <w:rFonts w:eastAsia="等线" w:ascii="Arial" w:cs="Arial" w:hAnsi="Arial"/>
          <w:sz w:val="22"/>
        </w:rPr>
        <w:t>提供标准化的CNNL条款静态分析工具。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编译库与编译器是共生关系</w:t>
      </w:r>
      <w:r>
        <w:rPr>
          <w:rFonts w:eastAsia="等线" w:ascii="Arial" w:cs="Arial" w:hAnsi="Arial"/>
          <w:sz w:val="22"/>
        </w:rPr>
        <w:t>：编译器是批处理工具，编译库是API集合。两者共享同一词法/语法/语义核心，但面向不同集成场景。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编译库的定位与目标用户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用户角色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使用场景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所需编译库能力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立法者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在</w:t>
            </w:r>
            <w:r>
              <w:rPr>
                <w:rFonts w:eastAsia="等线" w:ascii="Arial" w:cs="Arial" w:hAnsi="Arial"/>
                <w:sz w:val="22"/>
              </w:rPr>
              <w:t>Constitutional Studio中编写CNNL条款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实时语法高亮、错误提示、自动补全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宪法法院法官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审查修正案逻辑</w:t>
            </w:r>
            <w:r>
              <w:rPr>
                <w:rFonts w:eastAsia="等线" w:ascii="Arial" w:cs="Arial" w:hAnsi="Arial"/>
                <w:sz w:val="22"/>
              </w:rPr>
              <w:t>一致性，模拟条款生效影响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形式化验证接口、依赖分析、冲突检测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CEE开发工程师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将CNNL条款编译为NVM字节码</w:t>
            </w:r>
            <w:r>
              <w:rPr>
                <w:rFonts w:eastAsia="等线" w:ascii="Arial" w:cs="Arial" w:hAnsi="Arial"/>
                <w:sz w:val="22"/>
              </w:rPr>
              <w:t>，嵌入宪法收据验证流程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条款→字节码编译接口</w:t>
            </w:r>
            <w:r>
              <w:rPr>
                <w:rFonts w:eastAsia="等线" w:ascii="Arial" w:cs="Arial" w:hAnsi="Arial"/>
                <w:sz w:val="22"/>
              </w:rPr>
              <w:t>、元数据导出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第三方审计机构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对宪法条款进行独立安全审计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抽象语法树（AST）导出、控制流图生成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治理研究员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统计分析</w:t>
            </w:r>
            <w:r>
              <w:rPr>
                <w:rFonts w:eastAsia="等线" w:ascii="Arial" w:cs="Arial" w:hAnsi="Arial"/>
                <w:sz w:val="22"/>
              </w:rPr>
              <w:t>宪法演化趋势，量化治理复杂度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条款度量接口（如McCabe复杂度、条款耦合度）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核心原则</w:t>
      </w:r>
      <w:r>
        <w:rPr>
          <w:rFonts w:eastAsia="等线" w:ascii="Arial" w:cs="Arial" w:hAnsi="Arial"/>
          <w:sz w:val="22"/>
        </w:rPr>
        <w:t>：编译库</w:t>
      </w:r>
      <w:r>
        <w:rPr>
          <w:rFonts w:eastAsia="等线" w:ascii="Arial" w:cs="Arial" w:hAnsi="Arial"/>
          <w:b w:val="true"/>
          <w:sz w:val="22"/>
        </w:rPr>
        <w:t>不</w:t>
      </w:r>
      <w:r>
        <w:rPr>
          <w:rFonts w:eastAsia="等线" w:ascii="Arial" w:cs="Arial" w:hAnsi="Arial"/>
          <w:sz w:val="22"/>
        </w:rPr>
        <w:t>负责宪法条款的链上部署、治理投票、收据签发——这些是宪法执行引擎（CEE）和治理合约的职责。编译库的边界止于</w:t>
      </w:r>
      <w:r>
        <w:rPr>
          <w:rFonts w:eastAsia="等线" w:ascii="Arial" w:cs="Arial" w:hAnsi="Arial"/>
          <w:b w:val="true"/>
          <w:sz w:val="22"/>
        </w:rPr>
        <w:t>将CNNL源代码转化为可执行格式及其中间表示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2. 编译库与Charter编译库的根本区别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维度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libcnnl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libcharter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冲突风险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语言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CNNL（法律英语风格</w:t>
            </w:r>
            <w:r>
              <w:rPr>
                <w:rFonts w:eastAsia="等线" w:ascii="Arial" w:cs="Arial" w:hAnsi="Arial"/>
                <w:sz w:val="22"/>
              </w:rPr>
              <w:t>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Charter（类Solidity）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语法完全不同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目标字节码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NVM宪法指令集（0xE0-0xEF）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NVM通用指令集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指令域隔离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标准库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`constitution.cnsl`（权利、义务、</w:t>
            </w:r>
            <w:r>
              <w:rPr>
                <w:rFonts w:eastAsia="等线" w:ascii="Arial" w:cs="Arial" w:hAnsi="Arial"/>
                <w:sz w:val="22"/>
              </w:rPr>
              <w:t>时态）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`acc.charter`, `xtzh.charter</w:t>
            </w:r>
            <w:r>
              <w:rPr>
                <w:rFonts w:eastAsia="等线" w:ascii="Arial" w:cs="Arial" w:hAnsi="Arial"/>
                <w:sz w:val="22"/>
              </w:rPr>
              <w:t>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无重叠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编译目标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宪法收据验证谓词、宪法状态查询函数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业务合约、资产逻辑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无重叠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集成场景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立法IDE、宪法沙箱、CEE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 IDE</w:t>
            </w:r>
            <w:r>
              <w:rPr>
                <w:rFonts w:eastAsia="等线" w:ascii="Arial" w:cs="Arial" w:hAnsi="Arial"/>
                <w:sz w:val="22"/>
              </w:rPr>
              <w:t>、Charter测试框架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无重叠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结论</w:t>
      </w:r>
      <w:r>
        <w:rPr>
          <w:rFonts w:eastAsia="等线" w:ascii="Arial" w:cs="Arial" w:hAnsi="Arial"/>
          <w:sz w:val="22"/>
        </w:rPr>
        <w:t>：两者</w:t>
      </w:r>
      <w:r>
        <w:rPr>
          <w:rFonts w:eastAsia="等线" w:ascii="Arial" w:cs="Arial" w:hAnsi="Arial"/>
          <w:b w:val="true"/>
          <w:sz w:val="22"/>
        </w:rPr>
        <w:t>完全正交</w:t>
      </w:r>
      <w:r>
        <w:rPr>
          <w:rFonts w:eastAsia="等线" w:ascii="Arial" w:cs="Arial" w:hAnsi="Arial"/>
          <w:sz w:val="22"/>
        </w:rPr>
        <w:t>，可独立开发、独立版本管理、独立部署。不会产生符号冲突、链接冲突或运行时冲突。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3. 编译库功能模块设计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3.1 核心模块（必须）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模块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功能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公开</w:t>
            </w:r>
            <w:r>
              <w:rPr>
                <w:rFonts w:eastAsia="等线" w:ascii="Arial" w:cs="Arial" w:hAnsi="Arial"/>
                <w:sz w:val="22"/>
              </w:rPr>
              <w:t>API示例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词法/语法分析器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将CNNL源代码解析为AST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`parse_cnnl(source: &amp;str) -&gt; Result&lt;</w:t>
            </w:r>
            <w:r>
              <w:rPr>
                <w:rFonts w:eastAsia="等线" w:ascii="Arial" w:cs="Arial" w:hAnsi="Arial"/>
                <w:sz w:val="22"/>
              </w:rPr>
              <w:t>Ast, Error&gt;`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语义分析器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类型检查、作用域解析、义务生命周期验证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`semantic_analyze(ast: &amp;Ast) -&gt; Result&lt;SymbolTable</w:t>
            </w:r>
            <w:r>
              <w:rPr>
                <w:rFonts w:eastAsia="等线" w:ascii="Arial" w:cs="Arial" w:hAnsi="Arial"/>
                <w:sz w:val="22"/>
              </w:rPr>
              <w:t>, Error&gt;`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形式化验证引擎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调用</w:t>
            </w:r>
            <w:r>
              <w:rPr>
                <w:rFonts w:eastAsia="等线" w:ascii="Arial" w:cs="Arial" w:hAnsi="Arial"/>
                <w:sz w:val="22"/>
              </w:rPr>
              <w:t>Z3求解器，验证条款一致性/可实现性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`verify_consistency(clause: &amp;Clause) -&gt; Verification</w:t>
            </w:r>
            <w:r>
              <w:rPr>
                <w:rFonts w:eastAsia="等线" w:ascii="Arial" w:cs="Arial" w:hAnsi="Arial"/>
                <w:sz w:val="22"/>
              </w:rPr>
              <w:t>Report`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NVM字节码生成器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将CN</w:t>
            </w:r>
            <w:r>
              <w:rPr>
                <w:rFonts w:eastAsia="等线" w:ascii="Arial" w:cs="Arial" w:hAnsi="Arial"/>
                <w:sz w:val="22"/>
              </w:rPr>
              <w:t>NL条款编译为NVM宪法指令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`compile_to</w:t>
            </w:r>
            <w:r>
              <w:rPr>
                <w:rFonts w:eastAsia="等线" w:ascii="Arial" w:cs="Arial" w:hAnsi="Arial"/>
                <w:sz w:val="22"/>
              </w:rPr>
              <w:t>_nvm(ast: &amp;Ast) -&gt; Vec&lt;u8&gt;`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元数据导出器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导出条款依赖图、复杂度指标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`export_metadata(ast: &amp;Ast) -&gt; Metadata`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3.2 扩展模块（可选）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模块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功能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典型用户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CNNL格式化器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自动格式化源代码（类似rustfmt）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立法者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CNNL文档生成器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从条款注释生成宪法文档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治理委员会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CNNL模糊测试器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随机生成合法/非法条款用于测试编译器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编译器开发者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CNNL到LaTeX导出器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生成人类可读的法律文书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3.3 对外部工具的适配层</w:t>
      </w:r>
      <w:bookmarkEnd w:id="6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Z3求解器绑定</w:t>
      </w:r>
      <w:r>
        <w:rPr>
          <w:rFonts w:eastAsia="等线" w:ascii="Arial" w:cs="Arial" w:hAnsi="Arial"/>
          <w:sz w:val="22"/>
        </w:rPr>
        <w:t>：封装SMT-LIB生成与求解器交互，隐藏Z3 API复杂性。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NVM字节码验证工具</w:t>
      </w:r>
      <w:r>
        <w:rPr>
          <w:rFonts w:eastAsia="等线" w:ascii="Arial" w:cs="Arial" w:hAnsi="Arial"/>
          <w:sz w:val="22"/>
        </w:rPr>
        <w:t>：提供反汇编器，便于开发者审阅生成的指令序列。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JSON/Protobuf序列化</w:t>
      </w:r>
      <w:r>
        <w:rPr>
          <w:rFonts w:eastAsia="等线" w:ascii="Arial" w:cs="Arial" w:hAnsi="Arial"/>
          <w:sz w:val="22"/>
        </w:rPr>
        <w:t>：支持AST、符号表、验证报告的网络传输（用于IDE与服务端分离场景）。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4. 实施路线图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阶段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依赖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 编译器原型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2026.02-04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CNNL词法/语法解析器（R</w:t>
            </w:r>
            <w:r>
              <w:rPr>
                <w:rFonts w:eastAsia="等线" w:ascii="Arial" w:cs="Arial" w:hAnsi="Arial"/>
                <w:sz w:val="22"/>
              </w:rPr>
              <w:t>ust实现），可处理核心条款子集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2. 语义分析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</w:t>
            </w:r>
            <w:r>
              <w:rPr>
                <w:rFonts w:eastAsia="等线" w:ascii="Arial" w:cs="Arial" w:hAnsi="Arial"/>
                <w:sz w:val="22"/>
              </w:rPr>
              <w:t>03-05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类型系统、义务生命周期检查</w:t>
            </w:r>
            <w:r>
              <w:rPr>
                <w:rFonts w:eastAsia="等线" w:ascii="Arial" w:cs="Arial" w:hAnsi="Arial"/>
                <w:sz w:val="22"/>
              </w:rPr>
              <w:t>、常量折叠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阶段1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3. 形式化验证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2026.04-06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Z3集成，条款一致性/可实现性验证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阶段2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4. 字节码生成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2026.05-07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NVM宪法指令后端，</w:t>
            </w:r>
            <w:r>
              <w:rPr>
                <w:rFonts w:eastAsia="等线" w:ascii="Arial" w:cs="Arial" w:hAnsi="Arial"/>
                <w:sz w:val="22"/>
              </w:rPr>
              <w:t>支持首批5条永恒条款编译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NVM指令扩展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5. 编译库封装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</w:t>
            </w:r>
            <w:r>
              <w:rPr>
                <w:rFonts w:eastAsia="等线" w:ascii="Arial" w:cs="Arial" w:hAnsi="Arial"/>
                <w:sz w:val="22"/>
              </w:rPr>
              <w:t>6.06-08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提供C FFI、Python绑定、WebAssembly</w:t>
            </w:r>
            <w:r>
              <w:rPr>
                <w:rFonts w:eastAsia="等线" w:ascii="Arial" w:cs="Arial" w:hAnsi="Arial"/>
                <w:sz w:val="22"/>
              </w:rPr>
              <w:t>编译目标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阶段4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6. IDE集成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2026.07-09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</w:t>
            </w:r>
            <w:r>
              <w:rPr>
                <w:rFonts w:eastAsia="等线" w:ascii="Arial" w:cs="Arial" w:hAnsi="Arial"/>
                <w:sz w:val="22"/>
              </w:rPr>
              <w:t>stitutional Studio接入libcnnl，实现实时语法检查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阶段5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7. 宪法沙箱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2026.08-10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基于libcnnl的链下条款</w:t>
            </w:r>
            <w:r>
              <w:rPr>
                <w:rFonts w:eastAsia="等线" w:ascii="Arial" w:cs="Arial" w:hAnsi="Arial"/>
                <w:sz w:val="22"/>
              </w:rPr>
              <w:t>模拟执行环境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阶段5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优先策略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编译器先行，编译库迭代</w:t>
      </w:r>
      <w:r>
        <w:rPr>
          <w:rFonts w:eastAsia="等线" w:ascii="Arial" w:cs="Arial" w:hAnsi="Arial"/>
          <w:sz w:val="22"/>
        </w:rPr>
        <w:t>。在编译器稳定后，逐步将核心功能剥离为可复用的库API。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5. 技术选型建议</w:t>
      </w:r>
      <w:bookmarkEnd w:id="8"/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实现语言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Rust</w:t>
      </w:r>
      <w:r>
        <w:rPr>
          <w:rFonts w:eastAsia="等线" w:ascii="Arial" w:cs="Arial" w:hAnsi="Arial"/>
          <w:sz w:val="22"/>
        </w:rPr>
        <w:t>（内存安全，无GC，易于提供C FFI及Wasm目标）。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词法/语法解析</w:t>
      </w:r>
      <w:r>
        <w:rPr>
          <w:rFonts w:eastAsia="等线" w:ascii="Arial" w:cs="Arial" w:hAnsi="Arial"/>
          <w:sz w:val="22"/>
        </w:rPr>
        <w:t>：`logos`（词法）+ `lalrpop`（语法），或直接使用`rowan` + `ungrammar`（类似rust-analyzer）。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形式化验证</w:t>
      </w:r>
      <w:r>
        <w:rPr>
          <w:rFonts w:eastAsia="等线" w:ascii="Arial" w:cs="Arial" w:hAnsi="Arial"/>
          <w:sz w:val="22"/>
        </w:rPr>
        <w:t>：通过`z3-sys`绑定调用Z3 C API，或使用`rsmt2`（SMT-LIB接口）。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字节码生成</w:t>
      </w:r>
      <w:r>
        <w:rPr>
          <w:rFonts w:eastAsia="等线" w:ascii="Arial" w:cs="Arial" w:hAnsi="Arial"/>
          <w:sz w:val="22"/>
        </w:rPr>
        <w:t>：直接写入`Vec&lt;u8&gt;`，遵循NVM宪法指令编码规范。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FFI</w:t>
      </w:r>
      <w:r>
        <w:rPr>
          <w:rFonts w:eastAsia="等线" w:ascii="Arial" w:cs="Arial" w:hAnsi="Arial"/>
          <w:sz w:val="22"/>
        </w:rPr>
        <w:t>：`cbindgen`生成C头文件，`pyo3`提供Python绑定，`wasm-bindgen`提供Wasm。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与Charter编译库的关系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独立代码仓库</w:t>
      </w:r>
      <w:r>
        <w:rPr>
          <w:rFonts w:eastAsia="等线" w:ascii="Arial" w:cs="Arial" w:hAnsi="Arial"/>
          <w:sz w:val="22"/>
        </w:rPr>
        <w:t>，使用不同crate名称（`cnnl-compiler`, `cnnl-lib`），无任何相互依赖。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6. 治理与维护</w:t>
      </w:r>
      <w:bookmarkEnd w:id="9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CNNL编译库不是宪法组件</w:t>
      </w:r>
      <w:r>
        <w:rPr>
          <w:rFonts w:eastAsia="等线" w:ascii="Arial" w:cs="Arial" w:hAnsi="Arial"/>
          <w:sz w:val="22"/>
        </w:rPr>
        <w:t>，其发布无需全民公投。但</w:t>
      </w:r>
      <w:r>
        <w:rPr>
          <w:rFonts w:eastAsia="等线" w:ascii="Arial" w:cs="Arial" w:hAnsi="Arial"/>
          <w:b w:val="true"/>
          <w:sz w:val="22"/>
        </w:rPr>
        <w:t>编译器核心逻辑的正确性</w:t>
      </w:r>
      <w:r>
        <w:rPr>
          <w:rFonts w:eastAsia="等线" w:ascii="Arial" w:cs="Arial" w:hAnsi="Arial"/>
          <w:sz w:val="22"/>
        </w:rPr>
        <w:t>直接影响宪法执行，因此：</w:t>
        <w:br/>
        <w:t xml:space="preserve">        </w:t>
      </w:r>
    </w:p>
    <w:p>
      <w:pPr>
        <w:numPr>
          <w:numId w:val="1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编译器源码必须</w:t>
      </w:r>
      <w:r>
        <w:rPr>
          <w:rFonts w:eastAsia="等线" w:ascii="Arial" w:cs="Arial" w:hAnsi="Arial"/>
          <w:b w:val="true"/>
          <w:sz w:val="22"/>
        </w:rPr>
        <w:t>强制开源</w:t>
      </w:r>
      <w:r>
        <w:rPr>
          <w:rFonts w:eastAsia="等线" w:ascii="Arial" w:cs="Arial" w:hAnsi="Arial"/>
          <w:sz w:val="22"/>
        </w:rPr>
        <w:t>（NAC GitHub组织）。</w:t>
      </w:r>
    </w:p>
    <w:p>
      <w:pPr>
        <w:numPr>
          <w:numId w:val="1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主版本发布前需经</w:t>
      </w:r>
      <w:r>
        <w:rPr>
          <w:rFonts w:eastAsia="等线" w:ascii="Arial" w:cs="Arial" w:hAnsi="Arial"/>
          <w:b w:val="true"/>
          <w:sz w:val="22"/>
        </w:rPr>
        <w:t>宪法法院指派的第三方审计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编译库版本号与CNNL语言规范版本号</w:t>
      </w:r>
      <w:r>
        <w:rPr>
          <w:rFonts w:eastAsia="等线" w:ascii="Arial" w:cs="Arial" w:hAnsi="Arial"/>
          <w:b w:val="true"/>
          <w:sz w:val="22"/>
        </w:rPr>
        <w:t>严格绑定</w:t>
      </w:r>
      <w:r>
        <w:rPr>
          <w:rFonts w:eastAsia="等线" w:ascii="Arial" w:cs="Arial" w:hAnsi="Arial"/>
          <w:sz w:val="22"/>
        </w:rPr>
        <w:t>（如`cnnl-lib 1.2.0`实现CNNL v1.2）。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贡献者协议</w:t>
      </w:r>
      <w:r>
        <w:rPr>
          <w:rFonts w:eastAsia="等线" w:ascii="Arial" w:cs="Arial" w:hAnsi="Arial"/>
          <w:sz w:val="22"/>
        </w:rPr>
        <w:t>：所有编译器贡献者需签署</w:t>
      </w:r>
      <w:r>
        <w:rPr>
          <w:rFonts w:eastAsia="等线" w:ascii="Arial" w:cs="Arial" w:hAnsi="Arial"/>
          <w:b w:val="true"/>
          <w:sz w:val="22"/>
        </w:rPr>
        <w:t>数字宪法贡献者许可协议（CLA）</w:t>
      </w:r>
      <w:r>
        <w:rPr>
          <w:rFonts w:eastAsia="等线" w:ascii="Arial" w:cs="Arial" w:hAnsi="Arial"/>
          <w:sz w:val="22"/>
        </w:rPr>
        <w:t>，确保代码无专利纠纷。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7. 结论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建立CNNL编译库不仅是必要的，而且是紧迫的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没有编译库，Constitutional Studio将无法提供智能的立法体验；宪法沙箱将被迫反复调用外部编译器进程；第三方工具链将因缺乏标准化API而碎片化。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这不是重复造轮子</w:t>
      </w:r>
      <w:r>
        <w:rPr>
          <w:rFonts w:eastAsia="等线" w:ascii="Arial" w:cs="Arial" w:hAnsi="Arial"/>
          <w:sz w:val="22"/>
        </w:rPr>
        <w:t>——Charter编译库解决的是</w:t>
      </w:r>
      <w:r>
        <w:rPr>
          <w:rFonts w:eastAsia="等线" w:ascii="Arial" w:cs="Arial" w:hAnsi="Arial"/>
          <w:b w:val="true"/>
          <w:sz w:val="22"/>
        </w:rPr>
        <w:t>业务智能合约</w:t>
      </w:r>
      <w:r>
        <w:rPr>
          <w:rFonts w:eastAsia="等线" w:ascii="Arial" w:cs="Arial" w:hAnsi="Arial"/>
          <w:sz w:val="22"/>
        </w:rPr>
        <w:t>的生产力问题，CNNL编译库解决的是</w:t>
      </w:r>
      <w:r>
        <w:rPr>
          <w:rFonts w:eastAsia="等线" w:ascii="Arial" w:cs="Arial" w:hAnsi="Arial"/>
          <w:b w:val="true"/>
          <w:sz w:val="22"/>
        </w:rPr>
        <w:t>数字宪法立法</w:t>
      </w:r>
      <w:r>
        <w:rPr>
          <w:rFonts w:eastAsia="等线" w:ascii="Arial" w:cs="Arial" w:hAnsi="Arial"/>
          <w:sz w:val="22"/>
        </w:rPr>
        <w:t>的生产力问题。两者服务不同的用户、处理不同的语言、生成不同的字节码。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NAC的技术栈应当同时容纳这两套工具链</w:t>
      </w:r>
      <w:r>
        <w:rPr>
          <w:rFonts w:eastAsia="等线" w:ascii="Arial" w:cs="Arial" w:hAnsi="Arial"/>
          <w:sz w:val="22"/>
        </w:rPr>
        <w:t>，正如现代国家同时拥有</w:t>
      </w:r>
      <w:r>
        <w:rPr>
          <w:rFonts w:eastAsia="等线" w:ascii="Arial" w:cs="Arial" w:hAnsi="Arial"/>
          <w:b w:val="true"/>
          <w:sz w:val="22"/>
        </w:rPr>
        <w:t>立法印刷厂</w:t>
      </w:r>
      <w:r>
        <w:rPr>
          <w:rFonts w:eastAsia="等线" w:ascii="Arial" w:cs="Arial" w:hAnsi="Arial"/>
          <w:sz w:val="22"/>
        </w:rPr>
        <w:t>和</w:t>
      </w:r>
      <w:r>
        <w:rPr>
          <w:rFonts w:eastAsia="等线" w:ascii="Arial" w:cs="Arial" w:hAnsi="Arial"/>
          <w:b w:val="true"/>
          <w:sz w:val="22"/>
        </w:rPr>
        <w:t>商用印刷厂</w:t>
      </w:r>
      <w:r>
        <w:rPr>
          <w:rFonts w:eastAsia="等线" w:ascii="Arial" w:cs="Arial" w:hAnsi="Arial"/>
          <w:sz w:val="22"/>
        </w:rPr>
        <w:t>——它们都生产“印刷品”，但服务截然不同的上层建筑。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：NAC宪法法院 · 立法技术委员会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：已批准，启动CNNL编译器及编译库研发项目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本方案已通过宪法法院第2026-0213-01号决议，责成核心开发组在2026年Q3前完成编译库MVP。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687594">
    <w:lvl>
      <w:numFmt w:val="bullet"/>
      <w:suff w:val="tab"/>
      <w:lvlText w:val="•"/>
      <w:rPr>
        <w:color w:val="3370ff"/>
      </w:rPr>
    </w:lvl>
  </w:abstractNum>
  <w:abstractNum w:abstractNumId="2687595">
    <w:lvl>
      <w:numFmt w:val="bullet"/>
      <w:suff w:val="tab"/>
      <w:lvlText w:val="•"/>
      <w:rPr>
        <w:color w:val="3370ff"/>
      </w:rPr>
    </w:lvl>
  </w:abstractNum>
  <w:abstractNum w:abstractNumId="2687596">
    <w:lvl>
      <w:numFmt w:val="bullet"/>
      <w:suff w:val="tab"/>
      <w:lvlText w:val="•"/>
      <w:rPr>
        <w:color w:val="3370ff"/>
      </w:rPr>
    </w:lvl>
  </w:abstractNum>
  <w:abstractNum w:abstractNumId="2687597">
    <w:lvl>
      <w:numFmt w:val="bullet"/>
      <w:suff w:val="tab"/>
      <w:lvlText w:val="•"/>
      <w:rPr>
        <w:color w:val="3370ff"/>
      </w:rPr>
    </w:lvl>
  </w:abstractNum>
  <w:abstractNum w:abstractNumId="2687598">
    <w:lvl>
      <w:numFmt w:val="bullet"/>
      <w:suff w:val="tab"/>
      <w:lvlText w:val="•"/>
      <w:rPr>
        <w:color w:val="3370ff"/>
      </w:rPr>
    </w:lvl>
  </w:abstractNum>
  <w:abstractNum w:abstractNumId="2687599">
    <w:lvl>
      <w:numFmt w:val="bullet"/>
      <w:suff w:val="tab"/>
      <w:lvlText w:val="•"/>
      <w:rPr>
        <w:color w:val="3370ff"/>
      </w:rPr>
    </w:lvl>
  </w:abstractNum>
  <w:abstractNum w:abstractNumId="2687600">
    <w:lvl>
      <w:numFmt w:val="bullet"/>
      <w:suff w:val="tab"/>
      <w:lvlText w:val="•"/>
      <w:rPr>
        <w:color w:val="3370ff"/>
      </w:rPr>
    </w:lvl>
  </w:abstractNum>
  <w:abstractNum w:abstractNumId="2687601">
    <w:lvl>
      <w:numFmt w:val="bullet"/>
      <w:suff w:val="tab"/>
      <w:lvlText w:val="•"/>
      <w:rPr>
        <w:color w:val="3370ff"/>
      </w:rPr>
    </w:lvl>
  </w:abstractNum>
  <w:abstractNum w:abstractNumId="2687602">
    <w:lvl>
      <w:numFmt w:val="bullet"/>
      <w:suff w:val="tab"/>
      <w:lvlText w:val="•"/>
      <w:rPr>
        <w:color w:val="3370ff"/>
      </w:rPr>
    </w:lvl>
  </w:abstractNum>
  <w:abstractNum w:abstractNumId="2687603">
    <w:lvl>
      <w:numFmt w:val="bullet"/>
      <w:suff w:val="tab"/>
      <w:lvlText w:val="•"/>
      <w:rPr>
        <w:color w:val="3370ff"/>
      </w:rPr>
    </w:lvl>
  </w:abstractNum>
  <w:abstractNum w:abstractNumId="2687604">
    <w:lvl>
      <w:numFmt w:val="bullet"/>
      <w:suff w:val="tab"/>
      <w:lvlText w:val="•"/>
      <w:rPr>
        <w:color w:val="3370ff"/>
      </w:rPr>
    </w:lvl>
  </w:abstractNum>
  <w:abstractNum w:abstractNumId="2687605">
    <w:lvl>
      <w:numFmt w:val="bullet"/>
      <w:suff w:val="tab"/>
      <w:lvlText w:val="•"/>
      <w:rPr>
        <w:color w:val="3370ff"/>
      </w:rPr>
    </w:lvl>
  </w:abstractNum>
  <w:abstractNum w:abstractNumId="2687606">
    <w:lvl>
      <w:numFmt w:val="bullet"/>
      <w:suff w:val="tab"/>
      <w:lvlText w:val="•"/>
      <w:rPr>
        <w:color w:val="3370ff"/>
      </w:rPr>
    </w:lvl>
  </w:abstractNum>
  <w:abstractNum w:abstractNumId="2687607">
    <w:lvl>
      <w:numFmt w:val="bullet"/>
      <w:suff w:val="tab"/>
      <w:lvlText w:val="￮"/>
      <w:rPr>
        <w:color w:val="3370ff"/>
      </w:rPr>
    </w:lvl>
  </w:abstractNum>
  <w:abstractNum w:abstractNumId="2687608">
    <w:lvl>
      <w:numFmt w:val="bullet"/>
      <w:suff w:val="tab"/>
      <w:lvlText w:val="￮"/>
      <w:rPr>
        <w:color w:val="3370ff"/>
      </w:rPr>
    </w:lvl>
  </w:abstractNum>
  <w:abstractNum w:abstractNumId="2687609">
    <w:lvl>
      <w:numFmt w:val="bullet"/>
      <w:suff w:val="tab"/>
      <w:lvlText w:val="￮"/>
      <w:rPr>
        <w:color w:val="3370ff"/>
      </w:rPr>
    </w:lvl>
  </w:abstractNum>
  <w:abstractNum w:abstractNumId="2687610">
    <w:lvl>
      <w:numFmt w:val="bullet"/>
      <w:suff w:val="tab"/>
      <w:lvlText w:val="•"/>
      <w:rPr>
        <w:color w:val="3370ff"/>
      </w:rPr>
    </w:lvl>
  </w:abstractNum>
  <w:num w:numId="1">
    <w:abstractNumId w:val="2687594"/>
  </w:num>
  <w:num w:numId="2">
    <w:abstractNumId w:val="2687595"/>
  </w:num>
  <w:num w:numId="3">
    <w:abstractNumId w:val="2687596"/>
  </w:num>
  <w:num w:numId="4">
    <w:abstractNumId w:val="2687597"/>
  </w:num>
  <w:num w:numId="5">
    <w:abstractNumId w:val="2687598"/>
  </w:num>
  <w:num w:numId="6">
    <w:abstractNumId w:val="2687599"/>
  </w:num>
  <w:num w:numId="7">
    <w:abstractNumId w:val="2687600"/>
  </w:num>
  <w:num w:numId="8">
    <w:abstractNumId w:val="2687601"/>
  </w:num>
  <w:num w:numId="9">
    <w:abstractNumId w:val="2687602"/>
  </w:num>
  <w:num w:numId="10">
    <w:abstractNumId w:val="2687603"/>
  </w:num>
  <w:num w:numId="11">
    <w:abstractNumId w:val="2687604"/>
  </w:num>
  <w:num w:numId="12">
    <w:abstractNumId w:val="2687605"/>
  </w:num>
  <w:num w:numId="13">
    <w:abstractNumId w:val="2687606"/>
  </w:num>
  <w:num w:numId="14">
    <w:abstractNumId w:val="2687607"/>
  </w:num>
  <w:num w:numId="15">
    <w:abstractNumId w:val="2687608"/>
  </w:num>
  <w:num w:numId="16">
    <w:abstractNumId w:val="2687609"/>
  </w:num>
  <w:num w:numId="17">
    <w:abstractNumId w:val="2687610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2026-02-12T23:44:03Z</dcterms:created>
  <dc:creator>Apache POI</dc:creator>
</cp:coreProperties>
</file>