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CSNP与CBPP在NAC三层架构中的落地实施白皮书——L0基础层、</w:t>
      </w:r>
      <w:r>
        <w:rPr>
          <w:rFonts w:eastAsia="等线" w:ascii="Arial" w:cs="Arial" w:hAnsi="Arial"/>
          <w:b w:val="true"/>
          <w:sz w:val="52"/>
        </w:rPr>
        <w:t>L1协议层、宪法层的完整集成规范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：NAC共识层工作组 · 网络协议工作组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关联协议</w:t>
      </w:r>
      <w:r>
        <w:rPr>
          <w:rFonts w:eastAsia="等线" w:ascii="Arial" w:cs="Arial" w:hAnsi="Arial"/>
          <w:sz w:val="22"/>
        </w:rPr>
        <w:t>：CBPP v1.0、CSNP v2.0、宪法层v1.0、GNACS Pro V2.0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执行摘要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宪政区块生产协议（CBPP）与宪政结构化网络协议（CSNP）是NAC公链实现</w:t>
      </w:r>
      <w:r>
        <w:rPr>
          <w:rFonts w:eastAsia="等线" w:ascii="Arial" w:cs="Arial" w:hAnsi="Arial"/>
          <w:b w:val="true"/>
          <w:sz w:val="22"/>
        </w:rPr>
        <w:t>“宪法即共识、法治化网络”</w:t>
      </w:r>
      <w:r>
        <w:rPr>
          <w:rFonts w:eastAsia="等线" w:ascii="Arial" w:cs="Arial" w:hAnsi="Arial"/>
          <w:sz w:val="22"/>
        </w:rPr>
        <w:t>的两大核心基础设施。本白皮书系统阐述二者如何在NAC的三层技术架构中完整落地：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L0基础层</w:t>
      </w:r>
      <w:r>
        <w:rPr>
          <w:rFonts w:eastAsia="等线" w:ascii="Arial" w:cs="Arial" w:hAnsi="Arial"/>
          <w:sz w:val="22"/>
        </w:rPr>
        <w:t>：为CBPP/CSNP提供</w:t>
      </w:r>
      <w:r>
        <w:rPr>
          <w:rFonts w:eastAsia="等线" w:ascii="Arial" w:cs="Arial" w:hAnsi="Arial"/>
          <w:b w:val="true"/>
          <w:sz w:val="22"/>
        </w:rPr>
        <w:t>确定性节点身份、高效P2P通信、可验证数据传播</w:t>
      </w:r>
      <w:r>
        <w:rPr>
          <w:rFonts w:eastAsia="等线" w:ascii="Arial" w:cs="Arial" w:hAnsi="Arial"/>
          <w:sz w:val="22"/>
        </w:rPr>
        <w:t>，并将共识与网络的核心参数固化为</w:t>
      </w:r>
      <w:r>
        <w:rPr>
          <w:rFonts w:eastAsia="等线" w:ascii="Arial" w:cs="Arial" w:hAnsi="Arial"/>
          <w:b w:val="true"/>
          <w:sz w:val="22"/>
        </w:rPr>
        <w:t>系统状态树</w:t>
      </w:r>
      <w:r>
        <w:rPr>
          <w:rFonts w:eastAsia="等线" w:ascii="Arial" w:cs="Arial" w:hAnsi="Arial"/>
          <w:sz w:val="22"/>
        </w:rPr>
        <w:t>中的持久化存储。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L1协议层</w:t>
      </w:r>
      <w:r>
        <w:rPr>
          <w:rFonts w:eastAsia="等线" w:ascii="Arial" w:cs="Arial" w:hAnsi="Arial"/>
          <w:sz w:val="22"/>
        </w:rPr>
        <w:t>：通过</w:t>
      </w:r>
      <w:r>
        <w:rPr>
          <w:rFonts w:eastAsia="等线" w:ascii="Arial" w:cs="Arial" w:hAnsi="Arial"/>
          <w:b w:val="true"/>
          <w:sz w:val="22"/>
        </w:rPr>
        <w:t>智能合约、系统级预编译、UDM模块</w:t>
      </w:r>
      <w:r>
        <w:rPr>
          <w:rFonts w:eastAsia="等线" w:ascii="Arial" w:cs="Arial" w:hAnsi="Arial"/>
          <w:sz w:val="22"/>
        </w:rPr>
        <w:t>实现CBP注册、收据验证、流体区块处理、资产感知路由策略等业务逻辑。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宪法层</w:t>
      </w:r>
      <w:r>
        <w:rPr>
          <w:rFonts w:eastAsia="等线" w:ascii="Arial" w:cs="Arial" w:hAnsi="Arial"/>
          <w:sz w:val="22"/>
        </w:rPr>
        <w:t>：将CBPP/CSNP的</w:t>
      </w:r>
      <w:r>
        <w:rPr>
          <w:rFonts w:eastAsia="等线" w:ascii="Arial" w:cs="Arial" w:hAnsi="Arial"/>
          <w:b w:val="true"/>
          <w:sz w:val="22"/>
        </w:rPr>
        <w:t>节点准入规则、传播策略、收据权重、出块条件</w:t>
      </w:r>
      <w:r>
        <w:rPr>
          <w:rFonts w:eastAsia="等线" w:ascii="Arial" w:cs="Arial" w:hAnsi="Arial"/>
          <w:sz w:val="22"/>
        </w:rPr>
        <w:t>等关键规则，以</w:t>
      </w:r>
      <w:r>
        <w:rPr>
          <w:rFonts w:eastAsia="等线" w:ascii="Arial" w:cs="Arial" w:hAnsi="Arial"/>
          <w:b w:val="true"/>
          <w:sz w:val="22"/>
        </w:rPr>
        <w:t>宪法条款（NCCL）</w:t>
      </w:r>
      <w:r>
        <w:rPr>
          <w:rFonts w:eastAsia="等线" w:ascii="Arial" w:cs="Arial" w:hAnsi="Arial"/>
          <w:sz w:val="22"/>
        </w:rPr>
        <w:t>形式固化，并纳入</w:t>
      </w:r>
      <w:r>
        <w:rPr>
          <w:rFonts w:eastAsia="等线" w:ascii="Arial" w:cs="Arial" w:hAnsi="Arial"/>
          <w:b w:val="true"/>
          <w:sz w:val="22"/>
        </w:rPr>
        <w:t>XIC治理</w:t>
      </w:r>
      <w:r>
        <w:rPr>
          <w:rFonts w:eastAsia="等线" w:ascii="Arial" w:cs="Arial" w:hAnsi="Arial"/>
          <w:sz w:val="22"/>
        </w:rPr>
        <w:t>与</w:t>
      </w:r>
      <w:r>
        <w:rPr>
          <w:rFonts w:eastAsia="等线" w:ascii="Arial" w:cs="Arial" w:hAnsi="Arial"/>
          <w:b w:val="true"/>
          <w:sz w:val="22"/>
        </w:rPr>
        <w:t>宪法法院</w:t>
      </w:r>
      <w:r>
        <w:rPr>
          <w:rFonts w:eastAsia="等线" w:ascii="Arial" w:cs="Arial" w:hAnsi="Arial"/>
          <w:sz w:val="22"/>
        </w:rPr>
        <w:t>的管辖范围。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通过三层协同，CBPP与CSNP从“技术协议”升华为“宪政秩序”在共识与网络维度的延伸，共同构筑NAC公链</w:t>
      </w:r>
      <w:r>
        <w:rPr>
          <w:rFonts w:eastAsia="等线" w:ascii="Arial" w:cs="Arial" w:hAnsi="Arial"/>
          <w:b w:val="true"/>
          <w:sz w:val="22"/>
        </w:rPr>
        <w:t>合规、高效、抗审查、可进化</w:t>
      </w:r>
      <w:r>
        <w:rPr>
          <w:rFonts w:eastAsia="等线" w:ascii="Arial" w:cs="Arial" w:hAnsi="Arial"/>
          <w:sz w:val="22"/>
        </w:rPr>
        <w:t>的基础设施底座。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1. NAC三层架构与协议定位</w:t>
      </w:r>
      <w:bookmarkEnd w:id="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425"/>
        <w:gridCol w:w="2130"/>
        <w:gridCol w:w="2370"/>
        <w:gridCol w:w="2370"/>
      </w:tblGrid>
      <w:tr>
        <w:tc>
          <w:tcPr>
            <w:tcW w:w="142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层级</w:t>
            </w:r>
          </w:p>
        </w:tc>
        <w:tc>
          <w:tcPr>
            <w:tcW w:w="21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核心职能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CSNP角色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CBPP角色</w:t>
            </w:r>
          </w:p>
        </w:tc>
      </w:tr>
      <w:tr>
        <w:tc>
          <w:tcPr>
            <w:tcW w:w="142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L0基础层</w:t>
            </w:r>
          </w:p>
        </w:tc>
        <w:tc>
          <w:tcPr>
            <w:tcW w:w="21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物理网络、节点通信、数据存储、密码学原语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P2P传输、身份路由、聚合传播、可验证日志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区块传播、收据缓存、共识参数存储</w:t>
            </w:r>
          </w:p>
        </w:tc>
      </w:tr>
      <w:tr>
        <w:tc>
          <w:tcPr>
            <w:tcW w:w="142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L1协议层</w:t>
            </w:r>
          </w:p>
        </w:tc>
        <w:tc>
          <w:tcPr>
            <w:tcW w:w="21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资产状态、业务逻辑、系统合约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策略配置合约、跨链消息标准、网络参数接口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CBP注册、收据验证、区块生产、奖励分配</w:t>
            </w:r>
          </w:p>
        </w:tc>
      </w:tr>
      <w:tr>
        <w:tc>
          <w:tcPr>
            <w:tcW w:w="142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宪法层</w:t>
            </w:r>
          </w:p>
        </w:tc>
        <w:tc>
          <w:tcPr>
            <w:tcW w:w="21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规则制定、治理仲裁、升级控制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网络宪法条款（连接策略、传播矩阵）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共识宪法条款（节点资格、出块规则、分叉选择）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设计哲学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L0专注于“快与信”</w:t>
      </w:r>
      <w:r>
        <w:rPr>
          <w:rFonts w:eastAsia="等线" w:ascii="Arial" w:cs="Arial" w:hAnsi="Arial"/>
          <w:sz w:val="22"/>
        </w:rPr>
        <w:t>：极低延迟、极高吞吐、硬件优化，不处理复杂业务逻辑。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L1专注于“准与证”</w:t>
      </w:r>
      <w:r>
        <w:rPr>
          <w:rFonts w:eastAsia="等线" w:ascii="Arial" w:cs="Arial" w:hAnsi="Arial"/>
          <w:sz w:val="22"/>
        </w:rPr>
        <w:t>：状态转换、合规验证、经济激励，通过UDM实现可升级性。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宪法层专注于“定与治”</w:t>
      </w:r>
      <w:r>
        <w:rPr>
          <w:rFonts w:eastAsia="等线" w:ascii="Arial" w:cs="Arial" w:hAnsi="Arial"/>
          <w:sz w:val="22"/>
        </w:rPr>
        <w:t>：规则来源的唯一性与最高性，通过治理流程驱动L0/L1演进。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" w:id="2"/>
      <w:r>
        <w:rPr>
          <w:rFonts w:eastAsia="等线" w:ascii="Arial" w:cs="Arial" w:hAnsi="Arial"/>
          <w:b w:val="true"/>
          <w:sz w:val="36"/>
        </w:rPr>
        <w:t>2. CSNP在L0/L1/宪法层的落地</w:t>
      </w:r>
      <w:bookmarkEnd w:id="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2.1 L0基础层：CSNP作为原生网络协议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CSNP V2.0的核心组件在L0以</w:t>
      </w:r>
      <w:r>
        <w:rPr>
          <w:rFonts w:eastAsia="等线" w:ascii="Arial" w:cs="Arial" w:hAnsi="Arial"/>
          <w:b w:val="true"/>
          <w:sz w:val="22"/>
        </w:rPr>
        <w:t>系统级服务</w:t>
      </w:r>
      <w:r>
        <w:rPr>
          <w:rFonts w:eastAsia="等线" w:ascii="Arial" w:cs="Arial" w:hAnsi="Arial"/>
          <w:sz w:val="22"/>
        </w:rPr>
        <w:t>形式运行，与NAC节点软件深度集成。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4" w:id="4"/>
      <w:r>
        <w:rPr>
          <w:rFonts w:eastAsia="等线" w:ascii="Arial" w:cs="Arial" w:hAnsi="Arial"/>
          <w:b w:val="true"/>
          <w:sz w:val="30"/>
        </w:rPr>
        <w:t>2.1.1 全域身份目录服务（GIDS）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实现位置</w:t>
      </w:r>
      <w:r>
        <w:rPr>
          <w:rFonts w:eastAsia="等线" w:ascii="Arial" w:cs="Arial" w:hAnsi="Arial"/>
          <w:sz w:val="22"/>
        </w:rPr>
        <w:t>：L0节点内置的DHT（分布式哈希表）+ 链上注册表缓存。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技术细节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节点启动时，从链上同步`active_cbps`、`cross_chain_relays`等DID列表，构建本地GIDS缓存。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P2P连接建立前，通过`DID.resolve(peer_id)`获取对方公钥、角色、信誉分，并验证</w:t>
      </w:r>
      <w:r>
        <w:rPr>
          <w:rFonts w:eastAsia="等线" w:ascii="Arial" w:cs="Arial" w:hAnsi="Arial"/>
          <w:b w:val="true"/>
          <w:sz w:val="22"/>
        </w:rPr>
        <w:t>DID签名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GIDS缓存通过</w:t>
      </w:r>
      <w:r>
        <w:rPr>
          <w:rFonts w:eastAsia="等线" w:ascii="Arial" w:cs="Arial" w:hAnsi="Arial"/>
          <w:b w:val="true"/>
          <w:sz w:val="22"/>
        </w:rPr>
        <w:t>CSNP专属Gossip子协议</w:t>
      </w:r>
      <w:r>
        <w:rPr>
          <w:rFonts w:eastAsia="等线" w:ascii="Arial" w:cs="Arial" w:hAnsi="Arial"/>
          <w:sz w:val="22"/>
        </w:rPr>
        <w:t>增量同步，区块高度驱动更新。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宪法绑定</w:t>
      </w:r>
      <w:r>
        <w:rPr>
          <w:rFonts w:eastAsia="等线" w:ascii="Arial" w:cs="Arial" w:hAnsi="Arial"/>
          <w:sz w:val="22"/>
        </w:rPr>
        <w:t>：节点角色的准入标准（如KYC等级、质押量）由宪法条款`NODE_ROLE_CRITERIA`定义，L0仅执行验证。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5" w:id="5"/>
      <w:r>
        <w:rPr>
          <w:rFonts w:eastAsia="等线" w:ascii="Arial" w:cs="Arial" w:hAnsi="Arial"/>
          <w:b w:val="true"/>
          <w:sz w:val="30"/>
        </w:rPr>
        <w:t>2.1.2 多链自适应连接管理器（MA-RCM）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实现位置</w:t>
      </w:r>
      <w:r>
        <w:rPr>
          <w:rFonts w:eastAsia="等线" w:ascii="Arial" w:cs="Arial" w:hAnsi="Arial"/>
          <w:sz w:val="22"/>
        </w:rPr>
        <w:t>：L0连接管理模块（基于libp2p）。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技术细节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宪法附录`CONNECTION_POLICY_MATRIX`（JSON格式）定期从L1同步，MA-RCM据此维护连接拓扑。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连接质量评分（延迟、带宽、丢包率）由L0实时统计，上报UCA。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跨链连接预热：当L1跨链合约触发`CrossChainTransfer`事件时，L0自动检测目标链并尝试建立直连通道。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6" w:id="6"/>
      <w:r>
        <w:rPr>
          <w:rFonts w:eastAsia="等线" w:ascii="Arial" w:cs="Arial" w:hAnsi="Arial"/>
          <w:b w:val="true"/>
          <w:sz w:val="30"/>
        </w:rPr>
        <w:t>2.1.3 资产感知传播引擎（AA-PE）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实现位置</w:t>
      </w:r>
      <w:r>
        <w:rPr>
          <w:rFonts w:eastAsia="等线" w:ascii="Arial" w:cs="Arial" w:hAnsi="Arial"/>
          <w:sz w:val="22"/>
        </w:rPr>
        <w:t>：L0消息路由层，位于传输层与应用层之间。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技术细节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策略缓存：L0维护`GNACS_STRATEGY_CACHE`，键为`(GG,CC,OO,HH)`组合，值为`(target_set, timeout, priority)`。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交易识别：通过交易首字节`method_id`快速判断是否为XTZH铸造、ACC-20转账等已知类型，直接映射策略；否则回退到GNACS查询。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优先级队列：L0为每个优先级（1-8）维护独立的发送队列，高优先级队列使用</w:t>
      </w:r>
      <w:r>
        <w:rPr>
          <w:rFonts w:eastAsia="等线" w:ascii="Arial" w:cs="Arial" w:hAnsi="Arial"/>
          <w:b w:val="true"/>
          <w:sz w:val="22"/>
        </w:rPr>
        <w:t>WRR（加权轮询）</w:t>
      </w:r>
      <w:r>
        <w:rPr>
          <w:rFonts w:eastAsia="等线" w:ascii="Arial" w:cs="Arial" w:hAnsi="Arial"/>
          <w:sz w:val="22"/>
        </w:rPr>
        <w:t>确保带宽抢占。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7" w:id="7"/>
      <w:r>
        <w:rPr>
          <w:rFonts w:eastAsia="等线" w:ascii="Arial" w:cs="Arial" w:hAnsi="Arial"/>
          <w:b w:val="true"/>
          <w:sz w:val="30"/>
        </w:rPr>
        <w:t>2.1.4 碎片化交易聚合网络（FTAN）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实现位置</w:t>
      </w:r>
      <w:r>
        <w:rPr>
          <w:rFonts w:eastAsia="等线" w:ascii="Arial" w:cs="Arial" w:hAnsi="Arial"/>
          <w:sz w:val="22"/>
        </w:rPr>
        <w:t>：L0可选插件，需节点声明`FRAGMENT_AGGREGATOR`角色。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技术细节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聚合节点监听指定资产池的`mempool`，使用</w:t>
      </w:r>
      <w:r>
        <w:rPr>
          <w:rFonts w:eastAsia="等线" w:ascii="Arial" w:cs="Arial" w:hAnsi="Arial"/>
          <w:b w:val="true"/>
          <w:sz w:val="22"/>
        </w:rPr>
        <w:t>滑动时间窗口</w:t>
      </w:r>
      <w:r>
        <w:rPr>
          <w:rFonts w:eastAsia="等线" w:ascii="Arial" w:cs="Arial" w:hAnsi="Arial"/>
          <w:sz w:val="22"/>
        </w:rPr>
        <w:t>（宪法参数`AGG_WINDOW_MS`）收集交易。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BLS聚合签名通过L0专用指令`BLS_AGGREGATE_SIGNATURES`生成，证明生成后封装为`AggregatedTransactionBatch`，以普通交易形式广播。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接收节点通过L0预编译合约验证聚合签名，验证通过后将批量交易拆解，注入本地mempool。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8" w:id="8"/>
      <w:r>
        <w:rPr>
          <w:rFonts w:eastAsia="等线" w:ascii="Arial" w:cs="Arial" w:hAnsi="Arial"/>
          <w:b w:val="true"/>
          <w:sz w:val="30"/>
        </w:rPr>
        <w:t>2.1.5 统一跨链审计器（UCA）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实现位置</w:t>
      </w:r>
      <w:r>
        <w:rPr>
          <w:rFonts w:eastAsia="等线" w:ascii="Arial" w:cs="Arial" w:hAnsi="Arial"/>
          <w:sz w:val="22"/>
        </w:rPr>
        <w:t>：L0可验证日志模块。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技术细节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关键行为（转发、中继、拒绝）生成</w:t>
      </w:r>
      <w:r>
        <w:rPr>
          <w:rFonts w:eastAsia="等线" w:ascii="Arial" w:cs="Arial" w:hAnsi="Arial"/>
          <w:b w:val="true"/>
          <w:sz w:val="22"/>
        </w:rPr>
        <w:t>网络行为收据</w:t>
      </w:r>
      <w:r>
        <w:rPr>
          <w:rFonts w:eastAsia="等线" w:ascii="Arial" w:cs="Arial" w:hAnsi="Arial"/>
          <w:sz w:val="22"/>
        </w:rPr>
        <w:t>，收据哈希定期聚合为Merkle根，提交至L1的`UCAAnchor`合约。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收据使用节点私钥签名，公钥可从GIDS获取。收据格式符合UDM模块`0x00040002`规范。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举报流程：举报者收集证据包，提交至L2仲裁合约，仲裁庭调取L0存储的收据进行验证。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2.2 L1协议层：CSNP系统合约与策略管理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CSNP在L1以</w:t>
      </w:r>
      <w:r>
        <w:rPr>
          <w:rFonts w:eastAsia="等线" w:ascii="Arial" w:cs="Arial" w:hAnsi="Arial"/>
          <w:b w:val="true"/>
          <w:sz w:val="22"/>
        </w:rPr>
        <w:t>系统合约</w:t>
      </w:r>
      <w:r>
        <w:rPr>
          <w:rFonts w:eastAsia="等线" w:ascii="Arial" w:cs="Arial" w:hAnsi="Arial"/>
          <w:sz w:val="22"/>
        </w:rPr>
        <w:t>形式暴露治理与配置接口，同时为上层应用提供标准化的跨链消息协议。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0" w:id="10"/>
      <w:r>
        <w:rPr>
          <w:rFonts w:eastAsia="等线" w:ascii="Arial" w:cs="Arial" w:hAnsi="Arial"/>
          <w:b w:val="true"/>
          <w:sz w:val="30"/>
        </w:rPr>
        <w:t>2.2.1 网络策略配置合约</w:t>
      </w:r>
      <w:bookmarkEnd w:id="1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CSNPStrategyManager.charter</w:t>
              <w:br/>
              <w:t>@system</w:t>
              <w:br/>
              <w:t>contract CSNPStrategyManager {</w:t>
              <w:br/>
              <w:t xml:space="preserve">    // GNACS → 传播策略映射（由宪法治理修改）</w:t>
              <w:br/>
              <w:t xml:space="preserve">    mapping(bytes32 =&gt; PropagationStrategy) public strategies;</w:t>
              <w:br/>
              <w:t xml:space="preserve">    </w:t>
              <w:br/>
              <w:t xml:space="preserve">    // 跨链中继节点白名单</w:t>
              <w:br/>
              <w:t xml:space="preserve">    mapping(Address =&gt; RelayInfo) public authorizedRelays;</w:t>
              <w:br/>
              <w:t xml:space="preserve">    </w:t>
              <w:br/>
              <w:t xml:space="preserve">    @Role("GOVERNANCE")</w:t>
              <w:br/>
              <w:t xml:space="preserve">    @RequiresConstitutionalReceipt</w:t>
              <w:br/>
              <w:t xml:space="preserve">    func updateStrategy(gnacsPattern: bytes32, strategy: PropagationStrategy) {</w:t>
              <w:br/>
              <w:t xml:space="preserve">        strategies[gnacsPattern] = strategy;</w:t>
              <w:br/>
              <w:t xml:space="preserve">        emit StrategyUpdated(gnacsPattern, strategy);</w:t>
              <w:br/>
              <w:t xml:space="preserve">    }</w:t>
              <w:br/>
              <w:t xml:space="preserve">    </w:t>
              <w:br/>
              <w:t xml:space="preserve">    // L0节点通过此视图函数查询策略（轻量级，缓存友好）</w:t>
              <w:br/>
              <w:t xml:space="preserve">    func getStrategy(gnacs: GNACS) -&gt; PropagationStrategy view {</w:t>
              <w:br/>
              <w:t xml:space="preserve">        let key = buildPatternKey(gnacs.gg, gnacs.cc, gnacs.oo, gnacs.hh);</w:t>
              <w:br/>
              <w:t xml:space="preserve">        return strategies[key];</w:t>
              <w:br/>
              <w:t xml:space="preserve">    }</w:t>
              <w:br/>
              <w:t>}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1" w:id="11"/>
      <w:r>
        <w:rPr>
          <w:rFonts w:eastAsia="等线" w:ascii="Arial" w:cs="Arial" w:hAnsi="Arial"/>
          <w:b w:val="true"/>
          <w:sz w:val="30"/>
        </w:rPr>
        <w:t>2.2.2 跨链消息标准协议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标准信封格式</w:t>
      </w:r>
      <w:r>
        <w:rPr>
          <w:rFonts w:eastAsia="等线" w:ascii="Arial" w:cs="Arial" w:hAnsi="Arial"/>
          <w:sz w:val="22"/>
        </w:rPr>
        <w:t>（Protocol Buffers）：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protobuf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message CrossChainMessage {</w:t>
              <w:br/>
              <w:t xml:space="preserve">    uint32 version = 1;</w:t>
              <w:br/>
              <w:t xml:space="preserve">    string source_chain = 2;</w:t>
              <w:br/>
              <w:t xml:space="preserve">    string target_chain = 3;</w:t>
              <w:br/>
              <w:t xml:space="preserve">    uint64 nonce = 4;              // 防重放</w:t>
              <w:br/>
              <w:t xml:space="preserve">    bytes payload = 5;            // 具体交易数据</w:t>
              <w:br/>
              <w:t xml:space="preserve">    bytes32 state_proof = 6;      // 源链SPV证明</w:t>
              <w:br/>
              <w:t xml:space="preserve">    repeated bytes signatures = 7; // 中继节点签名集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L1跨链桥合约调用`CSNPRouter.sendCrossChainMessage()`，该函数将消息封装为上述格式，并通过L0的跨链中继通道发送。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2" w:id="12"/>
      <w:r>
        <w:rPr>
          <w:rFonts w:eastAsia="等线" w:ascii="Arial" w:cs="Arial" w:hAnsi="Arial"/>
          <w:b w:val="true"/>
          <w:sz w:val="30"/>
        </w:rPr>
        <w:t>2.2.3 网络参数治理接口</w:t>
      </w:r>
      <w:bookmarkEnd w:id="1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CBPP与CSNP的所有可调参数（`Δt_min`、`GAS_LIMIT_MIN`、`AGG_WINDOW_MS`等）均在L1以</w:t>
      </w:r>
      <w:r>
        <w:rPr>
          <w:rFonts w:eastAsia="等线" w:ascii="Arial" w:cs="Arial" w:hAnsi="Arial"/>
          <w:b w:val="true"/>
          <w:sz w:val="22"/>
        </w:rPr>
        <w:t>系统常量</w:t>
      </w:r>
      <w:r>
        <w:rPr>
          <w:rFonts w:eastAsia="等线" w:ascii="Arial" w:cs="Arial" w:hAnsi="Arial"/>
          <w:sz w:val="22"/>
        </w:rPr>
        <w:t>形式存储，修改权限归属</w:t>
      </w:r>
      <w:r>
        <w:rPr>
          <w:rFonts w:eastAsia="等线" w:ascii="Arial" w:cs="Arial" w:hAnsi="Arial"/>
          <w:b w:val="true"/>
          <w:sz w:val="22"/>
        </w:rPr>
        <w:t>宪法层治理提案</w:t>
      </w:r>
      <w:r>
        <w:rPr>
          <w:rFonts w:eastAsia="等线" w:ascii="Arial" w:cs="Arial" w:hAnsi="Arial"/>
          <w:sz w:val="22"/>
        </w:rPr>
        <w:t>。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@system_constant(key = "CSNP_AGG_WINDOW_MS")</w:t>
              <w:br/>
              <w:t>func aggregation_window() -&gt; uint64;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2.3 宪法层：网络行为宪法化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CSNP的以下规则已通过宪法法院审议，成为</w:t>
      </w:r>
      <w:r>
        <w:rPr>
          <w:rFonts w:eastAsia="等线" w:ascii="Arial" w:cs="Arial" w:hAnsi="Arial"/>
          <w:b w:val="true"/>
          <w:sz w:val="22"/>
        </w:rPr>
        <w:t>不可违逆的网络宪法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905"/>
        <w:gridCol w:w="3180"/>
        <w:gridCol w:w="1530"/>
        <w:gridCol w:w="1650"/>
      </w:tblGrid>
      <w:tr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宪法条款ID</w:t>
            </w:r>
          </w:p>
        </w:tc>
        <w:tc>
          <w:tcPr>
            <w:tcW w:w="31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  <w:tc>
          <w:tcPr>
            <w:tcW w:w="15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层级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修改门槛</w:t>
            </w:r>
          </w:p>
        </w:tc>
      </w:tr>
      <w:tr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NET_CONN_MIN_CBP</w:t>
            </w:r>
          </w:p>
        </w:tc>
        <w:tc>
          <w:tcPr>
            <w:tcW w:w="31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CBP节点必须至少连接12个同链CBP</w:t>
            </w:r>
          </w:p>
        </w:tc>
        <w:tc>
          <w:tcPr>
            <w:tcW w:w="15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66%</w:t>
            </w:r>
          </w:p>
        </w:tc>
      </w:tr>
      <w:tr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NET_GNACS_STRATEGY</w:t>
            </w:r>
          </w:p>
        </w:tc>
        <w:tc>
          <w:tcPr>
            <w:tcW w:w="31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附录C.1传播策略矩阵</w:t>
            </w:r>
          </w:p>
        </w:tc>
        <w:tc>
          <w:tcPr>
            <w:tcW w:w="15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66%</w:t>
            </w:r>
          </w:p>
        </w:tc>
      </w:tr>
      <w:tr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NET_CROSS_CHAIN_RELAY_MIN</w:t>
            </w:r>
          </w:p>
        </w:tc>
        <w:tc>
          <w:tcPr>
            <w:tcW w:w="31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跨链中继必须连接至少3条其他链</w:t>
            </w:r>
          </w:p>
        </w:tc>
        <w:tc>
          <w:tcPr>
            <w:tcW w:w="15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66%</w:t>
            </w:r>
          </w:p>
        </w:tc>
      </w:tr>
      <w:tr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NET_UCA_REPORTING</w:t>
            </w:r>
          </w:p>
        </w:tc>
        <w:tc>
          <w:tcPr>
            <w:tcW w:w="31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节点必须每24小时提交行为收据Merkle根</w:t>
            </w:r>
          </w:p>
        </w:tc>
        <w:tc>
          <w:tcPr>
            <w:tcW w:w="15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战术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51%</w:t>
            </w:r>
          </w:p>
        </w:tc>
      </w:tr>
      <w:tr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NET_PENALTY_CENSORSHIP</w:t>
            </w:r>
          </w:p>
        </w:tc>
        <w:tc>
          <w:tcPr>
            <w:tcW w:w="31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审查交易罚没10%保证金，暂停资格7天</w:t>
            </w:r>
          </w:p>
        </w:tc>
        <w:tc>
          <w:tcPr>
            <w:tcW w:w="15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战术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51%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宪法收据绑定</w:t>
      </w:r>
      <w:r>
        <w:rPr>
          <w:rFonts w:eastAsia="等线" w:ascii="Arial" w:cs="Arial" w:hAnsi="Arial"/>
          <w:sz w:val="22"/>
        </w:rPr>
        <w:t>：任何修改CSNP参数或调整策略矩阵的交易，必须附带</w:t>
      </w:r>
      <w:r>
        <w:rPr>
          <w:rFonts w:eastAsia="等线" w:ascii="Arial" w:cs="Arial" w:hAnsi="Arial"/>
          <w:b w:val="true"/>
          <w:sz w:val="22"/>
        </w:rPr>
        <w:t>宪法收据</w:t>
      </w:r>
      <w:r>
        <w:rPr>
          <w:rFonts w:eastAsia="等线" w:ascii="Arial" w:cs="Arial" w:hAnsi="Arial"/>
          <w:sz w:val="22"/>
        </w:rPr>
        <w:t>，且`clause_index`指向对应的网络宪法条款。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4" w:id="14"/>
      <w:r>
        <w:rPr>
          <w:rFonts w:eastAsia="等线" w:ascii="Arial" w:cs="Arial" w:hAnsi="Arial"/>
          <w:b w:val="true"/>
          <w:sz w:val="36"/>
        </w:rPr>
        <w:t>3. CBPP在L0/L1/宪法层的落地</w:t>
      </w:r>
      <w:bookmarkEnd w:id="14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3.1 L0基础层：共识参数存储与区块传播</w:t>
      </w:r>
      <w:bookmarkEnd w:id="15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6" w:id="16"/>
      <w:r>
        <w:rPr>
          <w:rFonts w:eastAsia="等线" w:ascii="Arial" w:cs="Arial" w:hAnsi="Arial"/>
          <w:b w:val="true"/>
          <w:sz w:val="30"/>
        </w:rPr>
        <w:t>3.1.1 共识参数存储</w:t>
      </w:r>
      <w:bookmarkEnd w:id="1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流体区块模型的动态参数（`gas_limit`、`Δt_min`、`Δt_max`）存储于L0的</w:t>
      </w:r>
      <w:r>
        <w:rPr>
          <w:rFonts w:eastAsia="等线" w:ascii="Arial" w:cs="Arial" w:hAnsi="Arial"/>
          <w:b w:val="true"/>
          <w:sz w:val="22"/>
        </w:rPr>
        <w:t>系统状态树</w:t>
      </w:r>
      <w:r>
        <w:rPr>
          <w:rFonts w:eastAsia="等线" w:ascii="Arial" w:cs="Arial" w:hAnsi="Arial"/>
          <w:sz w:val="22"/>
        </w:rPr>
        <w:t>中，每个CBP节点本地缓存。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参数更新：每个纪元结束时，节点根据`adjust_gas_limit`算法计算新值，并写入本地状态树。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跨节点同步：新纪元首个区块头必须包含当前纪元的`gas_limit`，节点验证其与本地计算值一致。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7" w:id="17"/>
      <w:r>
        <w:rPr>
          <w:rFonts w:eastAsia="等线" w:ascii="Arial" w:cs="Arial" w:hAnsi="Arial"/>
          <w:b w:val="true"/>
          <w:sz w:val="30"/>
        </w:rPr>
        <w:t>3.1.2 区块传播优化（CBP骨干网）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CSNP为CBP节点提供</w:t>
      </w:r>
      <w:r>
        <w:rPr>
          <w:rFonts w:eastAsia="等线" w:ascii="Arial" w:cs="Arial" w:hAnsi="Arial"/>
          <w:b w:val="true"/>
          <w:sz w:val="22"/>
        </w:rPr>
        <w:t>专用低延迟通道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连接类型：QUIC over TCP，启用0-RTT与前向纠错。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区块预宣告：CBP出块时先广播`BlockAnnounce`（仅含区块头哈希、高度、生产者），骨干网节点立即请求缺失区块。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拓扑维护：MA-RCM确保CBP节点间至少维持</w:t>
      </w:r>
      <w:r>
        <w:rPr>
          <w:rFonts w:eastAsia="等线" w:ascii="Arial" w:cs="Arial" w:hAnsi="Arial"/>
          <w:b w:val="true"/>
          <w:sz w:val="22"/>
        </w:rPr>
        <w:t>全网状或半网状连接</w:t>
      </w:r>
      <w:r>
        <w:rPr>
          <w:rFonts w:eastAsia="等线" w:ascii="Arial" w:cs="Arial" w:hAnsi="Arial"/>
          <w:sz w:val="22"/>
        </w:rPr>
        <w:t>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8" w:id="18"/>
      <w:r>
        <w:rPr>
          <w:rFonts w:eastAsia="等线" w:ascii="Arial" w:cs="Arial" w:hAnsi="Arial"/>
          <w:b w:val="true"/>
          <w:sz w:val="30"/>
        </w:rPr>
        <w:t>3.1.3 宪法收据缓存</w:t>
      </w:r>
      <w:bookmarkEnd w:id="1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L0节点维护</w:t>
      </w:r>
      <w:r>
        <w:rPr>
          <w:rFonts w:eastAsia="等线" w:ascii="Arial" w:cs="Arial" w:hAnsi="Arial"/>
          <w:b w:val="true"/>
          <w:sz w:val="22"/>
        </w:rPr>
        <w:t>LRU缓存</w:t>
      </w:r>
      <w:r>
        <w:rPr>
          <w:rFonts w:eastAsia="等线" w:ascii="Arial" w:cs="Arial" w:hAnsi="Arial"/>
          <w:sz w:val="22"/>
        </w:rPr>
        <w:t>存储已验证的CR，键为`receipt_id`，值为`(tx_hash, expiry_height)`。缓存大小由宪法参数`CR_CACHE_SIZE`决定（默认10000）。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3.2 L1协议层：CBPP核心逻辑</w:t>
      </w:r>
      <w:bookmarkEnd w:id="19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0" w:id="20"/>
      <w:r>
        <w:rPr>
          <w:rFonts w:eastAsia="等线" w:ascii="Arial" w:cs="Arial" w:hAnsi="Arial"/>
          <w:b w:val="true"/>
          <w:sz w:val="30"/>
        </w:rPr>
        <w:t>3.2.1 CBP注册与管理合约</w:t>
      </w:r>
      <w:bookmarkEnd w:id="2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CBPRegistry.charter</w:t>
              <w:br/>
              <w:t>@system</w:t>
              <w:br/>
              <w:t>contract CBPRegistry {</w:t>
              <w:br/>
              <w:t xml:space="preserve">    struct CBPInfo {</w:t>
              <w:br/>
              <w:t xml:space="preserve">        Address node_address;</w:t>
              <w:br/>
              <w:t xml:space="preserve">        bytes public_key;</w:t>
              <w:br/>
              <w:t xml:space="preserve">        uint8 status;      // 0=active, 1=suspended, 2=banned</w:t>
              <w:br/>
              <w:t xml:space="preserve">        uint64 register_time;</w:t>
              <w:br/>
              <w:t xml:space="preserve">        uint64 last_produced;</w:t>
              <w:br/>
              <w:t xml:space="preserve">        uint32 reputation; // 0-1000</w:t>
              <w:br/>
              <w:t xml:space="preserve">        uint64 deposit;    // 保证金（XIC）</w:t>
              <w:br/>
              <w:t xml:space="preserve">    }</w:t>
              <w:br/>
              <w:t xml:space="preserve">    </w:t>
              <w:br/>
              <w:t xml:space="preserve">    mapping(Address =&gt; CBPInfo) public cbps;</w:t>
              <w:br/>
              <w:t xml:space="preserve">    Address[] public activeCBPList;</w:t>
              <w:br/>
              <w:t xml:space="preserve">    </w:t>
              <w:br/>
              <w:t xml:space="preserve">    @KYC(2)</w:t>
              <w:br/>
              <w:t xml:space="preserve">    @ConstitutionalTestPassed</w:t>
              <w:br/>
              <w:t xml:space="preserve">    func register(depositAmount: uint64) {</w:t>
              <w:br/>
              <w:t xml:space="preserve">        // 注册逻辑，需附带宪法知识测试ZK证明</w:t>
              <w:br/>
              <w:t xml:space="preserve">    }</w:t>
              <w:br/>
              <w:t xml:space="preserve">    </w:t>
              <w:br/>
              <w:t xml:space="preserve">    @Role("GOVERNANCE")</w:t>
              <w:br/>
              <w:t xml:space="preserve">    func suspend(addr: Address, reason: bytes) { /* 暂停资格 */ }</w:t>
              <w:br/>
              <w:t xml:space="preserve">    </w:t>
              <w:br/>
              <w:t xml:space="preserve">    @Role("GOVERNANCE")</w:t>
              <w:br/>
              <w:t xml:space="preserve">    func ban(addr: Address, reason: bytes) { /* 永久封禁，罚没保证金 */ }</w:t>
              <w:br/>
              <w:t>}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1" w:id="21"/>
      <w:r>
        <w:rPr>
          <w:rFonts w:eastAsia="等线" w:ascii="Arial" w:cs="Arial" w:hAnsi="Arial"/>
          <w:b w:val="true"/>
          <w:sz w:val="30"/>
        </w:rPr>
        <w:t>3.2.2 宪法收据验证模块（UDM）</w:t>
      </w:r>
      <w:bookmarkEnd w:id="2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CBPP要求每笔交易必须附带CR，验证逻辑封装在UDM模块`0x00020001`中。L1节点在执行交易前，通过NVM指令`UDM_VALIDATE`调用该模块。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python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# NVM伪代码</w:t>
              <w:br/>
              <w:t>def validate_transaction_with_cr(tx):</w:t>
              <w:br/>
              <w:t xml:space="preserve">    cr = tx.receipt</w:t>
              <w:br/>
              <w:t xml:space="preserve">    # 1. 验证CR有效性（签名、宪法哈希、未过期）</w:t>
              <w:br/>
              <w:t xml:space="preserve">    if not udm_validate(0x00020001, 1, cr):</w:t>
              <w:br/>
              <w:t xml:space="preserve">        return ERROR_CR_INVALID</w:t>
              <w:br/>
              <w:t xml:space="preserve">    # 2. 验证交易哈希与CR中transaction_hash一致</w:t>
              <w:br/>
              <w:t xml:space="preserve">    if tx.hash != cr.transaction_hash:</w:t>
              <w:br/>
              <w:t xml:space="preserve">        return ERROR_TX_HASH_MISMATCH</w:t>
              <w:br/>
              <w:t xml:space="preserve">    # 3. 执行交易业务逻辑</w:t>
              <w:br/>
              <w:t xml:space="preserve">    return execute_tx(tx)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2" w:id="22"/>
      <w:r>
        <w:rPr>
          <w:rFonts w:eastAsia="等线" w:ascii="Arial" w:cs="Arial" w:hAnsi="Arial"/>
          <w:b w:val="true"/>
          <w:sz w:val="30"/>
        </w:rPr>
        <w:t>3.2.3 流体区块处理</w:t>
      </w:r>
      <w:bookmarkEnd w:id="2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区块构建</w:t>
      </w:r>
      <w:r>
        <w:rPr>
          <w:rFonts w:eastAsia="等线" w:ascii="Arial" w:cs="Arial" w:hAnsi="Arial"/>
          <w:sz w:val="22"/>
        </w:rPr>
        <w:t>：CBP节点调用`build_candidate_block`时，从mempool中按</w:t>
      </w:r>
      <w:r>
        <w:rPr>
          <w:rFonts w:eastAsia="等线" w:ascii="Arial" w:cs="Arial" w:hAnsi="Arial"/>
          <w:b w:val="true"/>
          <w:sz w:val="22"/>
        </w:rPr>
        <w:t>收据权重</w:t>
      </w:r>
      <w:r>
        <w:rPr>
          <w:rFonts w:eastAsia="等线" w:ascii="Arial" w:cs="Arial" w:hAnsi="Arial"/>
          <w:sz w:val="22"/>
        </w:rPr>
        <w:t>降序选取交易，直至达到当前`gas_limit`或交易耗尽。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区块验证</w:t>
      </w:r>
      <w:r>
        <w:rPr>
          <w:rFonts w:eastAsia="等线" w:ascii="Arial" w:cs="Arial" w:hAnsi="Arial"/>
          <w:sz w:val="22"/>
        </w:rPr>
        <w:t>：全节点验证区块时，并行验证所有交易的CR（使用NVM批量验证指令`UDM_BATCH_VALIDATE`），并检查区块头中的`receipt_root`是否与交易列表的默克尔根一致。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3" w:id="23"/>
      <w:r>
        <w:rPr>
          <w:rFonts w:eastAsia="等线" w:ascii="Arial" w:cs="Arial" w:hAnsi="Arial"/>
          <w:b w:val="true"/>
          <w:sz w:val="30"/>
        </w:rPr>
        <w:t>3.2.4 收据权重计算</w:t>
      </w:r>
      <w:bookmarkEnd w:id="2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func calculate_receipt_weight(tx: ConstitutionalTransaction) -&gt; uint64 {</w:t>
              <w:br/>
              <w:t xml:space="preserve">    let base_weight = 1000;</w:t>
              <w:br/>
              <w:t xml:space="preserve">    let fee_weight = tx.fee;        // 单位XIC</w:t>
              <w:br/>
              <w:t xml:space="preserve">    let type_weight = get_type_weight(tx.method_id); // 铸造/赎回/普通转账</w:t>
              <w:br/>
              <w:t xml:space="preserve">    let compliance_weight = get_compliance_weight(tx.cr.clause_index);</w:t>
              <w:br/>
              <w:t xml:space="preserve">    return base_weight + fee_weight + type_weight + compliance_weight;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权重参数通过宪法治理调整，存储在`CBPPWeightConfig`系统常量中。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4" w:id="24"/>
      <w:r>
        <w:rPr>
          <w:rFonts w:eastAsia="等线" w:ascii="Arial" w:cs="Arial" w:hAnsi="Arial"/>
          <w:b w:val="true"/>
          <w:sz w:val="32"/>
        </w:rPr>
        <w:t>3.3 宪法层：共识规则宪法化</w:t>
      </w:r>
      <w:bookmarkEnd w:id="2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CBPP的核心规则已固化为</w:t>
      </w:r>
      <w:r>
        <w:rPr>
          <w:rFonts w:eastAsia="等线" w:ascii="Arial" w:cs="Arial" w:hAnsi="Arial"/>
          <w:b w:val="true"/>
          <w:sz w:val="22"/>
        </w:rPr>
        <w:t>永恒条款</w:t>
      </w:r>
      <w:r>
        <w:rPr>
          <w:rFonts w:eastAsia="等线" w:ascii="Arial" w:cs="Arial" w:hAnsi="Arial"/>
          <w:sz w:val="22"/>
        </w:rPr>
        <w:t>或</w:t>
      </w:r>
      <w:r>
        <w:rPr>
          <w:rFonts w:eastAsia="等线" w:ascii="Arial" w:cs="Arial" w:hAnsi="Arial"/>
          <w:b w:val="true"/>
          <w:sz w:val="22"/>
        </w:rPr>
        <w:t>战略条款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905"/>
        <w:gridCol w:w="3180"/>
        <w:gridCol w:w="1530"/>
        <w:gridCol w:w="1650"/>
      </w:tblGrid>
      <w:tr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宪法条款ID</w:t>
            </w:r>
          </w:p>
        </w:tc>
        <w:tc>
          <w:tcPr>
            <w:tcW w:w="31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  <w:tc>
          <w:tcPr>
            <w:tcW w:w="15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层级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修改门槛</w:t>
            </w:r>
          </w:p>
        </w:tc>
      </w:tr>
      <w:tr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CONS_CR_MANDATORY</w:t>
            </w:r>
          </w:p>
        </w:tc>
        <w:tc>
          <w:tcPr>
            <w:tcW w:w="31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任何修改状态的操作必须附带CR</w:t>
            </w:r>
          </w:p>
        </w:tc>
        <w:tc>
          <w:tcPr>
            <w:tcW w:w="15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永恒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不可修改</w:t>
            </w:r>
          </w:p>
        </w:tc>
      </w:tr>
      <w:tr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CONS_CBP_KYC</w:t>
            </w:r>
          </w:p>
        </w:tc>
        <w:tc>
          <w:tcPr>
            <w:tcW w:w="31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CBP必须完成KYC L2+</w:t>
            </w:r>
          </w:p>
        </w:tc>
        <w:tc>
          <w:tcPr>
            <w:tcW w:w="15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75%</w:t>
            </w:r>
          </w:p>
        </w:tc>
      </w:tr>
      <w:tr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CONS_FLUID_BLOCK</w:t>
            </w:r>
          </w:p>
        </w:tc>
        <w:tc>
          <w:tcPr>
            <w:tcW w:w="31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区块必须遵循流体模型</w:t>
            </w:r>
          </w:p>
        </w:tc>
        <w:tc>
          <w:tcPr>
            <w:tcW w:w="15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66%</w:t>
            </w:r>
          </w:p>
        </w:tc>
      </w:tr>
      <w:tr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CONS_RECEIPT_WEIGHT</w:t>
            </w:r>
          </w:p>
        </w:tc>
        <w:tc>
          <w:tcPr>
            <w:tcW w:w="31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分叉选择以收据权重累计为准</w:t>
            </w:r>
          </w:p>
        </w:tc>
        <w:tc>
          <w:tcPr>
            <w:tcW w:w="15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66%</w:t>
            </w:r>
          </w:p>
        </w:tc>
      </w:tr>
      <w:tr>
        <w:tc>
          <w:tcPr>
            <w:tcW w:w="19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CONS_FORK_CHOICE</w:t>
            </w:r>
          </w:p>
        </w:tc>
        <w:tc>
          <w:tcPr>
            <w:tcW w:w="31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节点必须选择收据权重最高的链</w:t>
            </w:r>
          </w:p>
        </w:tc>
        <w:tc>
          <w:tcPr>
            <w:tcW w:w="15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战略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66%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宪法执行引擎（CEE）</w:t>
      </w:r>
      <w:r>
        <w:rPr>
          <w:rFonts w:eastAsia="等线" w:ascii="Arial" w:cs="Arial" w:hAnsi="Arial"/>
          <w:sz w:val="22"/>
        </w:rPr>
        <w:t>：CEE节点由宪法法院授权，运行开源验证逻辑，为XTZH铸造、黄金储备再平衡等高价值交易签发CR。CEE节点需质押100万XIC，其公钥列表存储于L1系统常量`CEE_PUBKEYS`。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5" w:id="25"/>
      <w:r>
        <w:rPr>
          <w:rFonts w:eastAsia="等线" w:ascii="Arial" w:cs="Arial" w:hAnsi="Arial"/>
          <w:b w:val="true"/>
          <w:sz w:val="36"/>
        </w:rPr>
        <w:t>4. CSNP与CBPP的三层协同效应</w:t>
      </w:r>
      <w:bookmarkEnd w:id="2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6" w:id="26"/>
      <w:r>
        <w:rPr>
          <w:rFonts w:eastAsia="等线" w:ascii="Arial" w:cs="Arial" w:hAnsi="Arial"/>
          <w:b w:val="true"/>
          <w:sz w:val="32"/>
        </w:rPr>
        <w:t>4.1 CBP骨干网（L0+L1）</w:t>
      </w:r>
      <w:bookmarkEnd w:id="26"/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L0</w:t>
      </w:r>
      <w:r>
        <w:rPr>
          <w:rFonts w:eastAsia="等线" w:ascii="Arial" w:cs="Arial" w:hAnsi="Arial"/>
          <w:sz w:val="22"/>
        </w:rPr>
        <w:t>：MA-RCM强制CBP节点间建立专用通道，提供区块传播的</w:t>
      </w:r>
      <w:r>
        <w:rPr>
          <w:rFonts w:eastAsia="等线" w:ascii="Arial" w:cs="Arial" w:hAnsi="Arial"/>
          <w:b w:val="true"/>
          <w:sz w:val="22"/>
        </w:rPr>
        <w:t>确定性低延迟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L1</w:t>
      </w:r>
      <w:r>
        <w:rPr>
          <w:rFonts w:eastAsia="等线" w:ascii="Arial" w:cs="Arial" w:hAnsi="Arial"/>
          <w:sz w:val="22"/>
        </w:rPr>
        <w:t>：CBPP将区块传播延迟纳入出块条件（`Δt_min`），与L0协同实现</w:t>
      </w:r>
      <w:r>
        <w:rPr>
          <w:rFonts w:eastAsia="等线" w:ascii="Arial" w:cs="Arial" w:hAnsi="Arial"/>
          <w:b w:val="true"/>
          <w:sz w:val="22"/>
        </w:rPr>
        <w:t>200-500ms交易确认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7" w:id="27"/>
      <w:r>
        <w:rPr>
          <w:rFonts w:eastAsia="等线" w:ascii="Arial" w:cs="Arial" w:hAnsi="Arial"/>
          <w:b w:val="true"/>
          <w:sz w:val="32"/>
        </w:rPr>
        <w:t>4.2 资产感知的共识（L0+L1）</w:t>
      </w:r>
      <w:bookmarkEnd w:id="27"/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L0</w:t>
      </w:r>
      <w:r>
        <w:rPr>
          <w:rFonts w:eastAsia="等线" w:ascii="Arial" w:cs="Arial" w:hAnsi="Arial"/>
          <w:sz w:val="22"/>
        </w:rPr>
        <w:t>：AA-PE根据GNACS编码标记交易优先级（1-8），高优先级交易进入L0发送高优先级队列。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L1</w:t>
      </w:r>
      <w:r>
        <w:rPr>
          <w:rFonts w:eastAsia="等线" w:ascii="Arial" w:cs="Arial" w:hAnsi="Arial"/>
          <w:sz w:val="22"/>
        </w:rPr>
        <w:t>：CBPP的收据权重计算引入`compliance_weight`，合规等级高的交易获得更高权重，激励CBP优先打包。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8" w:id="28"/>
      <w:r>
        <w:rPr>
          <w:rFonts w:eastAsia="等线" w:ascii="Arial" w:cs="Arial" w:hAnsi="Arial"/>
          <w:b w:val="true"/>
          <w:sz w:val="32"/>
        </w:rPr>
        <w:t>4.3 跨链最终性（L0+L1+宪法）</w:t>
      </w:r>
      <w:bookmarkEnd w:id="28"/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L0</w:t>
      </w:r>
      <w:r>
        <w:rPr>
          <w:rFonts w:eastAsia="等线" w:ascii="Arial" w:cs="Arial" w:hAnsi="Arial"/>
          <w:sz w:val="22"/>
        </w:rPr>
        <w:t>：UCA记录跨链中继行为，生成可验证收据。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L1</w:t>
      </w:r>
      <w:r>
        <w:rPr>
          <w:rFonts w:eastAsia="等线" w:ascii="Arial" w:cs="Arial" w:hAnsi="Arial"/>
          <w:sz w:val="22"/>
        </w:rPr>
        <w:t>：CBPP的</w:t>
      </w:r>
      <w:r>
        <w:rPr>
          <w:rFonts w:eastAsia="等线" w:ascii="Arial" w:cs="Arial" w:hAnsi="Arial"/>
          <w:b w:val="true"/>
          <w:sz w:val="22"/>
        </w:rPr>
        <w:t>检查点最终性</w:t>
      </w:r>
      <w:r>
        <w:rPr>
          <w:rFonts w:eastAsia="等线" w:ascii="Arial" w:cs="Arial" w:hAnsi="Arial"/>
          <w:sz w:val="22"/>
        </w:rPr>
        <w:t>机制允许每个纪元的末区块获得CBP BFT投票，投票证据通过CSNP跨链通道同步至目标链。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</w:t>
      </w:r>
      <w:r>
        <w:rPr>
          <w:rFonts w:eastAsia="等线" w:ascii="Arial" w:cs="Arial" w:hAnsi="Arial"/>
          <w:sz w:val="22"/>
        </w:rPr>
        <w:t>：跨链最终性协议规则（如投票阈值、超时）由宪法条款`CROSS_CHAIN_FINALITY`定义。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9" w:id="29"/>
      <w:r>
        <w:rPr>
          <w:rFonts w:eastAsia="等线" w:ascii="Arial" w:cs="Arial" w:hAnsi="Arial"/>
          <w:b w:val="true"/>
          <w:sz w:val="32"/>
        </w:rPr>
        <w:t>4.4 治理闭环</w:t>
      </w:r>
      <w:bookmarkEnd w:id="29"/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提案</w:t>
      </w:r>
      <w:r>
        <w:rPr>
          <w:rFonts w:eastAsia="等线" w:ascii="Arial" w:cs="Arial" w:hAnsi="Arial"/>
          <w:sz w:val="22"/>
        </w:rPr>
        <w:t>：社区成员在L2治理论坛发起修改`Δt_min`的提案。</w:t>
      </w:r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投票</w:t>
      </w:r>
      <w:r>
        <w:rPr>
          <w:rFonts w:eastAsia="等线" w:ascii="Arial" w:cs="Arial" w:hAnsi="Arial"/>
          <w:sz w:val="22"/>
        </w:rPr>
        <w:t>：XIC持有者通过二次方投票表决，赞成率≥66%。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执行</w:t>
      </w:r>
      <w:r>
        <w:rPr>
          <w:rFonts w:eastAsia="等线" w:ascii="Arial" w:cs="Arial" w:hAnsi="Arial"/>
          <w:sz w:val="22"/>
        </w:rPr>
        <w:t>：提案通过后，L1系统常量`CBPP_DT_MIN`自动更新，同时宪法哈希递增。</w:t>
      </w:r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同步</w:t>
      </w:r>
      <w:r>
        <w:rPr>
          <w:rFonts w:eastAsia="等线" w:ascii="Arial" w:cs="Arial" w:hAnsi="Arial"/>
          <w:sz w:val="22"/>
        </w:rPr>
        <w:t>：L0节点在下一纪元开始时读取新常量，MA-RCM、AA-PE等模块热加载新参数。</w:t>
      </w:r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审计</w:t>
      </w:r>
      <w:r>
        <w:rPr>
          <w:rFonts w:eastAsia="等线" w:ascii="Arial" w:cs="Arial" w:hAnsi="Arial"/>
          <w:sz w:val="22"/>
        </w:rPr>
        <w:t>：UCA记录整个治理过程的链上行为，供宪法法院监督。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0" w:id="30"/>
      <w:r>
        <w:rPr>
          <w:rFonts w:eastAsia="等线" w:ascii="Arial" w:cs="Arial" w:hAnsi="Arial"/>
          <w:b w:val="true"/>
          <w:sz w:val="36"/>
        </w:rPr>
        <w:t>5. 结论：三层架构下的宪政共识网络</w:t>
      </w:r>
      <w:bookmarkEnd w:id="3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CSNP与CBPP在NAC三层架构中的落地，标志着区块链共识与网络协议首次实现</w:t>
      </w:r>
      <w:r>
        <w:rPr>
          <w:rFonts w:eastAsia="等线" w:ascii="Arial" w:cs="Arial" w:hAnsi="Arial"/>
          <w:b w:val="true"/>
          <w:sz w:val="22"/>
        </w:rPr>
        <w:t>完整的宪政化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3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L0</w:t>
      </w:r>
      <w:r>
        <w:rPr>
          <w:rFonts w:eastAsia="等线" w:ascii="Arial" w:cs="Arial" w:hAnsi="Arial"/>
          <w:sz w:val="22"/>
        </w:rPr>
        <w:t xml:space="preserve"> 成为执行宪法规则的“物理手臂”，以极致效率保障数据传播与状态存储。</w:t>
      </w:r>
    </w:p>
    <w:p>
      <w:pPr>
        <w:numPr>
          <w:numId w:val="4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L1</w:t>
      </w:r>
      <w:r>
        <w:rPr>
          <w:rFonts w:eastAsia="等线" w:ascii="Arial" w:cs="Arial" w:hAnsi="Arial"/>
          <w:sz w:val="22"/>
        </w:rPr>
        <w:t xml:space="preserve"> 成为宪法规则的“数字神经系统”，通过可升级的合约与UDM模块，将宪法条款转化为自动执行的代码。</w:t>
      </w:r>
    </w:p>
    <w:p>
      <w:pPr>
        <w:numPr>
          <w:numId w:val="4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宪法层</w:t>
      </w:r>
      <w:r>
        <w:rPr>
          <w:rFonts w:eastAsia="等线" w:ascii="Arial" w:cs="Arial" w:hAnsi="Arial"/>
          <w:sz w:val="22"/>
        </w:rPr>
        <w:t xml:space="preserve"> 成为规则的“立法与司法大脑”，确保CSNP与CBPP始终运行在社区共识的轨道上。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这一三层架构不仅解决了传统区块链</w:t>
      </w:r>
      <w:r>
        <w:rPr>
          <w:rFonts w:eastAsia="等线" w:ascii="Arial" w:cs="Arial" w:hAnsi="Arial"/>
          <w:b w:val="true"/>
          <w:sz w:val="22"/>
        </w:rPr>
        <w:t>性能、安全、去中心化</w:t>
      </w:r>
      <w:r>
        <w:rPr>
          <w:rFonts w:eastAsia="等线" w:ascii="Arial" w:cs="Arial" w:hAnsi="Arial"/>
          <w:sz w:val="22"/>
        </w:rPr>
        <w:t>的不可能三角，更开创了</w:t>
      </w:r>
      <w:r>
        <w:rPr>
          <w:rFonts w:eastAsia="等线" w:ascii="Arial" w:cs="Arial" w:hAnsi="Arial"/>
          <w:b w:val="true"/>
          <w:sz w:val="22"/>
        </w:rPr>
        <w:t>合规、透明、可治理</w:t>
      </w:r>
      <w:r>
        <w:rPr>
          <w:rFonts w:eastAsia="等线" w:ascii="Arial" w:cs="Arial" w:hAnsi="Arial"/>
          <w:sz w:val="22"/>
        </w:rPr>
        <w:t>的新维度。它是“完美中心化框架下的去中心化”这一宪政理念在工程领域的终极实现。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：NAC共识层工作组 · 网络协议工作组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：正式发布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本白皮书与《CBPP技术白皮书》《CSNP V2.0技术白皮书》《宪法层升级规范》共同构成NAC公链共识与网络层的完整技术宪法。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671971">
    <w:lvl>
      <w:numFmt w:val="bullet"/>
      <w:suff w:val="tab"/>
      <w:lvlText w:val="•"/>
      <w:rPr>
        <w:color w:val="3370ff"/>
      </w:rPr>
    </w:lvl>
  </w:abstractNum>
  <w:abstractNum w:abstractNumId="2671972">
    <w:lvl>
      <w:numFmt w:val="bullet"/>
      <w:suff w:val="tab"/>
      <w:lvlText w:val="•"/>
      <w:rPr>
        <w:color w:val="3370ff"/>
      </w:rPr>
    </w:lvl>
  </w:abstractNum>
  <w:abstractNum w:abstractNumId="2671973">
    <w:lvl>
      <w:numFmt w:val="bullet"/>
      <w:suff w:val="tab"/>
      <w:lvlText w:val="•"/>
      <w:rPr>
        <w:color w:val="3370ff"/>
      </w:rPr>
    </w:lvl>
  </w:abstractNum>
  <w:abstractNum w:abstractNumId="2671974">
    <w:lvl>
      <w:numFmt w:val="bullet"/>
      <w:suff w:val="tab"/>
      <w:lvlText w:val="•"/>
      <w:rPr>
        <w:color w:val="3370ff"/>
      </w:rPr>
    </w:lvl>
  </w:abstractNum>
  <w:abstractNum w:abstractNumId="2671975">
    <w:lvl>
      <w:numFmt w:val="bullet"/>
      <w:suff w:val="tab"/>
      <w:lvlText w:val="•"/>
      <w:rPr>
        <w:color w:val="3370ff"/>
      </w:rPr>
    </w:lvl>
  </w:abstractNum>
  <w:abstractNum w:abstractNumId="2671976">
    <w:lvl>
      <w:numFmt w:val="bullet"/>
      <w:suff w:val="tab"/>
      <w:lvlText w:val="•"/>
      <w:rPr>
        <w:color w:val="3370ff"/>
      </w:rPr>
    </w:lvl>
  </w:abstractNum>
  <w:abstractNum w:abstractNumId="2671977">
    <w:lvl>
      <w:numFmt w:val="bullet"/>
      <w:suff w:val="tab"/>
      <w:lvlText w:val="•"/>
      <w:rPr>
        <w:color w:val="3370ff"/>
      </w:rPr>
    </w:lvl>
  </w:abstractNum>
  <w:abstractNum w:abstractNumId="2671978">
    <w:lvl>
      <w:numFmt w:val="bullet"/>
      <w:suff w:val="tab"/>
      <w:lvlText w:val="•"/>
      <w:rPr>
        <w:color w:val="3370ff"/>
      </w:rPr>
    </w:lvl>
  </w:abstractNum>
  <w:abstractNum w:abstractNumId="2671979">
    <w:lvl>
      <w:numFmt w:val="bullet"/>
      <w:suff w:val="tab"/>
      <w:lvlText w:val="•"/>
      <w:rPr>
        <w:color w:val="3370ff"/>
      </w:rPr>
    </w:lvl>
  </w:abstractNum>
  <w:abstractNum w:abstractNumId="2671980">
    <w:lvl>
      <w:numFmt w:val="bullet"/>
      <w:suff w:val="tab"/>
      <w:lvlText w:val="•"/>
      <w:rPr>
        <w:color w:val="3370ff"/>
      </w:rPr>
    </w:lvl>
  </w:abstractNum>
  <w:abstractNum w:abstractNumId="2671981">
    <w:lvl>
      <w:numFmt w:val="bullet"/>
      <w:suff w:val="tab"/>
      <w:lvlText w:val="•"/>
      <w:rPr>
        <w:color w:val="3370ff"/>
      </w:rPr>
    </w:lvl>
  </w:abstractNum>
  <w:abstractNum w:abstractNumId="2671982">
    <w:lvl>
      <w:numFmt w:val="bullet"/>
      <w:suff w:val="tab"/>
      <w:lvlText w:val="•"/>
      <w:rPr>
        <w:color w:val="3370ff"/>
      </w:rPr>
    </w:lvl>
  </w:abstractNum>
  <w:abstractNum w:abstractNumId="2671983">
    <w:lvl>
      <w:numFmt w:val="bullet"/>
      <w:suff w:val="tab"/>
      <w:lvlText w:val="•"/>
      <w:rPr>
        <w:color w:val="3370ff"/>
      </w:rPr>
    </w:lvl>
  </w:abstractNum>
  <w:abstractNum w:abstractNumId="2671984">
    <w:lvl>
      <w:numFmt w:val="bullet"/>
      <w:suff w:val="tab"/>
      <w:lvlText w:val="•"/>
      <w:rPr>
        <w:color w:val="3370ff"/>
      </w:rPr>
    </w:lvl>
  </w:abstractNum>
  <w:abstractNum w:abstractNumId="2671985">
    <w:lvl>
      <w:numFmt w:val="bullet"/>
      <w:suff w:val="tab"/>
      <w:lvlText w:val="•"/>
      <w:rPr>
        <w:color w:val="3370ff"/>
      </w:rPr>
    </w:lvl>
  </w:abstractNum>
  <w:abstractNum w:abstractNumId="2671986">
    <w:lvl>
      <w:numFmt w:val="bullet"/>
      <w:suff w:val="tab"/>
      <w:lvlText w:val="•"/>
      <w:rPr>
        <w:color w:val="3370ff"/>
      </w:rPr>
    </w:lvl>
  </w:abstractNum>
  <w:abstractNum w:abstractNumId="2671987">
    <w:lvl>
      <w:numFmt w:val="bullet"/>
      <w:suff w:val="tab"/>
      <w:lvlText w:val="•"/>
      <w:rPr>
        <w:color w:val="3370ff"/>
      </w:rPr>
    </w:lvl>
  </w:abstractNum>
  <w:abstractNum w:abstractNumId="2671988">
    <w:lvl>
      <w:numFmt w:val="bullet"/>
      <w:suff w:val="tab"/>
      <w:lvlText w:val="•"/>
      <w:rPr>
        <w:color w:val="3370ff"/>
      </w:rPr>
    </w:lvl>
  </w:abstractNum>
  <w:abstractNum w:abstractNumId="2671989">
    <w:lvl>
      <w:numFmt w:val="bullet"/>
      <w:suff w:val="tab"/>
      <w:lvlText w:val="•"/>
      <w:rPr>
        <w:color w:val="3370ff"/>
      </w:rPr>
    </w:lvl>
  </w:abstractNum>
  <w:abstractNum w:abstractNumId="2671990">
    <w:lvl>
      <w:numFmt w:val="bullet"/>
      <w:suff w:val="tab"/>
      <w:lvlText w:val="•"/>
      <w:rPr>
        <w:color w:val="3370ff"/>
      </w:rPr>
    </w:lvl>
  </w:abstractNum>
  <w:abstractNum w:abstractNumId="2671991">
    <w:lvl>
      <w:numFmt w:val="bullet"/>
      <w:suff w:val="tab"/>
      <w:lvlText w:val="•"/>
      <w:rPr>
        <w:color w:val="3370ff"/>
      </w:rPr>
    </w:lvl>
  </w:abstractNum>
  <w:abstractNum w:abstractNumId="2671992">
    <w:lvl>
      <w:numFmt w:val="bullet"/>
      <w:suff w:val="tab"/>
      <w:lvlText w:val="•"/>
      <w:rPr>
        <w:color w:val="3370ff"/>
      </w:rPr>
    </w:lvl>
  </w:abstractNum>
  <w:abstractNum w:abstractNumId="2671993">
    <w:lvl>
      <w:numFmt w:val="bullet"/>
      <w:suff w:val="tab"/>
      <w:lvlText w:val="•"/>
      <w:rPr>
        <w:color w:val="3370ff"/>
      </w:rPr>
    </w:lvl>
  </w:abstractNum>
  <w:abstractNum w:abstractNumId="2671994">
    <w:lvl>
      <w:numFmt w:val="bullet"/>
      <w:suff w:val="tab"/>
      <w:lvlText w:val="•"/>
      <w:rPr>
        <w:color w:val="3370ff"/>
      </w:rPr>
    </w:lvl>
  </w:abstractNum>
  <w:abstractNum w:abstractNumId="2671995">
    <w:lvl>
      <w:numFmt w:val="bullet"/>
      <w:suff w:val="tab"/>
      <w:lvlText w:val="•"/>
      <w:rPr>
        <w:color w:val="3370ff"/>
      </w:rPr>
    </w:lvl>
  </w:abstractNum>
  <w:abstractNum w:abstractNumId="2671996">
    <w:lvl>
      <w:numFmt w:val="bullet"/>
      <w:suff w:val="tab"/>
      <w:lvlText w:val="•"/>
      <w:rPr>
        <w:color w:val="3370ff"/>
      </w:rPr>
    </w:lvl>
  </w:abstractNum>
  <w:abstractNum w:abstractNumId="2671997">
    <w:lvl>
      <w:numFmt w:val="bullet"/>
      <w:suff w:val="tab"/>
      <w:lvlText w:val="•"/>
      <w:rPr>
        <w:color w:val="3370ff"/>
      </w:rPr>
    </w:lvl>
  </w:abstractNum>
  <w:abstractNum w:abstractNumId="2671998">
    <w:lvl>
      <w:numFmt w:val="bullet"/>
      <w:suff w:val="tab"/>
      <w:lvlText w:val="•"/>
      <w:rPr>
        <w:color w:val="3370ff"/>
      </w:rPr>
    </w:lvl>
  </w:abstractNum>
  <w:abstractNum w:abstractNumId="2671999">
    <w:lvl>
      <w:numFmt w:val="bullet"/>
      <w:suff w:val="tab"/>
      <w:lvlText w:val="•"/>
      <w:rPr>
        <w:color w:val="3370ff"/>
      </w:rPr>
    </w:lvl>
  </w:abstractNum>
  <w:abstractNum w:abstractNumId="2672000">
    <w:lvl>
      <w:numFmt w:val="bullet"/>
      <w:suff w:val="tab"/>
      <w:lvlText w:val="•"/>
      <w:rPr>
        <w:color w:val="3370ff"/>
      </w:rPr>
    </w:lvl>
  </w:abstractNum>
  <w:abstractNum w:abstractNumId="2672001">
    <w:lvl>
      <w:numFmt w:val="bullet"/>
      <w:suff w:val="tab"/>
      <w:lvlText w:val="•"/>
      <w:rPr>
        <w:color w:val="3370ff"/>
      </w:rPr>
    </w:lvl>
  </w:abstractNum>
  <w:abstractNum w:abstractNumId="2672002">
    <w:lvl>
      <w:numFmt w:val="bullet"/>
      <w:suff w:val="tab"/>
      <w:lvlText w:val="•"/>
      <w:rPr>
        <w:color w:val="3370ff"/>
      </w:rPr>
    </w:lvl>
  </w:abstractNum>
  <w:abstractNum w:abstractNumId="2672003">
    <w:lvl>
      <w:numFmt w:val="bullet"/>
      <w:suff w:val="tab"/>
      <w:lvlText w:val="•"/>
      <w:rPr>
        <w:color w:val="3370ff"/>
      </w:rPr>
    </w:lvl>
  </w:abstractNum>
  <w:abstractNum w:abstractNumId="2672004">
    <w:lvl>
      <w:start w:val="1"/>
      <w:numFmt w:val="decimal"/>
      <w:suff w:val="tab"/>
      <w:lvlText w:val="%1."/>
      <w:rPr>
        <w:color w:val="3370ff"/>
      </w:rPr>
    </w:lvl>
  </w:abstractNum>
  <w:abstractNum w:abstractNumId="2672005">
    <w:lvl>
      <w:start w:val="2"/>
      <w:numFmt w:val="decimal"/>
      <w:suff w:val="tab"/>
      <w:lvlText w:val="%1."/>
      <w:rPr>
        <w:color w:val="3370ff"/>
      </w:rPr>
    </w:lvl>
  </w:abstractNum>
  <w:abstractNum w:abstractNumId="2672006">
    <w:lvl>
      <w:start w:val="3"/>
      <w:numFmt w:val="decimal"/>
      <w:suff w:val="tab"/>
      <w:lvlText w:val="%1."/>
      <w:rPr>
        <w:color w:val="3370ff"/>
      </w:rPr>
    </w:lvl>
  </w:abstractNum>
  <w:abstractNum w:abstractNumId="2672007">
    <w:lvl>
      <w:start w:val="4"/>
      <w:numFmt w:val="decimal"/>
      <w:suff w:val="tab"/>
      <w:lvlText w:val="%1."/>
      <w:rPr>
        <w:color w:val="3370ff"/>
      </w:rPr>
    </w:lvl>
  </w:abstractNum>
  <w:abstractNum w:abstractNumId="2672008">
    <w:lvl>
      <w:start w:val="5"/>
      <w:numFmt w:val="decimal"/>
      <w:suff w:val="tab"/>
      <w:lvlText w:val="%1."/>
      <w:rPr>
        <w:color w:val="3370ff"/>
      </w:rPr>
    </w:lvl>
  </w:abstractNum>
  <w:abstractNum w:abstractNumId="2672009">
    <w:lvl>
      <w:numFmt w:val="bullet"/>
      <w:suff w:val="tab"/>
      <w:lvlText w:val="•"/>
      <w:rPr>
        <w:color w:val="3370ff"/>
      </w:rPr>
    </w:lvl>
  </w:abstractNum>
  <w:abstractNum w:abstractNumId="2672010">
    <w:lvl>
      <w:numFmt w:val="bullet"/>
      <w:suff w:val="tab"/>
      <w:lvlText w:val="•"/>
      <w:rPr>
        <w:color w:val="3370ff"/>
      </w:rPr>
    </w:lvl>
  </w:abstractNum>
  <w:abstractNum w:abstractNumId="2672011">
    <w:lvl>
      <w:numFmt w:val="bullet"/>
      <w:suff w:val="tab"/>
      <w:lvlText w:val="•"/>
      <w:rPr>
        <w:color w:val="3370ff"/>
      </w:rPr>
    </w:lvl>
  </w:abstractNum>
  <w:num w:numId="1">
    <w:abstractNumId w:val="2671971"/>
  </w:num>
  <w:num w:numId="2">
    <w:abstractNumId w:val="2671972"/>
  </w:num>
  <w:num w:numId="3">
    <w:abstractNumId w:val="2671973"/>
  </w:num>
  <w:num w:numId="4">
    <w:abstractNumId w:val="2671974"/>
  </w:num>
  <w:num w:numId="5">
    <w:abstractNumId w:val="2671975"/>
  </w:num>
  <w:num w:numId="6">
    <w:abstractNumId w:val="2671976"/>
  </w:num>
  <w:num w:numId="7">
    <w:abstractNumId w:val="2671977"/>
  </w:num>
  <w:num w:numId="8">
    <w:abstractNumId w:val="2671978"/>
  </w:num>
  <w:num w:numId="9">
    <w:abstractNumId w:val="2671979"/>
  </w:num>
  <w:num w:numId="10">
    <w:abstractNumId w:val="2671980"/>
  </w:num>
  <w:num w:numId="11">
    <w:abstractNumId w:val="2671981"/>
  </w:num>
  <w:num w:numId="12">
    <w:abstractNumId w:val="2671982"/>
  </w:num>
  <w:num w:numId="13">
    <w:abstractNumId w:val="2671983"/>
  </w:num>
  <w:num w:numId="14">
    <w:abstractNumId w:val="2671984"/>
  </w:num>
  <w:num w:numId="15">
    <w:abstractNumId w:val="2671985"/>
  </w:num>
  <w:num w:numId="16">
    <w:abstractNumId w:val="2671986"/>
  </w:num>
  <w:num w:numId="17">
    <w:abstractNumId w:val="2671987"/>
  </w:num>
  <w:num w:numId="18">
    <w:abstractNumId w:val="2671988"/>
  </w:num>
  <w:num w:numId="19">
    <w:abstractNumId w:val="2671989"/>
  </w:num>
  <w:num w:numId="20">
    <w:abstractNumId w:val="2671990"/>
  </w:num>
  <w:num w:numId="21">
    <w:abstractNumId w:val="2671991"/>
  </w:num>
  <w:num w:numId="22">
    <w:abstractNumId w:val="2671992"/>
  </w:num>
  <w:num w:numId="23">
    <w:abstractNumId w:val="2671993"/>
  </w:num>
  <w:num w:numId="24">
    <w:abstractNumId w:val="2671994"/>
  </w:num>
  <w:num w:numId="25">
    <w:abstractNumId w:val="2671995"/>
  </w:num>
  <w:num w:numId="26">
    <w:abstractNumId w:val="2671996"/>
  </w:num>
  <w:num w:numId="27">
    <w:abstractNumId w:val="2671997"/>
  </w:num>
  <w:num w:numId="28">
    <w:abstractNumId w:val="2671998"/>
  </w:num>
  <w:num w:numId="29">
    <w:abstractNumId w:val="2671999"/>
  </w:num>
  <w:num w:numId="30">
    <w:abstractNumId w:val="2672000"/>
  </w:num>
  <w:num w:numId="31">
    <w:abstractNumId w:val="2672001"/>
  </w:num>
  <w:num w:numId="32">
    <w:abstractNumId w:val="2672002"/>
  </w:num>
  <w:num w:numId="33">
    <w:abstractNumId w:val="2672003"/>
  </w:num>
  <w:num w:numId="34">
    <w:abstractNumId w:val="2672004"/>
  </w:num>
  <w:num w:numId="35">
    <w:abstractNumId w:val="2672005"/>
  </w:num>
  <w:num w:numId="36">
    <w:abstractNumId w:val="2672006"/>
  </w:num>
  <w:num w:numId="37">
    <w:abstractNumId w:val="2672007"/>
  </w:num>
  <w:num w:numId="38">
    <w:abstractNumId w:val="2672008"/>
  </w:num>
  <w:num w:numId="39">
    <w:abstractNumId w:val="2672009"/>
  </w:num>
  <w:num w:numId="40">
    <w:abstractNumId w:val="2672010"/>
  </w:num>
  <w:num w:numId="41">
    <w:abstractNumId w:val="2672011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2026-02-12T20:57:11Z</dcterms:created>
  <dc:creator>Apache POI</dc:creator>
</cp:coreProperties>
</file>