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Charter 语言规范扩展：XTZH 汇率系统原生支持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——编译器语义与标准库定义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  <w:br/>
      </w:r>
      <w:r>
        <w:rPr>
          <w:rFonts w:eastAsia="等线" w:ascii="Arial" w:cs="Arial" w:hAnsi="Arial"/>
          <w:b w:val="true"/>
          <w:sz w:val="22"/>
        </w:rPr>
        <w:t>关联规范</w:t>
      </w:r>
      <w:r>
        <w:rPr>
          <w:rFonts w:eastAsia="等线" w:ascii="Arial" w:cs="Arial" w:hAnsi="Arial"/>
          <w:sz w:val="22"/>
        </w:rPr>
        <w:t xml:space="preserve">：UDM v2.0（模块 </w:t>
      </w:r>
      <w:r>
        <w:rPr>
          <w:rFonts w:eastAsia="Consolas" w:ascii="Consolas" w:cs="Consolas" w:hAnsi="Consolas"/>
          <w:sz w:val="22"/>
          <w:shd w:fill="EFF0F1"/>
        </w:rPr>
        <w:t>0x00030001</w:t>
      </w:r>
      <w:r>
        <w:rPr>
          <w:rFonts w:eastAsia="等线" w:ascii="Arial" w:cs="Arial" w:hAnsi="Arial"/>
          <w:sz w:val="22"/>
        </w:rPr>
        <w:t xml:space="preserve">）、NVM v2.1（指令 </w:t>
      </w:r>
      <w:r>
        <w:rPr>
          <w:rFonts w:eastAsia="Consolas" w:ascii="Consolas" w:cs="Consolas" w:hAnsi="Consolas"/>
          <w:sz w:val="22"/>
          <w:shd w:fill="EFF0F1"/>
        </w:rPr>
        <w:t>0xF0</w:t>
      </w:r>
      <w:r>
        <w:rPr>
          <w:rFonts w:eastAsia="等线" w:ascii="Arial" w:cs="Arial" w:hAnsi="Arial"/>
          <w:sz w:val="22"/>
        </w:rPr>
        <w:t>–</w:t>
      </w:r>
      <w:r>
        <w:rPr>
          <w:rFonts w:eastAsia="Consolas" w:ascii="Consolas" w:cs="Consolas" w:hAnsi="Consolas"/>
          <w:sz w:val="22"/>
          <w:shd w:fill="EFF0F1"/>
        </w:rPr>
        <w:t>0xF7</w:t>
      </w:r>
      <w:r>
        <w:rPr>
          <w:rFonts w:eastAsia="等线" w:ascii="Arial" w:cs="Arial" w:hAnsi="Arial"/>
          <w:sz w:val="22"/>
        </w:rPr>
        <w:t>）</w:t>
        <w:br/>
      </w: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 语言设计委员会</w:t>
        <w:br/>
      </w: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：2026年2月12日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1. 设计原则</w:t>
      </w:r>
      <w:bookmarkEnd w:id="0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零成本抽象</w:t>
      </w:r>
      <w:r>
        <w:rPr>
          <w:rFonts w:eastAsia="等线" w:ascii="Arial" w:cs="Arial" w:hAnsi="Arial"/>
          <w:sz w:val="22"/>
        </w:rPr>
        <w:t>：所有汇率相关操作均直接映射为 1–2 条 NVM 指令，无运行时开销。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静态可验证</w:t>
      </w:r>
      <w:r>
        <w:rPr>
          <w:rFonts w:eastAsia="等线" w:ascii="Arial" w:cs="Arial" w:hAnsi="Arial"/>
          <w:sz w:val="22"/>
        </w:rPr>
        <w:t>：角色权限、系统调用、收据合法性等约束均在编译期检查。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声明式语义</w:t>
      </w:r>
      <w:r>
        <w:rPr>
          <w:rFonts w:eastAsia="等线" w:ascii="Arial" w:cs="Arial" w:hAnsi="Arial"/>
          <w:sz w:val="22"/>
        </w:rPr>
        <w:t>：使用修饰器（</w:t>
      </w:r>
      <w:r>
        <w:rPr>
          <w:rFonts w:eastAsia="Consolas" w:ascii="Consolas" w:cs="Consolas" w:hAnsi="Consolas"/>
          <w:sz w:val="22"/>
          <w:shd w:fill="EFF0F1"/>
        </w:rPr>
        <w:t>@</w:t>
      </w:r>
      <w:r>
        <w:rPr>
          <w:rFonts w:eastAsia="等线" w:ascii="Arial" w:cs="Arial" w:hAnsi="Arial"/>
          <w:sz w:val="22"/>
        </w:rPr>
        <w:t>）而非内联汇编表达系统级意图。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渐进式暴露</w:t>
      </w:r>
      <w:r>
        <w:rPr>
          <w:rFonts w:eastAsia="等线" w:ascii="Arial" w:cs="Arial" w:hAnsi="Arial"/>
          <w:sz w:val="22"/>
        </w:rPr>
        <w:t xml:space="preserve">：普通开发者只需调用 </w:t>
      </w:r>
      <w:r>
        <w:rPr>
          <w:rFonts w:eastAsia="Consolas" w:ascii="Consolas" w:cs="Consolas" w:hAnsi="Consolas"/>
          <w:sz w:val="22"/>
          <w:shd w:fill="EFF0F1"/>
        </w:rPr>
        <w:t>xtzh::get_rate()</w:t>
      </w:r>
      <w:r>
        <w:rPr>
          <w:rFonts w:eastAsia="等线" w:ascii="Arial" w:cs="Arial" w:hAnsi="Arial"/>
          <w:sz w:val="22"/>
        </w:rPr>
        <w:t>；高级开发者可访问底层密码学原语。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2. 内置类型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 xml:space="preserve">2.1 </w:t>
      </w:r>
      <w:r>
        <w:rPr>
          <w:rFonts w:eastAsia="Consolas" w:ascii="Consolas" w:cs="Consolas" w:hAnsi="Consolas"/>
          <w:b w:val="true"/>
          <w:sz w:val="32"/>
          <w:shd w:fill="EFF0F1"/>
        </w:rPr>
        <w:t>XTZHRate</w:t>
      </w:r>
      <w:r>
        <w:rPr>
          <w:rFonts w:eastAsia="等线" w:ascii="Arial" w:cs="Arial" w:hAnsi="Arial"/>
          <w:b w:val="true"/>
          <w:sz w:val="32"/>
        </w:rPr>
        <w:t xml:space="preserve"> —— 汇率记录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/// XTZH 汇率快照（系统状态树持久化）</w:t>
              <w:br/>
              <w:t>public struct XTZHRate {</w:t>
              <w:br/>
              <w:t xml:space="preserve">    /// 数据时间戳（Unix 秒，UTC 12:00）</w:t>
              <w:br/>
              <w:t xml:space="preserve">    timestamp: uint64,</w:t>
              <w:br/>
              <w:t xml:space="preserve">    </w:t>
              <w:br/>
              <w:t xml:space="preserve">    /// 1 XTZH = ? SDR，定点数 1e6 精度（即 1_000000 = 1.0 SDR）</w:t>
              <w:br/>
              <w:t xml:space="preserve">    rate_sdr: uint64,</w:t>
              <w:br/>
              <w:t xml:space="preserve">    </w:t>
              <w:br/>
              <w:t xml:space="preserve">    /// 1 XTZH = ? USD，定点数 1e6 精度</w:t>
              <w:br/>
              <w:t xml:space="preserve">    rate_usd: uint64,</w:t>
              <w:br/>
              <w:t xml:space="preserve">    </w:t>
              <w:br/>
              <w:t xml:space="preserve">    /// 纪元编号 = timestamp / 86400</w:t>
              <w:br/>
              <w:t xml:space="preserve">    epoch: uint64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语义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XTZHRate</w:t>
      </w:r>
      <w:r>
        <w:rPr>
          <w:rFonts w:eastAsia="等线" w:ascii="Arial" w:cs="Arial" w:hAnsi="Arial"/>
          <w:sz w:val="22"/>
        </w:rPr>
        <w:t xml:space="preserve"> 是</w:t>
      </w:r>
      <w:r>
        <w:rPr>
          <w:rFonts w:eastAsia="等线" w:ascii="Arial" w:cs="Arial" w:hAnsi="Arial"/>
          <w:b w:val="true"/>
          <w:sz w:val="22"/>
        </w:rPr>
        <w:t>值类型</w:t>
      </w:r>
      <w:r>
        <w:rPr>
          <w:rFonts w:eastAsia="等线" w:ascii="Arial" w:cs="Arial" w:hAnsi="Arial"/>
          <w:sz w:val="22"/>
        </w:rPr>
        <w:t>（栈传递，无所有权）。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两个 </w:t>
      </w:r>
      <w:r>
        <w:rPr>
          <w:rFonts w:eastAsia="Consolas" w:ascii="Consolas" w:cs="Consolas" w:hAnsi="Consolas"/>
          <w:sz w:val="22"/>
          <w:shd w:fill="EFF0F1"/>
        </w:rPr>
        <w:t>XTZHRate</w:t>
      </w:r>
      <w:r>
        <w:rPr>
          <w:rFonts w:eastAsia="等线" w:ascii="Arial" w:cs="Arial" w:hAnsi="Arial"/>
          <w:sz w:val="22"/>
        </w:rPr>
        <w:t xml:space="preserve"> 实例相等当且仅当所有字段相等。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不可变（所有字段只读）。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编译器映射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该类型的内存布局与 NVM 系统状态树中存储的记录完全一致，无装箱开销。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 xml:space="preserve">2.2 </w:t>
      </w:r>
      <w:r>
        <w:rPr>
          <w:rFonts w:eastAsia="Consolas" w:ascii="Consolas" w:cs="Consolas" w:hAnsi="Consolas"/>
          <w:b w:val="true"/>
          <w:sz w:val="32"/>
          <w:shd w:fill="EFF0F1"/>
        </w:rPr>
        <w:t>ConstitutionalReceipt</w:t>
      </w:r>
      <w:r>
        <w:rPr>
          <w:rFonts w:eastAsia="等线" w:ascii="Arial" w:cs="Arial" w:hAnsi="Arial"/>
          <w:b w:val="true"/>
          <w:sz w:val="32"/>
        </w:rPr>
        <w:t xml:space="preserve"> —— 宪法收据（系统内部）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/// 宪法收据 —— 仅用于系统级交易，普通合约不可构造</w:t>
              <w:br/>
              <w:t>@system</w:t>
              <w:br/>
              <w:t>public struct ConstitutionalReceipt {</w:t>
              <w:br/>
              <w:t xml:space="preserve">    // 内部字段对普通合约不可见</w:t>
              <w:br/>
              <w:t xml:space="preserve">    @builtin</w:t>
              <w:br/>
              <w:t xml:space="preserve">    internal raw: bytes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语义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标记 </w:t>
      </w:r>
      <w:r>
        <w:rPr>
          <w:rFonts w:eastAsia="Consolas" w:ascii="Consolas" w:cs="Consolas" w:hAnsi="Consolas"/>
          <w:sz w:val="22"/>
          <w:shd w:fill="EFF0F1"/>
        </w:rPr>
        <w:t>@system</w:t>
      </w:r>
      <w:r>
        <w:rPr>
          <w:rFonts w:eastAsia="等线" w:ascii="Arial" w:cs="Arial" w:hAnsi="Arial"/>
          <w:sz w:val="22"/>
        </w:rPr>
        <w:t xml:space="preserve"> 表示该类型</w:t>
      </w:r>
      <w:r>
        <w:rPr>
          <w:rFonts w:eastAsia="等线" w:ascii="Arial" w:cs="Arial" w:hAnsi="Arial"/>
          <w:b w:val="true"/>
          <w:sz w:val="22"/>
        </w:rPr>
        <w:t>只能由系统合约或编译器内置函数生成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普通代码无法直接创建或修改 </w:t>
      </w:r>
      <w:r>
        <w:rPr>
          <w:rFonts w:eastAsia="Consolas" w:ascii="Consolas" w:cs="Consolas" w:hAnsi="Consolas"/>
          <w:sz w:val="22"/>
          <w:shd w:fill="EFF0F1"/>
        </w:rPr>
        <w:t>ConstitutionalReceipt</w:t>
      </w:r>
      <w:r>
        <w:rPr>
          <w:rFonts w:eastAsia="等线" w:ascii="Arial" w:cs="Arial" w:hAnsi="Arial"/>
          <w:sz w:val="22"/>
        </w:rPr>
        <w:t xml:space="preserve"> 实例。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作为参数传递给需要宪法收据的系统函数（如 </w:t>
      </w:r>
      <w:r>
        <w:rPr>
          <w:rFonts w:eastAsia="Consolas" w:ascii="Consolas" w:cs="Consolas" w:hAnsi="Consolas"/>
          <w:sz w:val="22"/>
          <w:shd w:fill="EFF0F1"/>
        </w:rPr>
        <w:t>xtzh::submit_rate</w:t>
      </w:r>
      <w:r>
        <w:rPr>
          <w:rFonts w:eastAsia="等线" w:ascii="Arial" w:cs="Arial" w:hAnsi="Arial"/>
          <w:sz w:val="22"/>
        </w:rPr>
        <w:t>）。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3. 内置函数（编译器直接内联）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所有内置函数均定义在全局命名空间 </w:t>
      </w:r>
      <w:r>
        <w:rPr>
          <w:rFonts w:eastAsia="Consolas" w:ascii="Consolas" w:cs="Consolas" w:hAnsi="Consolas"/>
          <w:sz w:val="22"/>
          <w:shd w:fill="EFF0F1"/>
        </w:rPr>
        <w:t>__builtin</w:t>
      </w:r>
      <w:r>
        <w:rPr>
          <w:rFonts w:eastAsia="等线" w:ascii="Arial" w:cs="Arial" w:hAnsi="Arial"/>
          <w:sz w:val="22"/>
        </w:rPr>
        <w:t xml:space="preserve"> 中，并通过标准库暴露。编译器在遇到这些函数时直接生成对应的 NVM 指令序列。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内置函数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对应 NVM 指令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说明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__builtin_xtzh_get_rate(epoch: uint64) -&gt; (uint64,uint64,uint64,uint64)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XTZH_GET_RATE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获取汇率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__builtin_xtzh_compose_rate(...)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XTZH_COMPOSE_RATE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预言机专用，计算汇率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__builtin_bls_verify_aggregated(...)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BLS_VERIFY_AGGREGATED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BLS 聚合签名验证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__builtin_zk_verify_groth16(...)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ZK_VERIFY_GROTH16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zkSNARK </w:t>
            </w:r>
            <w:r>
              <w:rPr>
                <w:rFonts w:eastAsia="等线" w:ascii="Arial" w:cs="Arial" w:hAnsi="Arial"/>
                <w:sz w:val="22"/>
              </w:rPr>
              <w:t>验证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__builtin_tee_verify_nvidia(...)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TEE_VERIFY_NVIDIA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TEE 认证验证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__builtin_system_state_write(key: bytes, value: bytes)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SYSTEM_STATE_WRITE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仅 CBP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__builtin_system_state_read(key: bytes) -&gt; bytes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SYSTEM_STATE_READ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读取系统状态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__builtin_udm_validate(module_id: uint32, version: uint16, data: bytes) -&gt; bool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（内嵌 Wasm）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调用 UDM 验证器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4. 标准库设计（</w:t>
      </w:r>
      <w:r>
        <w:rPr>
          <w:rFonts w:eastAsia="Consolas" w:ascii="Consolas" w:cs="Consolas" w:hAnsi="Consolas"/>
          <w:b w:val="true"/>
          <w:sz w:val="36"/>
          <w:shd w:fill="EFF0F1"/>
        </w:rPr>
        <w:t>xtzh</w:t>
      </w:r>
      <w:r>
        <w:rPr>
          <w:rFonts w:eastAsia="等线" w:ascii="Arial" w:cs="Arial" w:hAnsi="Arial"/>
          <w:b w:val="true"/>
          <w:sz w:val="36"/>
        </w:rPr>
        <w:t xml:space="preserve"> 命名空间）</w:t>
      </w:r>
      <w:bookmarkEnd w:id="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 xml:space="preserve">4.1 核心汇率模块 —— </w:t>
      </w:r>
      <w:r>
        <w:rPr>
          <w:rFonts w:eastAsia="Consolas" w:ascii="Consolas" w:cs="Consolas" w:hAnsi="Consolas"/>
          <w:b w:val="true"/>
          <w:sz w:val="32"/>
          <w:shd w:fill="EFF0F1"/>
        </w:rPr>
        <w:t>xtzh/rate.charter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xtzh/rate.charter</w:t>
              <w:br/>
              <w:t>// XTZH 汇率查询接口（所有合约可用）</w:t>
              <w:br/>
              <w:br/>
              <w:t>use __builtin;</w:t>
              <w:br/>
              <w:br/>
              <w:t>/// 获取当前最新 XTZH 汇率</w:t>
              <w:br/>
              <w:t>public func get_rate() -&gt; XTZHRate {</w:t>
              <w:br/>
              <w:t xml:space="preserve">    let (sdr, usd, ts, epoch) = __builtin_xtzh_get_rate(0);</w:t>
              <w:br/>
              <w:t xml:space="preserve">    return XTZHRate {</w:t>
              <w:br/>
              <w:t xml:space="preserve">        timestamp: ts,</w:t>
              <w:br/>
              <w:t xml:space="preserve">        rate_sdr: sdr,</w:t>
              <w:br/>
              <w:t xml:space="preserve">        rate_usd: usd,</w:t>
              <w:br/>
              <w:t xml:space="preserve">        epoch: epoch</w:t>
              <w:br/>
              <w:t xml:space="preserve">    };</w:t>
              <w:br/>
              <w:t>}</w:t>
              <w:br/>
              <w:br/>
              <w:t>/// 获取指定纪元的 XTZH 汇率（历史汇率）</w:t>
              <w:br/>
              <w:t>public func get_rate_by_epoch(epoch: uint64) -&gt; Option&lt;XTZHRate&gt; {</w:t>
              <w:br/>
              <w:t xml:space="preserve">    let (sdr, usd, ts, e) = __builtin_xtzh_get_rate(epoch);</w:t>
              <w:br/>
              <w:t xml:space="preserve">    if e == 0 { return None; }</w:t>
              <w:br/>
              <w:t xml:space="preserve">    return Some(XTZHRate {</w:t>
              <w:br/>
              <w:t xml:space="preserve">        timestamp: ts,</w:t>
              <w:br/>
              <w:t xml:space="preserve">        rate_sdr: sdr,</w:t>
              <w:br/>
              <w:t xml:space="preserve">        rate_usd: usd,</w:t>
              <w:br/>
              <w:t xml:space="preserve">        epoch: e</w:t>
              <w:br/>
              <w:t xml:space="preserve">    });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语义保证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编译器确保 </w:t>
      </w:r>
      <w:r>
        <w:rPr>
          <w:rFonts w:eastAsia="Consolas" w:ascii="Consolas" w:cs="Consolas" w:hAnsi="Consolas"/>
          <w:sz w:val="22"/>
          <w:shd w:fill="EFF0F1"/>
        </w:rPr>
        <w:t>__builtin_xtzh_get_rate</w:t>
      </w:r>
      <w:r>
        <w:rPr>
          <w:rFonts w:eastAsia="等线" w:ascii="Arial" w:cs="Arial" w:hAnsi="Arial"/>
          <w:sz w:val="22"/>
        </w:rPr>
        <w:t xml:space="preserve"> 仅被调用一次，结果缓存在当前栈帧（若同一函数内多次调用，自动优化）。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get_rate()</w:t>
      </w:r>
      <w:r>
        <w:rPr>
          <w:rFonts w:eastAsia="等线" w:ascii="Arial" w:cs="Arial" w:hAnsi="Arial"/>
          <w:sz w:val="22"/>
        </w:rPr>
        <w:t xml:space="preserve"> 是</w:t>
      </w:r>
      <w:r>
        <w:rPr>
          <w:rFonts w:eastAsia="等线" w:ascii="Arial" w:cs="Arial" w:hAnsi="Arial"/>
          <w:b w:val="true"/>
          <w:sz w:val="22"/>
        </w:rPr>
        <w:t>纯视图函数</w:t>
      </w:r>
      <w:r>
        <w:rPr>
          <w:rFonts w:eastAsia="等线" w:ascii="Arial" w:cs="Arial" w:hAnsi="Arial"/>
          <w:sz w:val="22"/>
        </w:rPr>
        <w:t>，不修改状态。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 xml:space="preserve">4.2 预言机提交模块 —— </w:t>
      </w:r>
      <w:r>
        <w:rPr>
          <w:rFonts w:eastAsia="Consolas" w:ascii="Consolas" w:cs="Consolas" w:hAnsi="Consolas"/>
          <w:b w:val="true"/>
          <w:sz w:val="32"/>
          <w:shd w:fill="EFF0F1"/>
        </w:rPr>
        <w:t>xtzh/oracle.charter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xtzh/oracle.charter</w:t>
              <w:br/>
              <w:t>// 仅限授权预言机节点使用</w:t>
              <w:br/>
              <w:br/>
              <w:t>@system</w:t>
              <w:br/>
              <w:t>public func submit_rate(receipt: ConstitutionalReceipt) {</w:t>
              <w:br/>
              <w:t xml:space="preserve">    // 此函数体为空 —— 编译器将其替换为以下操作：</w:t>
              <w:br/>
              <w:t xml:space="preserve">    // 1. 调用 UDM 模块 0x00030001 验证 receipt.raw</w:t>
              <w:br/>
              <w:t xml:space="preserve">    // 2. 若验证通过，调用 __builtin_system_state_write 写入状态树</w:t>
              <w:br/>
              <w:t xml:space="preserve">    // 3. 触发系统事件 RateUpdated</w:t>
              <w:br/>
              <w:t xml:space="preserve">    __builtin_udm_validate(0x00030001, 1, receipt.raw)</w:t>
              <w:br/>
              <w:t xml:space="preserve">        || revert("Invalid constitutional receipt");</w:t>
              <w:br/>
              <w:t xml:space="preserve">    </w:t>
              <w:br/>
              <w:t xml:space="preserve">    // 实际写入由编译器生成的代码完成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编译器特殊处理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@system</w:t>
      </w:r>
      <w:r>
        <w:rPr>
          <w:rFonts w:eastAsia="等线" w:ascii="Arial" w:cs="Arial" w:hAnsi="Arial"/>
          <w:sz w:val="22"/>
        </w:rPr>
        <w:t xml:space="preserve"> 标记的函数</w:t>
      </w:r>
      <w:r>
        <w:rPr>
          <w:rFonts w:eastAsia="等线" w:ascii="Arial" w:cs="Arial" w:hAnsi="Arial"/>
          <w:b w:val="true"/>
          <w:sz w:val="22"/>
        </w:rPr>
        <w:t>不能</w:t>
      </w:r>
      <w:r>
        <w:rPr>
          <w:rFonts w:eastAsia="等线" w:ascii="Arial" w:cs="Arial" w:hAnsi="Arial"/>
          <w:sz w:val="22"/>
        </w:rPr>
        <w:t>被普通合约调用 —— 调用者地址必须为已注册的 CBP 节点，此检查由编译器插入。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自动插入 BLS 签名验证指令，确保收据满足宪法阈值。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 xml:space="preserve">4.3 密码学工具模块 —— </w:t>
      </w:r>
      <w:r>
        <w:rPr>
          <w:rFonts w:eastAsia="Consolas" w:ascii="Consolas" w:cs="Consolas" w:hAnsi="Consolas"/>
          <w:b w:val="true"/>
          <w:sz w:val="32"/>
          <w:shd w:fill="EFF0F1"/>
        </w:rPr>
        <w:t>xtzh/crypto.charter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xtzh/crypto.charter</w:t>
              <w:br/>
              <w:t>// 提供汇率收据相关的密码学验证</w:t>
              <w:br/>
              <w:br/>
              <w:t>/// 验证 BLS 聚合签名（48 字节公钥）</w:t>
              <w:br/>
              <w:t>public func verify_bls_aggregated(</w:t>
              <w:br/>
              <w:t xml:space="preserve">    message: bytes,</w:t>
              <w:br/>
              <w:t xml:space="preserve">    signature: bytes48,</w:t>
              <w:br/>
              <w:t xml:space="preserve">    signers_bitmap: bytes,</w:t>
              <w:br/>
              <w:t xml:space="preserve">    pubkey_set: []bytes48</w:t>
              <w:br/>
              <w:t>) -&gt; bool {</w:t>
              <w:br/>
              <w:t xml:space="preserve">    return __builtin_bls_verify_aggregated(</w:t>
              <w:br/>
              <w:t xml:space="preserve">        message, signature, signers_bitmap, pubkey_set</w:t>
              <w:br/>
              <w:t xml:space="preserve">    );</w:t>
              <w:br/>
              <w:t>}</w:t>
              <w:br/>
              <w:br/>
              <w:t>/// 验证 Groth16 zkSNARK 证明（BN254）</w:t>
              <w:br/>
              <w:t>public func verify_zk_groth16(</w:t>
              <w:br/>
              <w:t xml:space="preserve">    proof: bytes,</w:t>
              <w:br/>
              <w:t xml:space="preserve">    public_inputs: []uint64,</w:t>
              <w:br/>
              <w:t xml:space="preserve">    vk: bytes  // 验证密钥，通常由系统常量提供</w:t>
              <w:br/>
              <w:t>) -&gt; bool {</w:t>
              <w:br/>
              <w:t xml:space="preserve">    return __builtin_zk_verify_groth16(proof, public_inputs, vk);</w:t>
              <w:br/>
              <w:t>}</w:t>
              <w:br/>
              <w:br/>
              <w:t>/// 验证 NVIDIA TEE 认证报告</w:t>
              <w:br/>
              <w:t>public func verify_tee_nvidia(</w:t>
              <w:br/>
              <w:t xml:space="preserve">    attestation: bytes,</w:t>
              <w:br/>
              <w:t xml:space="preserve">    expected_code_hash: bytes32,</w:t>
              <w:br/>
              <w:t xml:space="preserve">    expected_input_hash: bytes32</w:t>
              <w:br/>
              <w:t>) -&gt; bool {</w:t>
              <w:br/>
              <w:t xml:space="preserve">    return __builtin_tee_verify_nvidia(</w:t>
              <w:br/>
              <w:t xml:space="preserve">        attestation, expected_code_hash, expected_input_hash</w:t>
              <w:br/>
              <w:t xml:space="preserve">    );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编译器优化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当参数为常量时（如验证密钥 </w:t>
      </w:r>
      <w:r>
        <w:rPr>
          <w:rFonts w:eastAsia="Consolas" w:ascii="Consolas" w:cs="Consolas" w:hAnsi="Consolas"/>
          <w:sz w:val="22"/>
          <w:shd w:fill="EFF0F1"/>
        </w:rPr>
        <w:t>vk</w:t>
      </w:r>
      <w:r>
        <w:rPr>
          <w:rFonts w:eastAsia="等线" w:ascii="Arial" w:cs="Arial" w:hAnsi="Arial"/>
          <w:sz w:val="22"/>
        </w:rPr>
        <w:t>），编译器直接将其内嵌为指令立即数，无需内存加载。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 xml:space="preserve">4.4 治理配置模块 —— </w:t>
      </w:r>
      <w:r>
        <w:rPr>
          <w:rFonts w:eastAsia="Consolas" w:ascii="Consolas" w:cs="Consolas" w:hAnsi="Consolas"/>
          <w:b w:val="true"/>
          <w:sz w:val="32"/>
          <w:shd w:fill="EFF0F1"/>
        </w:rPr>
        <w:t>xtzh/governance.charter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xtzh/governance.charter</w:t>
              <w:br/>
              <w:t>// 汇率系统参数（由 XIC 治理设定）</w:t>
              <w:br/>
              <w:br/>
              <w:t>/// 当前活跃的汇率模型版本哈希</w:t>
              <w:br/>
              <w:t>@system_constant(key = "XTZH_MODEL_HASH")</w:t>
              <w:br/>
              <w:t>public func model_hash() -&gt; bytes32;</w:t>
              <w:br/>
              <w:br/>
              <w:t>/// 预言机节点公钥列表</w:t>
              <w:br/>
              <w:t>@system_constant(key = "XTZH_ORACLE_PUBKEYS")</w:t>
              <w:br/>
              <w:t>public func oracle_pubkeys() -&gt; []bytes48;</w:t>
              <w:br/>
              <w:br/>
              <w:t>/// BLS 签名所需阈值（如 2/3）</w:t>
              <w:br/>
              <w:t>@system_constant(key = "XTZH_SIGNATURE_THRESHOLD")</w:t>
              <w:br/>
              <w:t>public func signature_threshold() -&gt; uint8;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语义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@system_constant</w:t>
      </w:r>
      <w:r>
        <w:rPr>
          <w:rFonts w:eastAsia="等线" w:ascii="Arial" w:cs="Arial" w:hAnsi="Arial"/>
          <w:sz w:val="22"/>
        </w:rPr>
        <w:t xml:space="preserve"> 标记的函数直接从系统状态树读取预置参数，无需存储开销。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这些参数仅能通过 XIC 治理提案修改，修改后需等待一个纪元（约24小时）生效。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5. 编译器安全检查</w:t>
      </w:r>
      <w:bookmarkEnd w:id="1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5.1 角色与权限检查</w:t>
      </w:r>
      <w:bookmarkEnd w:id="1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修饰器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语义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检查时机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@system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标记类型/函数仅供系统级调用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编译期：调用者必须是 CBP 节点或系统合约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@oracle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标记函数仅限</w:t>
            </w:r>
            <w:r>
              <w:rPr>
                <w:rFonts w:eastAsia="等线" w:ascii="Arial" w:cs="Arial" w:hAnsi="Arial"/>
                <w:sz w:val="22"/>
              </w:rPr>
              <w:t>预言机节点调用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编译期：调用者地址必须</w:t>
            </w:r>
            <w:r>
              <w:rPr>
                <w:rFonts w:eastAsia="等线" w:ascii="Arial" w:cs="Arial" w:hAnsi="Arial"/>
                <w:sz w:val="22"/>
              </w:rPr>
              <w:t xml:space="preserve">在 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oracle_pubkeys()</w:t>
            </w:r>
            <w:r>
              <w:rPr>
                <w:rFonts w:eastAsia="等线" w:ascii="Arial" w:cs="Arial" w:hAnsi="Arial"/>
                <w:sz w:val="22"/>
              </w:rPr>
              <w:t xml:space="preserve"> 中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@constitutional_receipt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参数必须是有效的宪法收据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编译期：自动插入 UDM 验证调用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@oracle</w:t>
              <w:br/>
              <w:t>func report_emergency(reason: bytes) {</w:t>
              <w:br/>
              <w:t xml:space="preserve">    // 只有预言机节点可以调用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5.2 状态修改检查</w:t>
      </w:r>
      <w:bookmarkEnd w:id="12"/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任何直接调用 </w:t>
      </w:r>
      <w:r>
        <w:rPr>
          <w:rFonts w:eastAsia="Consolas" w:ascii="Consolas" w:cs="Consolas" w:hAnsi="Consolas"/>
          <w:sz w:val="22"/>
          <w:shd w:fill="EFF0F1"/>
        </w:rPr>
        <w:t>__builtin_system_state_write</w:t>
      </w:r>
      <w:r>
        <w:rPr>
          <w:rFonts w:eastAsia="等线" w:ascii="Arial" w:cs="Arial" w:hAnsi="Arial"/>
          <w:sz w:val="22"/>
        </w:rPr>
        <w:t xml:space="preserve"> 的代码必须位于 </w:t>
      </w:r>
      <w:r>
        <w:rPr>
          <w:rFonts w:eastAsia="Consolas" w:ascii="Consolas" w:cs="Consolas" w:hAnsi="Consolas"/>
          <w:sz w:val="22"/>
          <w:shd w:fill="EFF0F1"/>
        </w:rPr>
        <w:t>@system</w:t>
      </w:r>
      <w:r>
        <w:rPr>
          <w:rFonts w:eastAsia="等线" w:ascii="Arial" w:cs="Arial" w:hAnsi="Arial"/>
          <w:sz w:val="22"/>
        </w:rPr>
        <w:t xml:space="preserve"> 函数内，且交易必须由 CBP 节点发起。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编译器为 </w:t>
      </w:r>
      <w:r>
        <w:rPr>
          <w:rFonts w:eastAsia="Consolas" w:ascii="Consolas" w:cs="Consolas" w:hAnsi="Consolas"/>
          <w:sz w:val="22"/>
          <w:shd w:fill="EFF0F1"/>
        </w:rPr>
        <w:t>xtzh::submit_rate</w:t>
      </w:r>
      <w:r>
        <w:rPr>
          <w:rFonts w:eastAsia="等线" w:ascii="Arial" w:cs="Arial" w:hAnsi="Arial"/>
          <w:sz w:val="22"/>
        </w:rPr>
        <w:t xml:space="preserve"> 自动生成写入操作，并确保只有通过宪法收据验证的收据才能写入。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5.3 权重归一化静态断言</w:t>
      </w:r>
      <w:bookmarkEnd w:id="1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在汇率收据构造代码中，编译器可插入静态断言</w:t>
              <w:br/>
              <w:t>// 但此断言仅对预言机代码有效</w:t>
              <w:br/>
              <w:t>static_assert</w:t>
            </w:r>
            <w:r>
              <w:rPr>
                <w:rFonts w:eastAsia="Consolas" w:ascii="Consolas" w:cs="Consolas" w:hAnsi="Consolas"/>
                <w:sz w:val="22"/>
              </w:rPr>
              <w:t>(w_fx + w_au + w_com == 10000, "Weight sum must be 10000");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4" w:id="14"/>
      <w:r>
        <w:rPr>
          <w:rFonts w:eastAsia="等线" w:ascii="Arial" w:cs="Arial" w:hAnsi="Arial"/>
          <w:b w:val="true"/>
          <w:sz w:val="36"/>
        </w:rPr>
        <w:t>6. 完整示例：ACC-20 合约使用 XTZH 汇率</w:t>
      </w:r>
      <w:bookmarkEnd w:id="1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import "xtzh/rate.charter";</w:t>
              <w:br/>
              <w:t>import "acc/ACC20.charter";</w:t>
              <w:br/>
              <w:br/>
              <w:t>contract RealEstateToken is ACC20 {</w:t>
              <w:br/>
              <w:t xml:space="preserve">    // 铸造：锁定 XTZH，发行等值资产（简化版）</w:t>
              <w:br/>
              <w:t xml:space="preserve">    func mint(uint256 xtzhAmount) public {</w:t>
              <w:br/>
              <w:t xml:space="preserve">        // 1. 获取当前 XTZH 兑 USD 汇率</w:t>
              <w:br/>
              <w:t xml:space="preserve">        let rate = xtzh::get_rate();</w:t>
              <w:br/>
              <w:t xml:space="preserve">        </w:t>
              <w:br/>
              <w:t xml:space="preserve">        // 2. 计算资产价值（此处假设 1:1 锚定，实际应使用 GNACS 风险权重）</w:t>
              <w:br/>
              <w:t xml:space="preserve">        uint256 assetValue = xtzhAmount;  // 单位：XTZH</w:t>
              <w:br/>
              <w:t xml:space="preserve">        </w:t>
              <w:br/>
              <w:t xml:space="preserve">        // 3. 转移 XTZH 到合约（需预先授权）</w:t>
              <w:br/>
              <w:t xml:space="preserve">        XTZH.transferFrom(msg.sender, address(this), xtzhAmount);</w:t>
              <w:br/>
              <w:t xml:space="preserve">        </w:t>
              <w:br/>
              <w:t xml:space="preserve">        // 4. 铸造 ACC-20 代币</w:t>
              <w:br/>
              <w:t xml:space="preserve">        _mint(msg.sender, assetValue);</w:t>
              <w:br/>
              <w:t xml:space="preserve">    }</w:t>
              <w:br/>
              <w:t xml:space="preserve">    </w:t>
              <w:br/>
              <w:t xml:space="preserve">    // 赎回：销毁代币，释放 XTZH</w:t>
              <w:br/>
              <w:t xml:space="preserve">    func redeem(uint256 assetAmount) public {</w:t>
              <w:br/>
              <w:t xml:space="preserve">        require(balanceOf(msg.sender) &gt;= assetAmount, "insufficient balance");</w:t>
              <w:br/>
              <w:t xml:space="preserve">        </w:t>
              <w:br/>
              <w:t xml:space="preserve">        // 1. 获取汇率（仅用于审计跟踪，实际 1:1 赎回）</w:t>
              <w:br/>
              <w:t xml:space="preserve">        let rate = xtzh::get_rate();</w:t>
              <w:br/>
              <w:t xml:space="preserve">        </w:t>
              <w:br/>
              <w:t xml:space="preserve">        // 2. 销毁代币</w:t>
              <w:br/>
              <w:t xml:space="preserve">        _burn(msg.sender, assetAmount);</w:t>
              <w:br/>
              <w:t xml:space="preserve">        </w:t>
              <w:br/>
              <w:t xml:space="preserve">        // 3. 释放 XTZH</w:t>
              <w:br/>
              <w:t xml:space="preserve">        XTZH.transfer(msg.sender, assetAmount);</w:t>
              <w:br/>
              <w:t xml:space="preserve">    }</w:t>
              <w:br/>
              <w:t xml:space="preserve">    </w:t>
              <w:br/>
              <w:t xml:space="preserve">    // 清算估值：将资产价值转换为 XTZH 单位</w:t>
              <w:br/>
              <w:t xml:space="preserve">    func getLiquidationValueInXTZH(uint256 assetValueSDR) public view returns (uint256) {</w:t>
              <w:br/>
              <w:t xml:space="preserve">        let rate = xtzh::get_rate();</w:t>
              <w:br/>
              <w:t xml:space="preserve">        // SDR → XTZH 换算，精度 1e6</w:t>
              <w:br/>
              <w:t xml:space="preserve">        return assetValueSDR * 1_000_000 / rate.rate_sdr;</w:t>
              <w:br/>
              <w:t xml:space="preserve">    }</w:t>
              <w:br/>
              <w:t>}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5" w:id="15"/>
      <w:r>
        <w:rPr>
          <w:rFonts w:eastAsia="等线" w:ascii="Arial" w:cs="Arial" w:hAnsi="Arial"/>
          <w:b w:val="true"/>
          <w:sz w:val="36"/>
        </w:rPr>
        <w:t>7. 编译器实现指引</w:t>
      </w:r>
      <w:bookmarkEnd w:id="15"/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语法扩展</w:t>
      </w:r>
      <w:r>
        <w:rPr>
          <w:rFonts w:eastAsia="等线" w:ascii="Arial" w:cs="Arial" w:hAnsi="Arial"/>
          <w:sz w:val="22"/>
        </w:rPr>
        <w:t xml:space="preserve">：增加 </w:t>
      </w:r>
      <w:r>
        <w:rPr>
          <w:rFonts w:eastAsia="Consolas" w:ascii="Consolas" w:cs="Consolas" w:hAnsi="Consolas"/>
          <w:sz w:val="22"/>
          <w:shd w:fill="EFF0F1"/>
        </w:rPr>
        <w:t>@system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@system_constant</w:t>
      </w:r>
      <w:r>
        <w:rPr>
          <w:rFonts w:eastAsia="等线" w:ascii="Arial" w:cs="Arial" w:hAnsi="Arial"/>
          <w:sz w:val="22"/>
        </w:rPr>
        <w:t xml:space="preserve"> 等修饰器，支持 </w:t>
      </w:r>
      <w:r>
        <w:rPr>
          <w:rFonts w:eastAsia="Consolas" w:ascii="Consolas" w:cs="Consolas" w:hAnsi="Consolas"/>
          <w:sz w:val="22"/>
          <w:shd w:fill="EFF0F1"/>
        </w:rPr>
        <w:t>__builtin</w:t>
      </w:r>
      <w:r>
        <w:rPr>
          <w:rFonts w:eastAsia="等线" w:ascii="Arial" w:cs="Arial" w:hAnsi="Arial"/>
          <w:sz w:val="22"/>
        </w:rPr>
        <w:t xml:space="preserve"> 标识符。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类型检查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3"/>
        </w:numPr>
        <w:spacing w:before="120" w:after="120" w:line="288" w:lineRule="auto"/>
        <w:ind w:left="453"/>
        <w:jc w:val="left"/>
      </w:pPr>
      <w:r>
        <w:rPr>
          <w:rFonts w:eastAsia="Consolas" w:ascii="Consolas" w:cs="Consolas" w:hAnsi="Consolas"/>
          <w:sz w:val="22"/>
          <w:shd w:fill="EFF0F1"/>
        </w:rPr>
        <w:t>@system</w:t>
      </w:r>
      <w:r>
        <w:rPr>
          <w:rFonts w:eastAsia="等线" w:ascii="Arial" w:cs="Arial" w:hAnsi="Arial"/>
          <w:sz w:val="22"/>
        </w:rPr>
        <w:t xml:space="preserve"> 类型不可被普通代码实例化。</w:t>
      </w:r>
    </w:p>
    <w:p>
      <w:pPr>
        <w:numPr>
          <w:numId w:val="24"/>
        </w:numPr>
        <w:spacing w:before="120" w:after="120" w:line="288" w:lineRule="auto"/>
        <w:ind w:left="453"/>
        <w:jc w:val="left"/>
      </w:pPr>
      <w:r>
        <w:rPr>
          <w:rFonts w:eastAsia="Consolas" w:ascii="Consolas" w:cs="Consolas" w:hAnsi="Consolas"/>
          <w:sz w:val="22"/>
          <w:shd w:fill="EFF0F1"/>
        </w:rPr>
        <w:t>@system_constant</w:t>
      </w:r>
      <w:r>
        <w:rPr>
          <w:rFonts w:eastAsia="等线" w:ascii="Arial" w:cs="Arial" w:hAnsi="Arial"/>
          <w:sz w:val="22"/>
        </w:rPr>
        <w:t xml:space="preserve"> 函数必须是无参视图函数，返回值类型限定为基本类型或 </w:t>
      </w:r>
      <w:r>
        <w:rPr>
          <w:rFonts w:eastAsia="Consolas" w:ascii="Consolas" w:cs="Consolas" w:hAnsi="Consolas"/>
          <w:sz w:val="22"/>
          <w:shd w:fill="EFF0F1"/>
        </w:rPr>
        <w:t>bytes</w:t>
      </w:r>
      <w:r>
        <w:rPr>
          <w:rFonts w:eastAsia="等线" w:ascii="Arial" w:cs="Arial" w:hAnsi="Arial"/>
          <w:sz w:val="22"/>
        </w:rPr>
        <w:t>/</w:t>
      </w:r>
      <w:r>
        <w:rPr>
          <w:rFonts w:eastAsia="Consolas" w:ascii="Consolas" w:cs="Consolas" w:hAnsi="Consolas"/>
          <w:sz w:val="22"/>
          <w:shd w:fill="EFF0F1"/>
        </w:rPr>
        <w:t>[]bytes48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内联生成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6"/>
        </w:numPr>
        <w:spacing w:before="120" w:after="120" w:line="288" w:lineRule="auto"/>
        <w:ind w:left="453"/>
        <w:jc w:val="left"/>
      </w:pPr>
      <w:r>
        <w:rPr>
          <w:rFonts w:eastAsia="Consolas" w:ascii="Consolas" w:cs="Consolas" w:hAnsi="Consolas"/>
          <w:sz w:val="22"/>
          <w:shd w:fill="EFF0F1"/>
        </w:rPr>
        <w:t>xtzh::get_rate()</w:t>
      </w:r>
      <w:r>
        <w:rPr>
          <w:rFonts w:eastAsia="等线" w:ascii="Arial" w:cs="Arial" w:hAnsi="Arial"/>
          <w:sz w:val="22"/>
        </w:rPr>
        <w:t xml:space="preserve"> → 生成 </w:t>
      </w:r>
      <w:r>
        <w:rPr>
          <w:rFonts w:eastAsia="Consolas" w:ascii="Consolas" w:cs="Consolas" w:hAnsi="Consolas"/>
          <w:sz w:val="22"/>
          <w:shd w:fill="EFF0F1"/>
        </w:rPr>
        <w:t>XTZH_GET_RATE</w:t>
      </w:r>
      <w:r>
        <w:rPr>
          <w:rFonts w:eastAsia="等线" w:ascii="Arial" w:cs="Arial" w:hAnsi="Arial"/>
          <w:sz w:val="22"/>
        </w:rPr>
        <w:t xml:space="preserve"> 指令，并自动将四输出打包为结构体。</w:t>
      </w:r>
    </w:p>
    <w:p>
      <w:pPr>
        <w:numPr>
          <w:numId w:val="27"/>
        </w:numPr>
        <w:spacing w:before="120" w:after="120" w:line="288" w:lineRule="auto"/>
        <w:ind w:left="453"/>
        <w:jc w:val="left"/>
      </w:pPr>
      <w:r>
        <w:rPr>
          <w:rFonts w:eastAsia="Consolas" w:ascii="Consolas" w:cs="Consolas" w:hAnsi="Consolas"/>
          <w:sz w:val="22"/>
          <w:shd w:fill="EFF0F1"/>
        </w:rPr>
        <w:t>xtzh::submit_rate(receipt)</w:t>
      </w:r>
      <w:r>
        <w:rPr>
          <w:rFonts w:eastAsia="等线" w:ascii="Arial" w:cs="Arial" w:hAnsi="Arial"/>
          <w:sz w:val="22"/>
        </w:rPr>
        <w:t xml:space="preserve"> → 生成 UDM 验证调用 + 状态写入 + 事件触发。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安全注入</w:t>
      </w:r>
      <w:r>
        <w:rPr>
          <w:rFonts w:eastAsia="等线" w:ascii="Arial" w:cs="Arial" w:hAnsi="Arial"/>
          <w:sz w:val="22"/>
        </w:rPr>
        <w:t xml:space="preserve">：所有对 </w:t>
      </w:r>
      <w:r>
        <w:rPr>
          <w:rFonts w:eastAsia="Consolas" w:ascii="Consolas" w:cs="Consolas" w:hAnsi="Consolas"/>
          <w:sz w:val="22"/>
          <w:shd w:fill="EFF0F1"/>
        </w:rPr>
        <w:t>__builtin_system_state_write</w:t>
      </w:r>
      <w:r>
        <w:rPr>
          <w:rFonts w:eastAsia="等线" w:ascii="Arial" w:cs="Arial" w:hAnsi="Arial"/>
          <w:sz w:val="22"/>
        </w:rPr>
        <w:t xml:space="preserve"> 的调用点，自动插入调用者地址检查（</w:t>
      </w:r>
      <w:r>
        <w:rPr>
          <w:rFonts w:eastAsia="Consolas" w:ascii="Consolas" w:cs="Consolas" w:hAnsi="Consolas"/>
          <w:sz w:val="22"/>
          <w:shd w:fill="EFF0F1"/>
        </w:rPr>
        <w:t>require(__cbp_only())</w:t>
      </w:r>
      <w:r>
        <w:rPr>
          <w:rFonts w:eastAsia="等线" w:ascii="Arial" w:cs="Arial" w:hAnsi="Arial"/>
          <w:sz w:val="22"/>
        </w:rPr>
        <w:t>）。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6" w:id="16"/>
      <w:r>
        <w:rPr>
          <w:rFonts w:eastAsia="等线" w:ascii="Arial" w:cs="Arial" w:hAnsi="Arial"/>
          <w:b w:val="true"/>
          <w:sz w:val="36"/>
        </w:rPr>
        <w:t>8. 版本与演进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本规范随 XTZH 汇率系统 v1.0 同步发布。后续版本将：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增加对更多 ZK 证明系统（Plonk、Halo2）的内置支持。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扩展 </w:t>
      </w:r>
      <w:r>
        <w:rPr>
          <w:rFonts w:eastAsia="Consolas" w:ascii="Consolas" w:cs="Consolas" w:hAnsi="Consolas"/>
          <w:sz w:val="22"/>
          <w:shd w:fill="EFF0F1"/>
        </w:rPr>
        <w:t>@system_constant</w:t>
      </w:r>
      <w:r>
        <w:rPr>
          <w:rFonts w:eastAsia="等线" w:ascii="Arial" w:cs="Arial" w:hAnsi="Arial"/>
          <w:sz w:val="22"/>
        </w:rPr>
        <w:t xml:space="preserve"> 支持复杂结构体常量。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提供 </w:t>
      </w:r>
      <w:r>
        <w:rPr>
          <w:rFonts w:eastAsia="Consolas" w:ascii="Consolas" w:cs="Consolas" w:hAnsi="Consolas"/>
          <w:sz w:val="22"/>
          <w:shd w:fill="EFF0F1"/>
        </w:rPr>
        <w:t>xtzh::simulate_rate</w:t>
      </w:r>
      <w:r>
        <w:rPr>
          <w:rFonts w:eastAsia="等线" w:ascii="Arial" w:cs="Arial" w:hAnsi="Arial"/>
          <w:sz w:val="22"/>
        </w:rPr>
        <w:t xml:space="preserve"> 沙箱函数用于链下测试。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 语言设计委员会</w:t>
        <w:br/>
      </w: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：2026年2月12日</w:t>
        <w:br/>
      </w:r>
      <w:r>
        <w:rPr>
          <w:rFonts w:eastAsia="等线" w:ascii="Arial" w:cs="Arial" w:hAnsi="Arial"/>
          <w:b w:val="true"/>
          <w:sz w:val="22"/>
        </w:rPr>
        <w:t>状态</w:t>
      </w:r>
      <w:r>
        <w:rPr>
          <w:rFonts w:eastAsia="等线" w:ascii="Arial" w:cs="Arial" w:hAnsi="Arial"/>
          <w:sz w:val="22"/>
        </w:rPr>
        <w:t>：治理草案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本规范赋予 XTZH 汇率系统“语言级公民身份”</w:t>
      </w:r>
      <w:r>
        <w:rPr>
          <w:rFonts w:eastAsia="等线" w:ascii="Arial" w:cs="Arial" w:hAnsi="Arial"/>
          <w:sz w:val="22"/>
        </w:rPr>
        <w:br/>
      </w:r>
      <w:r>
        <w:rPr>
          <w:rFonts w:eastAsia="等线" w:ascii="Arial" w:cs="Arial" w:hAnsi="Arial"/>
          <w:sz w:val="22"/>
        </w:rPr>
        <w:t>—— 不再是链上合约的“外挂插件”，而是 Charter 语法树中一等分支，NVM 指令集中永久驻留。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883922">
    <w:lvl>
      <w:start w:val="1"/>
      <w:numFmt w:val="decimal"/>
      <w:suff w:val="tab"/>
      <w:lvlText w:val="%1."/>
      <w:rPr>
        <w:color w:val="3370ff"/>
      </w:rPr>
    </w:lvl>
  </w:abstractNum>
  <w:abstractNum w:abstractNumId="2883923">
    <w:lvl>
      <w:start w:val="2"/>
      <w:numFmt w:val="decimal"/>
      <w:suff w:val="tab"/>
      <w:lvlText w:val="%1."/>
      <w:rPr>
        <w:color w:val="3370ff"/>
      </w:rPr>
    </w:lvl>
  </w:abstractNum>
  <w:abstractNum w:abstractNumId="2883924">
    <w:lvl>
      <w:start w:val="3"/>
      <w:numFmt w:val="decimal"/>
      <w:suff w:val="tab"/>
      <w:lvlText w:val="%1."/>
      <w:rPr>
        <w:color w:val="3370ff"/>
      </w:rPr>
    </w:lvl>
  </w:abstractNum>
  <w:abstractNum w:abstractNumId="2883925">
    <w:lvl>
      <w:start w:val="4"/>
      <w:numFmt w:val="decimal"/>
      <w:suff w:val="tab"/>
      <w:lvlText w:val="%1."/>
      <w:rPr>
        <w:color w:val="3370ff"/>
      </w:rPr>
    </w:lvl>
  </w:abstractNum>
  <w:abstractNum w:abstractNumId="2883926">
    <w:lvl>
      <w:numFmt w:val="bullet"/>
      <w:suff w:val="tab"/>
      <w:lvlText w:val="•"/>
      <w:rPr>
        <w:color w:val="3370ff"/>
      </w:rPr>
    </w:lvl>
  </w:abstractNum>
  <w:abstractNum w:abstractNumId="2883927">
    <w:lvl>
      <w:numFmt w:val="bullet"/>
      <w:suff w:val="tab"/>
      <w:lvlText w:val="•"/>
      <w:rPr>
        <w:color w:val="3370ff"/>
      </w:rPr>
    </w:lvl>
  </w:abstractNum>
  <w:abstractNum w:abstractNumId="2883928">
    <w:lvl>
      <w:numFmt w:val="bullet"/>
      <w:suff w:val="tab"/>
      <w:lvlText w:val="•"/>
      <w:rPr>
        <w:color w:val="3370ff"/>
      </w:rPr>
    </w:lvl>
  </w:abstractNum>
  <w:abstractNum w:abstractNumId="2883929">
    <w:lvl>
      <w:numFmt w:val="bullet"/>
      <w:suff w:val="tab"/>
      <w:lvlText w:val="•"/>
      <w:rPr>
        <w:color w:val="3370ff"/>
      </w:rPr>
    </w:lvl>
  </w:abstractNum>
  <w:abstractNum w:abstractNumId="2883930">
    <w:lvl>
      <w:numFmt w:val="bullet"/>
      <w:suff w:val="tab"/>
      <w:lvlText w:val="•"/>
      <w:rPr>
        <w:color w:val="3370ff"/>
      </w:rPr>
    </w:lvl>
  </w:abstractNum>
  <w:abstractNum w:abstractNumId="2883931">
    <w:lvl>
      <w:numFmt w:val="bullet"/>
      <w:suff w:val="tab"/>
      <w:lvlText w:val="•"/>
      <w:rPr>
        <w:color w:val="3370ff"/>
      </w:rPr>
    </w:lvl>
  </w:abstractNum>
  <w:abstractNum w:abstractNumId="2883932">
    <w:lvl>
      <w:numFmt w:val="bullet"/>
      <w:suff w:val="tab"/>
      <w:lvlText w:val="•"/>
      <w:rPr>
        <w:color w:val="3370ff"/>
      </w:rPr>
    </w:lvl>
  </w:abstractNum>
  <w:abstractNum w:abstractNumId="2883933">
    <w:lvl>
      <w:numFmt w:val="bullet"/>
      <w:suff w:val="tab"/>
      <w:lvlText w:val="•"/>
      <w:rPr>
        <w:color w:val="3370ff"/>
      </w:rPr>
    </w:lvl>
  </w:abstractNum>
  <w:abstractNum w:abstractNumId="2883934">
    <w:lvl>
      <w:numFmt w:val="bullet"/>
      <w:suff w:val="tab"/>
      <w:lvlText w:val="•"/>
      <w:rPr>
        <w:color w:val="3370ff"/>
      </w:rPr>
    </w:lvl>
  </w:abstractNum>
  <w:abstractNum w:abstractNumId="2883935">
    <w:lvl>
      <w:numFmt w:val="bullet"/>
      <w:suff w:val="tab"/>
      <w:lvlText w:val="•"/>
      <w:rPr>
        <w:color w:val="3370ff"/>
      </w:rPr>
    </w:lvl>
  </w:abstractNum>
  <w:abstractNum w:abstractNumId="2883936">
    <w:lvl>
      <w:numFmt w:val="bullet"/>
      <w:suff w:val="tab"/>
      <w:lvlText w:val="•"/>
      <w:rPr>
        <w:color w:val="3370ff"/>
      </w:rPr>
    </w:lvl>
  </w:abstractNum>
  <w:abstractNum w:abstractNumId="2883937">
    <w:lvl>
      <w:numFmt w:val="bullet"/>
      <w:suff w:val="tab"/>
      <w:lvlText w:val="•"/>
      <w:rPr>
        <w:color w:val="3370ff"/>
      </w:rPr>
    </w:lvl>
  </w:abstractNum>
  <w:abstractNum w:abstractNumId="2883938">
    <w:lvl>
      <w:numFmt w:val="bullet"/>
      <w:suff w:val="tab"/>
      <w:lvlText w:val="•"/>
      <w:rPr>
        <w:color w:val="3370ff"/>
      </w:rPr>
    </w:lvl>
  </w:abstractNum>
  <w:abstractNum w:abstractNumId="2883939">
    <w:lvl>
      <w:numFmt w:val="bullet"/>
      <w:suff w:val="tab"/>
      <w:lvlText w:val="•"/>
      <w:rPr>
        <w:color w:val="3370ff"/>
      </w:rPr>
    </w:lvl>
  </w:abstractNum>
  <w:abstractNum w:abstractNumId="2883940">
    <w:lvl>
      <w:numFmt w:val="bullet"/>
      <w:suff w:val="tab"/>
      <w:lvlText w:val="•"/>
      <w:rPr>
        <w:color w:val="3370ff"/>
      </w:rPr>
    </w:lvl>
  </w:abstractNum>
  <w:abstractNum w:abstractNumId="2883941">
    <w:lvl>
      <w:numFmt w:val="bullet"/>
      <w:suff w:val="tab"/>
      <w:lvlText w:val="•"/>
      <w:rPr>
        <w:color w:val="3370ff"/>
      </w:rPr>
    </w:lvl>
  </w:abstractNum>
  <w:abstractNum w:abstractNumId="2883942">
    <w:lvl>
      <w:start w:val="1"/>
      <w:numFmt w:val="decimal"/>
      <w:suff w:val="tab"/>
      <w:lvlText w:val="%1."/>
      <w:rPr>
        <w:color w:val="3370ff"/>
      </w:rPr>
    </w:lvl>
  </w:abstractNum>
  <w:abstractNum w:abstractNumId="2883943">
    <w:lvl>
      <w:start w:val="2"/>
      <w:numFmt w:val="decimal"/>
      <w:suff w:val="tab"/>
      <w:lvlText w:val="%1."/>
      <w:rPr>
        <w:color w:val="3370ff"/>
      </w:rPr>
    </w:lvl>
  </w:abstractNum>
  <w:abstractNum w:abstractNumId="2883944">
    <w:lvl>
      <w:numFmt w:val="bullet"/>
      <w:suff w:val="tab"/>
      <w:lvlText w:val="￮"/>
      <w:rPr>
        <w:color w:val="3370ff"/>
      </w:rPr>
    </w:lvl>
  </w:abstractNum>
  <w:abstractNum w:abstractNumId="2883945">
    <w:lvl>
      <w:numFmt w:val="bullet"/>
      <w:suff w:val="tab"/>
      <w:lvlText w:val="￮"/>
      <w:rPr>
        <w:color w:val="3370ff"/>
      </w:rPr>
    </w:lvl>
  </w:abstractNum>
  <w:abstractNum w:abstractNumId="2883946">
    <w:lvl>
      <w:start w:val="3"/>
      <w:numFmt w:val="decimal"/>
      <w:suff w:val="tab"/>
      <w:lvlText w:val="%1."/>
      <w:rPr>
        <w:color w:val="3370ff"/>
      </w:rPr>
    </w:lvl>
  </w:abstractNum>
  <w:abstractNum w:abstractNumId="2883947">
    <w:lvl>
      <w:numFmt w:val="bullet"/>
      <w:suff w:val="tab"/>
      <w:lvlText w:val="￮"/>
      <w:rPr>
        <w:color w:val="3370ff"/>
      </w:rPr>
    </w:lvl>
  </w:abstractNum>
  <w:abstractNum w:abstractNumId="2883948">
    <w:lvl>
      <w:numFmt w:val="bullet"/>
      <w:suff w:val="tab"/>
      <w:lvlText w:val="￮"/>
      <w:rPr>
        <w:color w:val="3370ff"/>
      </w:rPr>
    </w:lvl>
  </w:abstractNum>
  <w:abstractNum w:abstractNumId="2883949">
    <w:lvl>
      <w:start w:val="4"/>
      <w:numFmt w:val="decimal"/>
      <w:suff w:val="tab"/>
      <w:lvlText w:val="%1."/>
      <w:rPr>
        <w:color w:val="3370ff"/>
      </w:rPr>
    </w:lvl>
  </w:abstractNum>
  <w:abstractNum w:abstractNumId="2883950">
    <w:lvl>
      <w:numFmt w:val="bullet"/>
      <w:suff w:val="tab"/>
      <w:lvlText w:val="•"/>
      <w:rPr>
        <w:color w:val="3370ff"/>
      </w:rPr>
    </w:lvl>
  </w:abstractNum>
  <w:abstractNum w:abstractNumId="2883951">
    <w:lvl>
      <w:numFmt w:val="bullet"/>
      <w:suff w:val="tab"/>
      <w:lvlText w:val="•"/>
      <w:rPr>
        <w:color w:val="3370ff"/>
      </w:rPr>
    </w:lvl>
  </w:abstractNum>
  <w:abstractNum w:abstractNumId="2883952">
    <w:lvl>
      <w:numFmt w:val="bullet"/>
      <w:suff w:val="tab"/>
      <w:lvlText w:val="•"/>
      <w:rPr>
        <w:color w:val="3370ff"/>
      </w:rPr>
    </w:lvl>
  </w:abstractNum>
  <w:num w:numId="1">
    <w:abstractNumId w:val="2883922"/>
  </w:num>
  <w:num w:numId="2">
    <w:abstractNumId w:val="2883923"/>
  </w:num>
  <w:num w:numId="3">
    <w:abstractNumId w:val="2883924"/>
  </w:num>
  <w:num w:numId="4">
    <w:abstractNumId w:val="2883925"/>
  </w:num>
  <w:num w:numId="5">
    <w:abstractNumId w:val="2883926"/>
  </w:num>
  <w:num w:numId="6">
    <w:abstractNumId w:val="2883927"/>
  </w:num>
  <w:num w:numId="7">
    <w:abstractNumId w:val="2883928"/>
  </w:num>
  <w:num w:numId="8">
    <w:abstractNumId w:val="2883929"/>
  </w:num>
  <w:num w:numId="9">
    <w:abstractNumId w:val="2883930"/>
  </w:num>
  <w:num w:numId="10">
    <w:abstractNumId w:val="2883931"/>
  </w:num>
  <w:num w:numId="11">
    <w:abstractNumId w:val="2883932"/>
  </w:num>
  <w:num w:numId="12">
    <w:abstractNumId w:val="2883933"/>
  </w:num>
  <w:num w:numId="13">
    <w:abstractNumId w:val="2883934"/>
  </w:num>
  <w:num w:numId="14">
    <w:abstractNumId w:val="2883935"/>
  </w:num>
  <w:num w:numId="15">
    <w:abstractNumId w:val="2883936"/>
  </w:num>
  <w:num w:numId="16">
    <w:abstractNumId w:val="2883937"/>
  </w:num>
  <w:num w:numId="17">
    <w:abstractNumId w:val="2883938"/>
  </w:num>
  <w:num w:numId="18">
    <w:abstractNumId w:val="2883939"/>
  </w:num>
  <w:num w:numId="19">
    <w:abstractNumId w:val="2883940"/>
  </w:num>
  <w:num w:numId="20">
    <w:abstractNumId w:val="2883941"/>
  </w:num>
  <w:num w:numId="21">
    <w:abstractNumId w:val="2883942"/>
  </w:num>
  <w:num w:numId="22">
    <w:abstractNumId w:val="2883943"/>
  </w:num>
  <w:num w:numId="23">
    <w:abstractNumId w:val="2883944"/>
  </w:num>
  <w:num w:numId="24">
    <w:abstractNumId w:val="2883945"/>
  </w:num>
  <w:num w:numId="25">
    <w:abstractNumId w:val="2883946"/>
  </w:num>
  <w:num w:numId="26">
    <w:abstractNumId w:val="2883947"/>
  </w:num>
  <w:num w:numId="27">
    <w:abstractNumId w:val="2883948"/>
  </w:num>
  <w:num w:numId="28">
    <w:abstractNumId w:val="2883949"/>
  </w:num>
  <w:num w:numId="29">
    <w:abstractNumId w:val="2883950"/>
  </w:num>
  <w:num w:numId="30">
    <w:abstractNumId w:val="2883951"/>
  </w:num>
  <w:num w:numId="31">
    <w:abstractNumId w:val="2883952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2026-02-12T07:27:36Z</dcterms:created>
  <dc:creator>Apache POI</dc:creator>
</cp:coreProperties>
</file>