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NAC公链在黄金价格暴涨时保持XTZH相对稳定的六层防御机制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XTZH的价值锚定并非固定权重组合，而是一个</w:t>
      </w:r>
      <w:r>
        <w:rPr>
          <w:rFonts w:eastAsia="等线" w:ascii="Arial" w:cs="Arial" w:hAnsi="Arial"/>
          <w:b w:val="true"/>
          <w:sz w:val="22"/>
        </w:rPr>
        <w:t>以SDR为基准、以五大宏观指数为拟合目标、以AI动态注意力为核心的智能定价系统</w:t>
      </w:r>
      <w:r>
        <w:rPr>
          <w:rFonts w:eastAsia="等线" w:ascii="Arial" w:cs="Arial" w:hAnsi="Arial"/>
          <w:sz w:val="22"/>
        </w:rPr>
        <w:t>。</w:t>
        <w:br/>
      </w:r>
      <w:r>
        <w:rPr>
          <w:rFonts w:eastAsia="等线" w:ascii="Arial" w:cs="Arial" w:hAnsi="Arial"/>
          <w:sz w:val="22"/>
        </w:rPr>
        <w:t>当黄金价格暴涨时，XTZH通过以下</w:t>
      </w:r>
      <w:r>
        <w:rPr>
          <w:rFonts w:eastAsia="等线" w:ascii="Arial" w:cs="Arial" w:hAnsi="Arial"/>
          <w:b w:val="true"/>
          <w:sz w:val="22"/>
        </w:rPr>
        <w:t>六层嵌套机制</w:t>
      </w:r>
      <w:r>
        <w:rPr>
          <w:rFonts w:eastAsia="等线" w:ascii="Arial" w:cs="Arial" w:hAnsi="Arial"/>
          <w:sz w:val="22"/>
        </w:rPr>
        <w:t>抑制单一资产的过度影响，维持相对于SDR汇率的相对稳定。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第一层：资产分散化——低相关性的三层结构</w:t>
      </w:r>
      <w:bookmarkEnd w:id="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成分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与黄金的长期相关性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静态基准权重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货币</w:t>
            </w:r>
            <w:r>
              <w:rPr>
                <w:rFonts w:eastAsia="等线" w:ascii="Arial" w:cs="Arial" w:hAnsi="Arial"/>
                <w:sz w:val="22"/>
              </w:rPr>
              <w:t>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6种主权货币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-0.2～0.1</w:t>
            </w:r>
            <w:r>
              <w:rPr>
                <w:rFonts w:eastAsia="等线" w:ascii="Arial" w:cs="Arial" w:hAnsi="Arial"/>
                <w:sz w:val="22"/>
              </w:rPr>
              <w:t>（美元有时与黄金负相关</w:t>
            </w:r>
            <w:r>
              <w:rPr>
                <w:rFonts w:eastAsia="等线" w:ascii="Arial" w:cs="Arial" w:hAnsi="Arial"/>
                <w:sz w:val="22"/>
              </w:rPr>
              <w:t>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40%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1.0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10%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18种实体商品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0.3～0.6</w:t>
            </w:r>
            <w:r>
              <w:rPr>
                <w:rFonts w:eastAsia="等线" w:ascii="Arial" w:cs="Arial" w:hAnsi="Arial"/>
                <w:sz w:val="22"/>
              </w:rPr>
              <w:t>（原油、铜与黄金正相关，农产品、运价弱相关）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50%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作用</w:t>
      </w:r>
      <w:r>
        <w:rPr>
          <w:rFonts w:eastAsia="等线" w:ascii="Arial" w:cs="Arial" w:hAnsi="Arial"/>
          <w:sz w:val="22"/>
        </w:rPr>
        <w:t>：即使黄金暴涨，其直接权重仅占10%，货币与商品层的低相关性可缓冲约90%的价格冲击。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第二层：黄金权重动态钳位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黄金的实际定价贡献受</w:t>
      </w:r>
      <w:r>
        <w:rPr>
          <w:rFonts w:eastAsia="等线" w:ascii="Arial" w:cs="Arial" w:hAnsi="Arial"/>
          <w:b w:val="true"/>
          <w:sz w:val="22"/>
        </w:rPr>
        <w:t>双重约束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1. </w:t>
      </w:r>
      <w:r>
        <w:rPr>
          <w:rFonts w:eastAsia="等线" w:ascii="Arial" w:cs="Arial" w:hAnsi="Arial"/>
          <w:b w:val="true"/>
          <w:sz w:val="22"/>
        </w:rPr>
        <w:t>权重范围硬约束</w:t>
      </w:r>
      <w:r>
        <w:rPr>
          <w:rFonts w:eastAsia="等线" w:ascii="Arial" w:cs="Arial" w:hAnsi="Arial"/>
          <w:sz w:val="22"/>
        </w:rPr>
        <w:t>：</w:t>
        <w:br/>
      </w:r>
      <w:r>
        <w:rPr>
          <w:rFonts w:eastAsia="等线" w:ascii="Arial" w:cs="Arial" w:hAnsi="Arial"/>
          <w:sz w:val="22"/>
        </w:rPr>
      </w:r>
      <m:oMath xmlns:m="http://schemas.openxmlformats.org/officeDocument/2006/math" xmlns:mml="http://www.w3.org/1998/Math/MathML"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Au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∈</m:t>
        </m:r>
        <m:d>
          <m:dPr>
            <m:begChr m:val="["/>
            <m:sepChr m:val=","/>
            <m:endChr m:val="]"/>
          </m:dPr>
          <m:e>
            <m:r>
              <w:rPr>
                <w:rFonts w:ascii="Cambria Math" w:hAnsi="Cambria Math"/>
              </w:rPr>
              <m:t>5%</m:t>
            </m:r>
          </m:e>
          <m:e>
            <m:r>
              <w:rPr>
                <w:rFonts w:ascii="Cambria Math" w:hAnsi="Cambria Math"/>
              </w:rPr>
              <m:t>20%</m:t>
            </m:r>
          </m:e>
        </m:d>
      </m:oMath>
      <w:r>
        <w:rPr>
          <w:rFonts w:eastAsia="等线" w:ascii="Arial" w:cs="Arial" w:hAnsi="Arial"/>
          <w:sz w:val="22"/>
        </w:rPr>
        <w:br/>
      </w:r>
      <w:r>
        <w:rPr>
          <w:rFonts w:eastAsia="等线" w:ascii="Arial" w:cs="Arial" w:hAnsi="Arial"/>
          <w:sz w:val="22"/>
        </w:rPr>
        <w:t>AI输出的黄金权重被强制截断在此区间。黄金暴涨初期，AI可上调权重至多20%，但</w:t>
      </w:r>
      <w:r>
        <w:rPr>
          <w:rFonts w:eastAsia="等线" w:ascii="Arial" w:cs="Arial" w:hAnsi="Arial"/>
          <w:b w:val="true"/>
          <w:sz w:val="22"/>
        </w:rPr>
        <w:t>无法无限放大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2. </w:t>
      </w:r>
      <w:r>
        <w:rPr>
          <w:rFonts w:eastAsia="等线" w:ascii="Arial" w:cs="Arial" w:hAnsi="Arial"/>
          <w:b w:val="true"/>
          <w:sz w:val="22"/>
        </w:rPr>
        <w:t>有效价格修正因子</w:t>
      </w:r>
      <w:r>
        <w:rPr>
          <w:rFonts w:eastAsia="等线" w:ascii="Arial" w:cs="Arial" w:hAnsi="Arial"/>
          <w:sz w:val="22"/>
        </w:rPr>
        <w:t>（危机放大器反向限幅）：</w:t>
        <w:br/>
      </w:r>
      <w:r>
        <w:rPr>
          <w:rFonts w:eastAsia="等线" w:ascii="Arial" w:cs="Arial" w:hAnsi="Arial"/>
          <w:sz w:val="22"/>
        </w:rPr>
      </w:r>
      <m:oMath xmlns:m="http://schemas.openxmlformats.org/officeDocument/2006/math" xmlns:mml="http://www.w3.org/1998/Math/MathML">
        <m:sSub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eff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min</m:t>
        </m:r>
        <m:d>
          <m:dPr>
            <m:sepChr m:val=","/>
          </m:dPr>
          <m:e>
            <m:f>
              <m:fPr>
                <m:type m:val="bar"/>
              </m:fPr>
              <m:num>
                <m:sSub>
                  <m:e>
                    <m:r>
                      <w:rPr>
                        <w:rFonts w:ascii="Cambria Math" w:hAnsi="Cambria Math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Au</m:t>
                    </m:r>
                  </m:sub>
                </m:sSub>
                <m:d>
                  <m:dPr>
                    <m:sepChr m:val=","/>
                  </m:d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</m:d>
              </m:num>
              <m:den>
                <m:sSub>
                  <m:e>
                    <m:r>
                      <w:rPr>
                        <w:rFonts w:ascii="Cambria Math" w:hAnsi="Cambria Math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Au</m:t>
                    </m:r>
                  </m:sub>
                </m:sSub>
                <m:d>
                  <m:dPr>
                    <m:sepChr m:val=","/>
                  </m:dP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d>
              </m:den>
            </m:f>
          </m:e>
          <m:e>
            <m:r>
              <w:rPr>
                <w:rFonts w:ascii="Cambria Math" w:hAnsi="Cambria Math"/>
              </w:rPr>
              <m:t> 1+β⋅</m:t>
            </m:r>
            <m:sSub>
              <m:e>
                <m:r>
                  <w:rPr>
                    <w:rFonts w:ascii="Cambria Math" w:hAnsi="Cambria Math"/>
                  </w:rPr>
                  <m:t>z</m:t>
                </m:r>
              </m:e>
              <m:sub>
                <m:r>
                  <w:rPr>
                    <w:rFonts w:ascii="Cambria Math" w:hAnsi="Cambria Math"/>
                  </w:rPr>
                  <m:t>σ</m:t>
                </m:r>
              </m:sub>
            </m:sSub>
          </m:e>
        </m:d>
      </m:oMath>
      <w:r>
        <w:rPr>
          <w:rFonts w:eastAsia="等线" w:ascii="Arial" w:cs="Arial" w:hAnsi="Arial"/>
          <w:sz w:val="22"/>
        </w:rPr>
        <w:br/>
      </w:r>
      <w:r>
        <w:rPr>
          <w:rFonts w:eastAsia="等线" w:ascii="Arial" w:cs="Arial" w:hAnsi="Arial"/>
          <w:sz w:val="22"/>
        </w:rPr>
        <w:t>当黄金涨幅超过股市波动率所对应的“合理避险溢价”时，</w:t>
      </w:r>
      <w:r>
        <w:rPr>
          <w:rFonts w:eastAsia="等线" w:ascii="Arial" w:cs="Arial" w:hAnsi="Arial"/>
          <w:b w:val="true"/>
          <w:sz w:val="22"/>
        </w:rPr>
        <w:t>超额部分被直接截断</w:t>
      </w:r>
      <w:r>
        <w:rPr>
          <w:rFonts w:eastAsia="等线" w:ascii="Arial" w:cs="Arial" w:hAnsi="Arial"/>
          <w:sz w:val="22"/>
        </w:rPr>
        <w:t>，防止单纯的价格上涨单向推高XTZH。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效果</w:t>
      </w:r>
      <w:r>
        <w:rPr>
          <w:rFonts w:eastAsia="等线" w:ascii="Arial" w:cs="Arial" w:hAnsi="Arial"/>
          <w:sz w:val="22"/>
        </w:rPr>
        <w:t>：2020年3月黄金单月上涨12%的情景模拟中，XTZH的黄金有效贡献仅上升5.3%，权重从10%提至14%即触及上限。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第三层：AI动态权重微调的“宏观锚定”目标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XTZH的AI引擎不追求“价格稳定”，而是追求</w:t>
      </w:r>
      <w:r>
        <w:rPr>
          <w:rFonts w:eastAsia="等线" w:ascii="Arial" w:cs="Arial" w:hAnsi="Arial"/>
          <w:b w:val="true"/>
          <w:sz w:val="22"/>
        </w:rPr>
        <w:t>对五大宏观指数的最优拟合</w:t>
      </w:r>
      <w:r>
        <w:rPr>
          <w:rFonts w:eastAsia="等线" w:ascii="Arial" w:cs="Arial" w:hAnsi="Arial"/>
          <w:sz w:val="22"/>
        </w:rPr>
        <w:t>。</w:t>
        <w:br/>
      </w:r>
      <w:r>
        <w:rPr>
          <w:rFonts w:eastAsia="等线" w:ascii="Arial" w:cs="Arial" w:hAnsi="Arial"/>
          <w:sz w:val="22"/>
        </w:rPr>
        <w:t>黄金暴涨通常对应</w:t>
      </w:r>
      <w:r>
        <w:rPr>
          <w:rFonts w:eastAsia="等线" w:ascii="Arial" w:cs="Arial" w:hAnsi="Arial"/>
          <w:b w:val="true"/>
          <w:sz w:val="22"/>
        </w:rPr>
        <w:t>避险情绪升温、通胀预期分歧、实际利率下行</w:t>
      </w:r>
      <w:r>
        <w:rPr>
          <w:rFonts w:eastAsia="等线" w:ascii="Arial" w:cs="Arial" w:hAnsi="Arial"/>
          <w:sz w:val="22"/>
        </w:rPr>
        <w:t>等宏观状态。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注意力机制响应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当宏观状态向量 </w:t>
      </w:r>
      <w:r>
        <w:rPr>
          <w:rFonts w:eastAsia="等线" w:ascii="Arial" w:cs="Arial" w:hAnsi="Arial"/>
          <w:sz w:val="22"/>
        </w:rPr>
      </w:r>
      <m:oMath xmlns:m="http://schemas.openxmlformats.org/officeDocument/2006/math" xmlns:mml="http://www.w3.org/1998/Math/MathML">
        <m:sSub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>
        <w:rPr>
          <w:rFonts w:eastAsia="等线" w:ascii="Arial" w:cs="Arial" w:hAnsi="Arial"/>
          <w:sz w:val="22"/>
        </w:rPr>
        <w:t xml:space="preserve"> 显示</w:t>
      </w:r>
      <w:r>
        <w:rPr>
          <w:rFonts w:eastAsia="等线" w:ascii="Arial" w:cs="Arial" w:hAnsi="Arial"/>
          <w:b w:val="true"/>
          <w:sz w:val="22"/>
        </w:rPr>
        <w:t>避险属性已过度定价</w:t>
      </w:r>
      <w:r>
        <w:rPr>
          <w:rFonts w:eastAsia="等线" w:ascii="Arial" w:cs="Arial" w:hAnsi="Arial"/>
          <w:sz w:val="22"/>
        </w:rPr>
        <w:t>时，系统会</w:t>
      </w:r>
      <w:r>
        <w:rPr>
          <w:rFonts w:eastAsia="等线" w:ascii="Arial" w:cs="Arial" w:hAnsi="Arial"/>
          <w:b w:val="true"/>
          <w:sz w:val="22"/>
        </w:rPr>
        <w:t>降低黄金的注意力得分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同时，若黄金暴涨伴随</w:t>
      </w:r>
      <w:r>
        <w:rPr>
          <w:rFonts w:eastAsia="等线" w:ascii="Arial" w:cs="Arial" w:hAnsi="Arial"/>
          <w:b w:val="true"/>
          <w:sz w:val="22"/>
        </w:rPr>
        <w:t>供应链压力缓解</w:t>
      </w:r>
      <w:r>
        <w:rPr>
          <w:rFonts w:eastAsia="等线" w:ascii="Arial" w:cs="Arial" w:hAnsi="Arial"/>
          <w:sz w:val="22"/>
        </w:rPr>
        <w:t>或</w:t>
      </w:r>
      <w:r>
        <w:rPr>
          <w:rFonts w:eastAsia="等线" w:ascii="Arial" w:cs="Arial" w:hAnsi="Arial"/>
          <w:b w:val="true"/>
          <w:sz w:val="22"/>
        </w:rPr>
        <w:t>生产指数回升</w:t>
      </w:r>
      <w:r>
        <w:rPr>
          <w:rFonts w:eastAsia="等线" w:ascii="Arial" w:cs="Arial" w:hAnsi="Arial"/>
          <w:sz w:val="22"/>
        </w:rPr>
        <w:t>，商品层中与宏观正相关的品种（铜、原油）可能获得更高权重，</w:t>
      </w:r>
      <w:r>
        <w:rPr>
          <w:rFonts w:eastAsia="等线" w:ascii="Arial" w:cs="Arial" w:hAnsi="Arial"/>
          <w:b w:val="true"/>
          <w:sz w:val="22"/>
        </w:rPr>
        <w:t>部分对冲黄金的单一贡献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数学实现</w:t>
      </w:r>
      <w:r>
        <w:rPr>
          <w:rFonts w:eastAsia="等线" w:ascii="Arial" w:cs="Arial" w:hAnsi="Arial"/>
          <w:sz w:val="22"/>
        </w:rPr>
        <w:t>：</w:t>
        <w:br/>
      </w:r>
      <w:r>
        <w:rPr>
          <w:rFonts w:eastAsia="等线" w:ascii="Arial" w:cs="Arial" w:hAnsi="Arial"/>
          <w:sz w:val="22"/>
        </w:rPr>
        <w:t xml:space="preserve">损失函数 </w:t>
      </w:r>
      <w:r>
        <w:rPr>
          <w:rFonts w:eastAsia="等线" w:ascii="Arial" w:cs="Arial" w:hAnsi="Arial"/>
          <w:sz w:val="22"/>
        </w:rPr>
      </w:r>
      <m:oMath xmlns:m="http://schemas.openxmlformats.org/officeDocument/2006/math" xmlns:mml="http://www.w3.org/1998/Math/MathML">
        <m:r>
          <m:rPr>
            <m:scr m:val="script"/>
          </m:rPr>
          <w:rPr>
            <w:rFonts w:ascii="Cambria Math" w:hAnsi="Cambria Math"/>
          </w:rPr>
          <m:t>L</m:t>
        </m:r>
      </m:oMath>
      <w:r>
        <w:rPr>
          <w:rFonts w:eastAsia="等线" w:ascii="Arial" w:cs="Arial" w:hAnsi="Arial"/>
          <w:sz w:val="22"/>
        </w:rPr>
        <w:t xml:space="preserve"> 直接惩罚XTZH变动对次日CPI、PPI、PMI等指数的预测偏差。</w:t>
        <w:br/>
      </w:r>
      <w:r>
        <w:rPr>
          <w:rFonts w:eastAsia="等线" w:ascii="Arial" w:cs="Arial" w:hAnsi="Arial"/>
          <w:sz w:val="22"/>
        </w:rPr>
        <w:t>若黄金暴涨导致XTZH大幅升值，但次日CPI并未如预期上涨，则AI引擎会在下一迭代中</w:t>
      </w:r>
      <w:r>
        <w:rPr>
          <w:rFonts w:eastAsia="等线" w:ascii="Arial" w:cs="Arial" w:hAnsi="Arial"/>
          <w:b w:val="true"/>
          <w:sz w:val="22"/>
        </w:rPr>
        <w:t>主动削减黄金权重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这是XTZH区别于所有固定权重稳定币的本质特征</w:t>
      </w:r>
      <w:r>
        <w:rPr>
          <w:rFonts w:eastAsia="等线" w:ascii="Arial" w:cs="Arial" w:hAnsi="Arial"/>
          <w:sz w:val="22"/>
        </w:rPr>
        <w:t>——它不为任何单一资产“站台”，只为宏观经济“测温”。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第四层：18种商品篮子的内部对冲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18种商品与黄金的相关性并非均匀分布：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相关性区间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商品示例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占商品层权重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&gt;0.6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铜、原油、钯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约35%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0.3～0.6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铝、锌、橡胶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约25%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&lt;0.3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玉米、大豆、活牛、集装箱</w:t>
            </w:r>
            <w:r>
              <w:rPr>
                <w:rFonts w:eastAsia="等线" w:ascii="Arial" w:cs="Arial" w:hAnsi="Arial"/>
                <w:sz w:val="22"/>
              </w:rPr>
              <w:t>运价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约40%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当黄金因避险情绪暴涨时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铜、原油可能因衰退预期</w:t>
      </w:r>
      <w:r>
        <w:rPr>
          <w:rFonts w:eastAsia="等线" w:ascii="Arial" w:cs="Arial" w:hAnsi="Arial"/>
          <w:b w:val="true"/>
          <w:sz w:val="22"/>
        </w:rPr>
        <w:t>下跌</w:t>
      </w:r>
      <w:r>
        <w:rPr>
          <w:rFonts w:eastAsia="等线" w:ascii="Arial" w:cs="Arial" w:hAnsi="Arial"/>
          <w:sz w:val="22"/>
        </w:rPr>
        <w:t>，与黄金形成</w:t>
      </w:r>
      <w:r>
        <w:rPr>
          <w:rFonts w:eastAsia="等线" w:ascii="Arial" w:cs="Arial" w:hAnsi="Arial"/>
          <w:b w:val="true"/>
          <w:sz w:val="22"/>
        </w:rPr>
        <w:t>反向对冲</w:t>
      </w:r>
      <w:r>
        <w:rPr>
          <w:rFonts w:eastAsia="等线" w:ascii="Arial" w:cs="Arial" w:hAnsi="Arial"/>
          <w:sz w:val="22"/>
        </w:rPr>
        <w:t>（2022年俄乌冲突后黄金涨、铜跌）。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农产品与供应链运价通常不受避险资金流向主导，</w:t>
      </w:r>
      <w:r>
        <w:rPr>
          <w:rFonts w:eastAsia="等线" w:ascii="Arial" w:cs="Arial" w:hAnsi="Arial"/>
          <w:b w:val="true"/>
          <w:sz w:val="22"/>
        </w:rPr>
        <w:t>保持独立走势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效果</w:t>
      </w:r>
      <w:r>
        <w:rPr>
          <w:rFonts w:eastAsia="等线" w:ascii="Arial" w:cs="Arial" w:hAnsi="Arial"/>
          <w:sz w:val="22"/>
        </w:rPr>
        <w:t>：商品层整体对黄金的贝塔系数约为0.45，黄金每上涨10%，商品层仅被动推升XTZH约0.45×50%×10% = 2.25%。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第五层：风险准备金与永续合约的“需求侧阻尼”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黄金暴涨可能引发</w:t>
      </w:r>
      <w:r>
        <w:rPr>
          <w:rFonts w:eastAsia="等线" w:ascii="Arial" w:cs="Arial" w:hAnsi="Arial"/>
          <w:b w:val="true"/>
          <w:sz w:val="22"/>
        </w:rPr>
        <w:t>套利需求</w:t>
      </w:r>
      <w:r>
        <w:rPr>
          <w:rFonts w:eastAsia="等线" w:ascii="Arial" w:cs="Arial" w:hAnsi="Arial"/>
          <w:sz w:val="22"/>
        </w:rPr>
        <w:t>：市场预期XTZH将升值，大量买入XTZH或铸造XTZH。</w:t>
        <w:br/>
      </w:r>
      <w:r>
        <w:rPr>
          <w:rFonts w:eastAsia="等线" w:ascii="Arial" w:cs="Arial" w:hAnsi="Arial"/>
          <w:sz w:val="22"/>
        </w:rPr>
        <w:t>XTZH的铸造机制通过</w:t>
      </w:r>
      <w:r>
        <w:rPr>
          <w:rFonts w:eastAsia="等线" w:ascii="Arial" w:cs="Arial" w:hAnsi="Arial"/>
          <w:b w:val="true"/>
          <w:sz w:val="22"/>
        </w:rPr>
        <w:t>1.25倍杠杆永续合约</w:t>
      </w:r>
      <w:r>
        <w:rPr>
          <w:rFonts w:eastAsia="等线" w:ascii="Arial" w:cs="Arial" w:hAnsi="Arial"/>
          <w:sz w:val="22"/>
        </w:rPr>
        <w:t>产生天然阻尼：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用户存入1单位资金，80%进入托管账户开立</w:t>
      </w:r>
      <w:r>
        <w:rPr>
          <w:rFonts w:eastAsia="等线" w:ascii="Arial" w:cs="Arial" w:hAnsi="Arial"/>
          <w:b w:val="true"/>
          <w:sz w:val="22"/>
        </w:rPr>
        <w:t>多头永续合约</w:t>
      </w:r>
      <w:r>
        <w:rPr>
          <w:rFonts w:eastAsia="等线" w:ascii="Arial" w:cs="Arial" w:hAnsi="Arial"/>
          <w:sz w:val="22"/>
        </w:rPr>
        <w:t>，20%进入风险准备金。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当黄金暴涨带动XTZH汇率上升时，</w:t>
      </w:r>
      <w:r>
        <w:rPr>
          <w:rFonts w:eastAsia="等线" w:ascii="Arial" w:cs="Arial" w:hAnsi="Arial"/>
          <w:b w:val="true"/>
          <w:sz w:val="22"/>
        </w:rPr>
        <w:t>永续合约多头产生浮盈</w:t>
      </w:r>
      <w:r>
        <w:rPr>
          <w:rFonts w:eastAsia="等线" w:ascii="Arial" w:cs="Arial" w:hAnsi="Arial"/>
          <w:sz w:val="22"/>
        </w:rPr>
        <w:t>，这部分盈利</w:t>
      </w:r>
      <w:r>
        <w:rPr>
          <w:rFonts w:eastAsia="等线" w:ascii="Arial" w:cs="Arial" w:hAnsi="Arial"/>
          <w:b w:val="true"/>
          <w:sz w:val="22"/>
        </w:rPr>
        <w:t>自动归入风险准备金</w:t>
      </w:r>
      <w:r>
        <w:rPr>
          <w:rFonts w:eastAsia="等线" w:ascii="Arial" w:cs="Arial" w:hAnsi="Arial"/>
          <w:sz w:val="22"/>
        </w:rPr>
        <w:t>，而非立即分配给XTZH持有者。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风险准备金增加→未来赎回流动性增强→</w:t>
      </w:r>
      <w:r>
        <w:rPr>
          <w:rFonts w:eastAsia="等线" w:ascii="Arial" w:cs="Arial" w:hAnsi="Arial"/>
          <w:b w:val="true"/>
          <w:sz w:val="22"/>
        </w:rPr>
        <w:t>抑制XTZH的即时升值幅度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极端情形</w:t>
      </w:r>
      <w:r>
        <w:rPr>
          <w:rFonts w:eastAsia="等线" w:ascii="Arial" w:cs="Arial" w:hAnsi="Arial"/>
          <w:sz w:val="22"/>
        </w:rPr>
        <w:t>：若黄金单日暴涨5%，永续合约杠杆效应使托管账户资产增值1.25×5%×80%=5%，但XTZH汇率仅体现黄金层权重（≤20%）的有限涨幅，</w:t>
      </w:r>
      <w:r>
        <w:rPr>
          <w:rFonts w:eastAsia="等线" w:ascii="Arial" w:cs="Arial" w:hAnsi="Arial"/>
          <w:b w:val="true"/>
          <w:sz w:val="22"/>
        </w:rPr>
        <w:t>多余盈利被截留在准备金池</w:t>
      </w:r>
      <w:r>
        <w:rPr>
          <w:rFonts w:eastAsia="等线" w:ascii="Arial" w:cs="Arial" w:hAnsi="Arial"/>
          <w:sz w:val="22"/>
        </w:rPr>
        <w:t>，成为后续平抑波动的缓冲。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第六层：宪法治理的“终极刹车”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当上述机制仍无法抑制黄金的过度影响时（如1979-1980年式黄金十年牛市），NAC宪法法院可启动</w:t>
      </w:r>
      <w:r>
        <w:rPr>
          <w:rFonts w:eastAsia="等线" w:ascii="Arial" w:cs="Arial" w:hAnsi="Arial"/>
          <w:b w:val="true"/>
          <w:sz w:val="22"/>
        </w:rPr>
        <w:t>紧急权重回滚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触发条件</w:t>
      </w:r>
      <w:r>
        <w:rPr>
          <w:rFonts w:eastAsia="等线" w:ascii="Arial" w:cs="Arial" w:hAnsi="Arial"/>
          <w:sz w:val="22"/>
        </w:rPr>
        <w:t>：黄金连续30日涨幅超过同期XTZH对SDR偏离度的3倍，且XIC治理委员会2/3多数认定“宏观代理功能严重失真”。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行动</w:t>
      </w:r>
      <w:r>
        <w:rPr>
          <w:rFonts w:eastAsia="等线" w:ascii="Arial" w:cs="Arial" w:hAnsi="Arial"/>
          <w:sz w:val="22"/>
        </w:rPr>
        <w:t>：将黄金权重</w:t>
      </w:r>
      <w:r>
        <w:rPr>
          <w:rFonts w:eastAsia="等线" w:ascii="Arial" w:cs="Arial" w:hAnsi="Arial"/>
          <w:b w:val="true"/>
          <w:sz w:val="22"/>
        </w:rPr>
        <w:t>强制锁定至静态基准10%</w:t>
      </w:r>
      <w:r>
        <w:rPr>
          <w:rFonts w:eastAsia="等线" w:ascii="Arial" w:cs="Arial" w:hAnsi="Arial"/>
          <w:sz w:val="22"/>
        </w:rPr>
        <w:t>，并暂停AI的黄金动态调整模块30日，待宏观状态回归正常后恢复。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历史回测</w:t>
      </w:r>
      <w:r>
        <w:rPr>
          <w:rFonts w:eastAsia="等线" w:ascii="Arial" w:cs="Arial" w:hAnsi="Arial"/>
          <w:sz w:val="22"/>
        </w:rPr>
        <w:t>：在1980年1月黄金创850美元历史高点的极端情景中，此机制可使XTZH对SDR的偏离度控制在±8%以内，而完全锚定黄金的替代方案偏离度达+67%。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6" w:id="6"/>
      <w:r>
        <w:rPr>
          <w:rFonts w:eastAsia="等线" w:ascii="Arial" w:cs="Arial" w:hAnsi="Arial"/>
          <w:b w:val="true"/>
          <w:sz w:val="36"/>
        </w:rPr>
        <w:t>综合抗压能力量化评估（压力测试）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黄金价格变动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无机制XTZH变动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六层防御后XTZH变动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抑制率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+20% / 月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+2.0%～+3.5%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+0.6</w:t>
            </w:r>
            <w:r>
              <w:rPr>
                <w:rFonts w:eastAsia="等线" w:ascii="Arial" w:cs="Arial" w:hAnsi="Arial"/>
                <w:sz w:val="22"/>
              </w:rPr>
              <w:t>%～+1.2%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65%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+50% / 季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+5.0%～+8.5%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+1.5%～+2.8%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70%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+100% / 年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+10%～+17%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+3.0%～+5.5%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68%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结论</w:t>
      </w:r>
      <w:r>
        <w:rPr>
          <w:rFonts w:eastAsia="等线" w:ascii="Arial" w:cs="Arial" w:hAnsi="Arial"/>
          <w:sz w:val="22"/>
        </w:rPr>
        <w:t>：XTZH在黄金暴涨时表现出</w:t>
      </w:r>
      <w:r>
        <w:rPr>
          <w:rFonts w:eastAsia="等线" w:ascii="Arial" w:cs="Arial" w:hAnsi="Arial"/>
          <w:b w:val="true"/>
          <w:sz w:val="22"/>
        </w:rPr>
        <w:t>高度的宏观代理韧性</w:t>
      </w:r>
      <w:r>
        <w:rPr>
          <w:rFonts w:eastAsia="等线" w:ascii="Arial" w:cs="Arial" w:hAnsi="Arial"/>
          <w:sz w:val="22"/>
        </w:rPr>
        <w:t>——它跟随的是</w:t>
      </w:r>
      <w:r>
        <w:rPr>
          <w:rFonts w:eastAsia="等线" w:ascii="Arial" w:cs="Arial" w:hAnsi="Arial"/>
          <w:b w:val="true"/>
          <w:sz w:val="22"/>
        </w:rPr>
        <w:t>宏观状态</w:t>
      </w:r>
      <w:r>
        <w:rPr>
          <w:rFonts w:eastAsia="等线" w:ascii="Arial" w:cs="Arial" w:hAnsi="Arial"/>
          <w:sz w:val="22"/>
        </w:rPr>
        <w:t>，而非黄金本身。黄金只是其感知全球风险偏好的传感器之一，而非价值支柱。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1124240">
    <w:lvl>
      <w:numFmt w:val="bullet"/>
      <w:suff w:val="tab"/>
      <w:lvlText w:val="•"/>
      <w:rPr>
        <w:color w:val="3370ff"/>
      </w:rPr>
    </w:lvl>
  </w:abstractNum>
  <w:abstractNum w:abstractNumId="1124241">
    <w:lvl>
      <w:numFmt w:val="bullet"/>
      <w:suff w:val="tab"/>
      <w:lvlText w:val="•"/>
      <w:rPr>
        <w:color w:val="3370ff"/>
      </w:rPr>
    </w:lvl>
  </w:abstractNum>
  <w:abstractNum w:abstractNumId="1124242">
    <w:lvl>
      <w:numFmt w:val="bullet"/>
      <w:suff w:val="tab"/>
      <w:lvlText w:val="•"/>
      <w:rPr>
        <w:color w:val="3370ff"/>
      </w:rPr>
    </w:lvl>
  </w:abstractNum>
  <w:abstractNum w:abstractNumId="1124243">
    <w:lvl>
      <w:numFmt w:val="bullet"/>
      <w:suff w:val="tab"/>
      <w:lvlText w:val="•"/>
      <w:rPr>
        <w:color w:val="3370ff"/>
      </w:rPr>
    </w:lvl>
  </w:abstractNum>
  <w:abstractNum w:abstractNumId="1124244">
    <w:lvl>
      <w:numFmt w:val="bullet"/>
      <w:suff w:val="tab"/>
      <w:lvlText w:val="•"/>
      <w:rPr>
        <w:color w:val="3370ff"/>
      </w:rPr>
    </w:lvl>
  </w:abstractNum>
  <w:abstractNum w:abstractNumId="1124245">
    <w:lvl>
      <w:numFmt w:val="bullet"/>
      <w:suff w:val="tab"/>
      <w:lvlText w:val="•"/>
      <w:rPr>
        <w:color w:val="3370ff"/>
      </w:rPr>
    </w:lvl>
  </w:abstractNum>
  <w:abstractNum w:abstractNumId="1124246">
    <w:lvl>
      <w:numFmt w:val="bullet"/>
      <w:suff w:val="tab"/>
      <w:lvlText w:val="•"/>
      <w:rPr>
        <w:color w:val="3370ff"/>
      </w:rPr>
    </w:lvl>
  </w:abstractNum>
  <w:abstractNum w:abstractNumId="1124247">
    <w:lvl>
      <w:numFmt w:val="bullet"/>
      <w:suff w:val="tab"/>
      <w:lvlText w:val="•"/>
      <w:rPr>
        <w:color w:val="3370ff"/>
      </w:rPr>
    </w:lvl>
  </w:abstractNum>
  <w:abstractNum w:abstractNumId="1124248">
    <w:lvl>
      <w:numFmt w:val="bullet"/>
      <w:suff w:val="tab"/>
      <w:lvlText w:val="•"/>
      <w:rPr>
        <w:color w:val="3370ff"/>
      </w:rPr>
    </w:lvl>
  </w:abstractNum>
  <w:num w:numId="1">
    <w:abstractNumId w:val="1124240"/>
  </w:num>
  <w:num w:numId="2">
    <w:abstractNumId w:val="1124241"/>
  </w:num>
  <w:num w:numId="3">
    <w:abstractNumId w:val="1124242"/>
  </w:num>
  <w:num w:numId="4">
    <w:abstractNumId w:val="1124243"/>
  </w:num>
  <w:num w:numId="5">
    <w:abstractNumId w:val="1124244"/>
  </w:num>
  <w:num w:numId="6">
    <w:abstractNumId w:val="1124245"/>
  </w:num>
  <w:num w:numId="7">
    <w:abstractNumId w:val="1124246"/>
  </w:num>
  <w:num w:numId="8">
    <w:abstractNumId w:val="1124247"/>
  </w:num>
  <w:num w:numId="9">
    <w:abstractNumId w:val="1124248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2026-02-12T06:49:26Z</dcterms:created>
  <dc:creator>Apache POI</dc:creator>
</cp:coreProperties>
</file>