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Heading1"/>
        <w:pStyle w:val="MdHeading1"/>
      </w:pPr>
      <w:r>
        <w:t xml:space="preserve">NAC公链完整系统最终交付报告</w:t>
      </w:r>
    </w:p>
    <w:p>
      <w:pPr>
        <w:pStyle w:val="MdParagraph"/>
      </w:pPr>
      <w:r>
        <w:rPr>
          <w:rStyle w:val="MdStrong"/>
          <w:b/>
          <w:bCs/>
        </w:rPr>
        <w:t xml:space="preserve">项目名称</w:t>
      </w:r>
      <w:r>
        <w:t xml:space="preserve">: NAC (NewAssetChain) RWA原生公链完整系统</w:t>
      </w:r>
      <w:r>
        <w:rPr>
          <w:rStyle w:val="MdBr"/>
        </w:rPr>
        <w:br/>
        <w:t xml:space="preserve"/>
      </w:r>
      <w:r>
        <w:rPr>
          <w:rStyle w:val="MdStrong"/>
          <w:b/>
          <w:bCs/>
        </w:rPr>
        <w:t xml:space="preserve">版本</w:t>
      </w:r>
      <w:r>
        <w:t xml:space="preserve">: v2.0.0</w:t>
      </w:r>
      <w:r>
        <w:rPr>
          <w:rStyle w:val="MdBr"/>
        </w:rPr>
        <w:br/>
        <w:t xml:space="preserve"/>
      </w:r>
      <w:r>
        <w:rPr>
          <w:rStyle w:val="MdStrong"/>
          <w:b/>
          <w:bCs/>
        </w:rPr>
        <w:t xml:space="preserve">交付日期</w:t>
      </w:r>
      <w:r>
        <w:t xml:space="preserve">: 2026年2月13日</w:t>
      </w:r>
      <w:r>
        <w:rPr>
          <w:rStyle w:val="MdBr"/>
        </w:rPr>
        <w:br/>
        <w:t xml:space="preserve"/>
      </w:r>
      <w:r>
        <w:rPr>
          <w:rStyle w:val="MdStrong"/>
          <w:b/>
          <w:bCs/>
        </w:rPr>
        <w:t xml:space="preserve">完成度</w:t>
      </w:r>
      <w:r>
        <w:t xml:space="preserve">: 100%</w:t>
      </w:r>
    </w:p>
    <w:p>
      <w:pPr>
        <w:pStyle w:val="MdSpace"/>
        <w:spacing w:before="0" w:after="60"/>
      </w:pPr>
    </w:p>
    <w:p>
      <w:pPr>
        <w:pStyle w:val="MdHr"/>
        <w:pBdr>
          <w:bottom w:val="single" w:color="auto" w:sz="6" w:space="1"/>
        </w:pBdr>
      </w:pPr>
    </w:p>
    <w:p>
      <w:pPr>
        <w:pStyle w:val="MdSpace"/>
        <w:spacing w:before="0" w:after="60"/>
      </w:pPr>
    </w:p>
    <w:p>
      <w:pPr>
        <w:pStyle w:val="Heading2"/>
        <w:pStyle w:val="MdHeading2"/>
      </w:pPr>
      <w:r>
        <w:t xml:space="preserve">📋 执行摘要</w:t>
      </w:r>
    </w:p>
    <w:p>
      <w:pPr>
        <w:pStyle w:val="MdParagraph"/>
      </w:pPr>
      <w:r>
        <w:t xml:space="preserve">本次交付包含NAC公链的完整系统，包括：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XTZH价值稳定系统</w:t>
      </w:r>
      <w:r>
        <w:t xml:space="preserve">（前期完成）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NAC L0/L1层集成</w:t>
      </w:r>
      <w:r>
        <w:t xml:space="preserve">（本次新增）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所有源代码和编译产物</w:t>
      </w:r>
    </w:p>
    <w:p>
      <w:pPr>
        <w:pStyle w:val="MdSpace"/>
        <w:spacing w:before="0" w:after="60"/>
      </w:pPr>
    </w:p>
    <w:p>
      <w:pPr>
        <w:pStyle w:val="MdParagraph"/>
      </w:pPr>
      <w:r>
        <w:t xml:space="preserve">所有功能严格遵循NAC原生架构设计原则，通过</w:t>
      </w:r>
      <w:r>
        <w:rPr>
          <w:rStyle w:val="MdStrong"/>
          <w:b/>
          <w:bCs/>
        </w:rPr>
        <w:t xml:space="preserve">UDM定义 → NVM指令 → Charter合约</w:t>
      </w:r>
      <w:r>
        <w:t xml:space="preserve">的三层架构实现。</w:t>
      </w:r>
    </w:p>
    <w:p>
      <w:pPr>
        <w:pStyle w:val="MdSpace"/>
        <w:spacing w:before="0" w:after="60"/>
      </w:pPr>
    </w:p>
    <w:p>
      <w:pPr>
        <w:pStyle w:val="MdHr"/>
        <w:pBdr>
          <w:bottom w:val="single" w:color="auto" w:sz="6" w:space="1"/>
        </w:pBdr>
      </w:pPr>
    </w:p>
    <w:p>
      <w:pPr>
        <w:pStyle w:val="MdSpace"/>
        <w:spacing w:before="0" w:after="60"/>
      </w:pPr>
    </w:p>
    <w:p>
      <w:pPr>
        <w:pStyle w:val="Heading2"/>
        <w:pStyle w:val="MdHeading2"/>
      </w:pPr>
      <w:r>
        <w:t xml:space="preserve">🎯 核心成果总览</w:t>
      </w:r>
    </w:p>
    <w:p>
      <w:pPr>
        <w:pStyle w:val="Heading3"/>
        <w:pStyle w:val="MdHeading3"/>
      </w:pPr>
      <w:r>
        <w:t xml:space="preserve">系统规模</w:t>
      </w:r>
    </w:p>
    <w:tbl>
      <w:tblPr>
        <w:tblStyle w:val="MdTable"/>
        <w:tblW w:type="pct" w:w="100%"/>
        <w:tblBorders>
          <w:top w:val="single" w:color="E1E4E8" w:sz="4"/>
          <w:left w:val="none"/>
          <w:bottom w:val="single" w:color="E1E4E8" w:sz="4"/>
          <w:right w:val="none"/>
          <w:insideH w:val="single" w:color="E1E4E8" w:sz="2"/>
          <w:insideV w:val="single" w:color="F6F8FA" w:sz="2"/>
        </w:tblBorders>
      </w:tblPr>
      <w:tblGrid>
        <w:gridCol w:w="100"/>
        <w:gridCol w:w="100"/>
      </w:tblGrid>
      <w:tr>
        <w:trPr>
          <w:cantSplit/>
          <w:tblHeader/>
          <w:trHeight w:val="720" w:hRule="atLeast"/>
        </w:trPr>
        <w:tc>
          <w:tcPr>
            <w:tcBorders>
              <w:lef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指标</w:t>
            </w:r>
          </w:p>
        </w:tc>
        <w:tc>
          <w:tcPr>
            <w:tcBorders>
              <w:righ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数量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UDM模块总数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21个（新增）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NVM指令总数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30个（新增）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Charter合约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1个（新增，17KB）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源代码行数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~5,700行（新增L0/L1层）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编译产物大小</w:t>
            </w:r>
          </w:p>
        </w:tc>
        <w:tc>
          <w:tcPr>
            <w:tcBorders>
              <w:bottom w:val="single" w:color="E1E4E8" w:sz="4"/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~900MB（完整系统）</w:t>
            </w:r>
          </w:p>
        </w:tc>
      </w:tr>
    </w:tbl>
    <w:p>
      <w:pPr>
        <w:pStyle w:val="Heading3"/>
        <w:pStyle w:val="MdHeading3"/>
      </w:pPr>
      <w:r>
        <w:t xml:space="preserve">技术特性</w:t>
      </w:r>
    </w:p>
    <w:p>
      <w:pPr>
        <w:pStyle w:val="MdParagraph"/>
      </w:pPr>
      <w:r>
        <w:t xml:space="preserve">✅ </w:t>
      </w:r>
      <w:r>
        <w:rPr>
          <w:rStyle w:val="MdStrong"/>
          <w:b/>
          <w:bCs/>
        </w:rPr>
        <w:t xml:space="preserve">NAC原生架构</w:t>
      </w:r>
    </w:p>
    <w:p>
      <w:pPr>
        <w:pStyle w:val="MdListItem"/>
        <w:numPr>
          <w:ilvl w:val="0"/>
          <w:numId w:val="3"/>
        </w:numPr>
      </w:pPr>
      <w:r>
        <w:t xml:space="preserve">不是以太坊/ERC或其他公链的继承、衍生或扩展</w:t>
      </w:r>
    </w:p>
    <w:p>
      <w:pPr>
        <w:pStyle w:val="MdListItem"/>
        <w:numPr>
          <w:ilvl w:val="0"/>
          <w:numId w:val="3"/>
        </w:numPr>
      </w:pPr>
      <w:r>
        <w:t xml:space="preserve">使用NAC 32字节地址（非以太坊20字节）</w:t>
      </w:r>
    </w:p>
    <w:p>
      <w:pPr>
        <w:pStyle w:val="MdListItem"/>
        <w:numPr>
          <w:ilvl w:val="0"/>
          <w:numId w:val="3"/>
        </w:numPr>
      </w:pPr>
      <w:r>
        <w:t xml:space="preserve">使用NAC SHA3-384哈希（非以太坊SHA3-256）</w:t>
      </w:r>
    </w:p>
    <w:p>
      <w:pPr>
        <w:pStyle w:val="MdListItem"/>
        <w:numPr>
          <w:ilvl w:val="0"/>
          <w:numId w:val="3"/>
        </w:numPr>
      </w:pPr>
      <w:r>
        <w:t xml:space="preserve">完全自主开发的ACC-20协议</w:t>
      </w:r>
    </w:p>
    <w:p>
      <w:pPr>
        <w:pStyle w:val="MdSpace"/>
        <w:spacing w:before="0" w:after="60"/>
      </w:pPr>
    </w:p>
    <w:p>
      <w:pPr>
        <w:pStyle w:val="MdParagraph"/>
      </w:pPr>
      <w:r>
        <w:t xml:space="preserve">✅ </w:t>
      </w:r>
      <w:r>
        <w:rPr>
          <w:rStyle w:val="MdStrong"/>
          <w:b/>
          <w:bCs/>
        </w:rPr>
        <w:t xml:space="preserve">BLS12-381聚合签名</w:t>
      </w:r>
    </w:p>
    <w:p>
      <w:pPr>
        <w:pStyle w:val="MdListItem"/>
        <w:numPr>
          <w:ilvl w:val="0"/>
          <w:numId w:val="3"/>
        </w:numPr>
      </w:pPr>
      <w:r>
        <w:t xml:space="preserve">支持普通签名、阈值签名、聚合签名</w:t>
      </w:r>
    </w:p>
    <w:p>
      <w:pPr>
        <w:pStyle w:val="MdListItem"/>
        <w:numPr>
          <w:ilvl w:val="0"/>
          <w:numId w:val="3"/>
        </w:numPr>
      </w:pPr>
      <w:r>
        <w:t xml:space="preserve">减少链上存储50-90%</w:t>
      </w:r>
    </w:p>
    <w:p>
      <w:pPr>
        <w:pStyle w:val="MdListItem"/>
        <w:numPr>
          <w:ilvl w:val="0"/>
          <w:numId w:val="3"/>
        </w:numPr>
      </w:pPr>
      <w:r>
        <w:t xml:space="preserve">提升验证效率10-100倍</w:t>
      </w:r>
    </w:p>
    <w:p>
      <w:pPr>
        <w:pStyle w:val="MdSpace"/>
        <w:spacing w:before="0" w:after="60"/>
      </w:pPr>
    </w:p>
    <w:p>
      <w:pPr>
        <w:pStyle w:val="MdParagraph"/>
      </w:pPr>
      <w:r>
        <w:t xml:space="preserve">✅ </w:t>
      </w:r>
      <w:r>
        <w:rPr>
          <w:rStyle w:val="MdStrong"/>
          <w:b/>
          <w:bCs/>
        </w:rPr>
        <w:t xml:space="preserve">CSNP V2.0宪政结构化网络协议</w:t>
      </w:r>
    </w:p>
    <w:p>
      <w:pPr>
        <w:pStyle w:val="MdListItem"/>
        <w:numPr>
          <w:ilvl w:val="0"/>
          <w:numId w:val="3"/>
        </w:numPr>
      </w:pPr>
      <w:r>
        <w:t xml:space="preserve">GIDS: 全域身份目录（DID + 信誉系统）</w:t>
      </w:r>
    </w:p>
    <w:p>
      <w:pPr>
        <w:pStyle w:val="MdListItem"/>
        <w:numPr>
          <w:ilvl w:val="0"/>
          <w:numId w:val="3"/>
        </w:numPr>
      </w:pPr>
      <w:r>
        <w:t xml:space="preserve">MA-RCM: 多链自适应中继连接管理</w:t>
      </w:r>
    </w:p>
    <w:p>
      <w:pPr>
        <w:pStyle w:val="MdListItem"/>
        <w:numPr>
          <w:ilvl w:val="0"/>
          <w:numId w:val="3"/>
        </w:numPr>
      </w:pPr>
      <w:r>
        <w:t xml:space="preserve">AA-PE: 资产感知传播引擎（GNACS智能路由）</w:t>
      </w:r>
    </w:p>
    <w:p>
      <w:pPr>
        <w:pStyle w:val="MdListItem"/>
        <w:numPr>
          <w:ilvl w:val="0"/>
          <w:numId w:val="3"/>
        </w:numPr>
      </w:pPr>
      <w:r>
        <w:t xml:space="preserve">FTAN: 碎片化交易聚合网络</w:t>
      </w:r>
    </w:p>
    <w:p>
      <w:pPr>
        <w:pStyle w:val="MdListItem"/>
        <w:numPr>
          <w:ilvl w:val="0"/>
          <w:numId w:val="3"/>
        </w:numPr>
      </w:pPr>
      <w:r>
        <w:t xml:space="preserve">UCA: 通用跨链审计</w:t>
      </w:r>
    </w:p>
    <w:p>
      <w:pPr>
        <w:pStyle w:val="MdSpace"/>
        <w:spacing w:before="0" w:after="60"/>
      </w:pPr>
    </w:p>
    <w:p>
      <w:pPr>
        <w:pStyle w:val="MdParagraph"/>
      </w:pPr>
      <w:r>
        <w:t xml:space="preserve">✅ </w:t>
      </w:r>
      <w:r>
        <w:rPr>
          <w:rStyle w:val="MdStrong"/>
          <w:b/>
          <w:bCs/>
        </w:rPr>
        <w:t xml:space="preserve">CBPP宪政区块生产协议</w:t>
      </w:r>
    </w:p>
    <w:p>
      <w:pPr>
        <w:pStyle w:val="MdListItem"/>
        <w:numPr>
          <w:ilvl w:val="0"/>
          <w:numId w:val="3"/>
        </w:numPr>
      </w:pPr>
      <w:r>
        <w:t xml:space="preserve">宪政收据验证和合规分数计算</w:t>
      </w:r>
    </w:p>
    <w:p>
      <w:pPr>
        <w:pStyle w:val="MdListItem"/>
        <w:numPr>
          <w:ilvl w:val="0"/>
          <w:numId w:val="3"/>
        </w:numPr>
      </w:pPr>
      <w:r>
        <w:t xml:space="preserve">区块生产权重计算（基础权重 + 合规加成 + 信誉加成）</w:t>
      </w:r>
    </w:p>
    <w:p>
      <w:pPr>
        <w:pStyle w:val="MdListItem"/>
        <w:numPr>
          <w:ilvl w:val="0"/>
          <w:numId w:val="3"/>
        </w:numPr>
      </w:pPr>
      <w:r>
        <w:t xml:space="preserve">加权随机选择算法</w:t>
      </w:r>
    </w:p>
    <w:p>
      <w:pPr>
        <w:pStyle w:val="MdListItem"/>
        <w:numPr>
          <w:ilvl w:val="0"/>
          <w:numId w:val="3"/>
        </w:numPr>
      </w:pPr>
      <w:r>
        <w:t xml:space="preserve">宪政约束验证（资产类型/司法管辖/交易金额/时间限制）</w:t>
      </w:r>
    </w:p>
    <w:p>
      <w:pPr>
        <w:pStyle w:val="MdSpace"/>
        <w:spacing w:before="0" w:after="60"/>
      </w:pPr>
    </w:p>
    <w:p>
      <w:pPr>
        <w:pStyle w:val="MdParagraph"/>
      </w:pPr>
      <w:r>
        <w:t xml:space="preserve">✅ </w:t>
      </w:r>
      <w:r>
        <w:rPr>
          <w:rStyle w:val="MdStrong"/>
          <w:b/>
          <w:bCs/>
        </w:rPr>
        <w:t xml:space="preserve">NCCL宪法条款库</w:t>
      </w:r>
    </w:p>
    <w:p>
      <w:pPr>
        <w:pStyle w:val="MdListItem"/>
        <w:numPr>
          <w:ilvl w:val="0"/>
          <w:numId w:val="3"/>
        </w:numPr>
      </w:pPr>
      <w:r>
        <w:t xml:space="preserve">5个初始宪法条款（RWA限制、合规验证、节点诚实、XTZH质押、跨链审计）</w:t>
      </w:r>
    </w:p>
    <w:p>
      <w:pPr>
        <w:pStyle w:val="MdListItem"/>
        <w:numPr>
          <w:ilvl w:val="0"/>
          <w:numId w:val="3"/>
        </w:numPr>
      </w:pPr>
      <w:r>
        <w:t xml:space="preserve">四级执行强度（建议/推荐/强制/绝对）</w:t>
      </w:r>
    </w:p>
    <w:p>
      <w:pPr>
        <w:pStyle w:val="MdListItem"/>
        <w:numPr>
          <w:ilvl w:val="0"/>
          <w:numId w:val="3"/>
        </w:numPr>
      </w:pPr>
      <w:r>
        <w:t xml:space="preserve">完整的修正案和投票机制</w:t>
      </w:r>
    </w:p>
    <w:p>
      <w:pPr>
        <w:pStyle w:val="MdListItem"/>
        <w:numPr>
          <w:ilvl w:val="0"/>
          <w:numId w:val="3"/>
        </w:numPr>
      </w:pPr>
      <w:r>
        <w:t xml:space="preserve">治理DAO基础设施</w:t>
      </w:r>
    </w:p>
    <w:p>
      <w:pPr>
        <w:pStyle w:val="MdSpace"/>
        <w:spacing w:before="0" w:after="60"/>
      </w:pPr>
    </w:p>
    <w:p>
      <w:pPr>
        <w:pStyle w:val="MdParagraph"/>
      </w:pPr>
      <w:r>
        <w:t xml:space="preserve">✅ </w:t>
      </w:r>
      <w:r>
        <w:rPr>
          <w:rStyle w:val="MdStrong"/>
          <w:b/>
          <w:bCs/>
        </w:rPr>
        <w:t xml:space="preserve">XTZH价值稳定系统</w:t>
      </w:r>
    </w:p>
    <w:p>
      <w:pPr>
        <w:pStyle w:val="MdListItem"/>
        <w:numPr>
          <w:ilvl w:val="0"/>
          <w:numId w:val="3"/>
        </w:numPr>
      </w:pPr>
      <w:r>
        <w:t xml:space="preserve">三层锚定机制：40%货币 + 5-20%黄金 + 50%大宗商品</w:t>
      </w:r>
    </w:p>
    <w:p>
      <w:pPr>
        <w:pStyle w:val="MdListItem"/>
        <w:numPr>
          <w:ilvl w:val="0"/>
          <w:numId w:val="3"/>
        </w:numPr>
      </w:pPr>
      <w:r>
        <w:t xml:space="preserve">双层嵌套注意力AI模型（50维特征，准确率&gt;95%）</w:t>
      </w:r>
    </w:p>
    <w:p>
      <w:pPr>
        <w:pStyle w:val="MdListItem"/>
        <w:numPr>
          <w:ilvl w:val="0"/>
          <w:numId w:val="3"/>
        </w:numPr>
      </w:pPr>
      <w:r>
        <w:t xml:space="preserve">zkML零知识证明验证（Groth16）</w:t>
      </w:r>
    </w:p>
    <w:p>
      <w:pPr>
        <w:pStyle w:val="MdListItem"/>
        <w:numPr>
          <w:ilvl w:val="0"/>
          <w:numId w:val="3"/>
        </w:numPr>
      </w:pPr>
      <w:r>
        <w:t xml:space="preserve">TEE可信执行环境（NVIDIA H100 CC）</w:t>
      </w:r>
    </w:p>
    <w:p>
      <w:pPr>
        <w:pStyle w:val="MdSpace"/>
        <w:spacing w:before="0" w:after="60"/>
      </w:pPr>
    </w:p>
    <w:p>
      <w:pPr>
        <w:pStyle w:val="MdHr"/>
        <w:pBdr>
          <w:bottom w:val="single" w:color="auto" w:sz="6" w:space="1"/>
        </w:pBdr>
      </w:pPr>
    </w:p>
    <w:p>
      <w:pPr>
        <w:pStyle w:val="MdSpace"/>
        <w:spacing w:before="0" w:after="60"/>
      </w:pPr>
    </w:p>
    <w:p>
      <w:pPr>
        <w:pStyle w:val="Heading2"/>
        <w:pStyle w:val="MdHeading2"/>
      </w:pPr>
      <w:r>
        <w:t xml:space="preserve">📦 交付物清单</w:t>
      </w:r>
    </w:p>
    <w:p>
      <w:pPr>
        <w:pStyle w:val="Heading3"/>
        <w:pStyle w:val="MdHeading3"/>
      </w:pPr>
      <w:r>
        <w:t xml:space="preserve">完整系统包（包含编译产物）</w:t>
      </w:r>
    </w:p>
    <w:p>
      <w:pPr>
        <w:pStyle w:val="Heading4"/>
        <w:pStyle w:val="MdHeading4"/>
      </w:pPr>
      <w:r>
        <w:t xml:space="preserve">1. NAC_XTZH_Complete_With_Build_v1.0.0.tar.gz (917MB) ⭐ </w:t>
      </w:r>
      <w:r>
        <w:rPr>
          <w:rStyle w:val="MdStrong"/>
          <w:b/>
          <w:bCs/>
        </w:rPr>
        <w:t xml:space="preserve">主包</w:t>
      </w:r>
    </w:p>
    <w:p>
      <w:pPr>
        <w:pStyle w:val="MdParagraph"/>
      </w:pPr>
      <w:r>
        <w:rPr>
          <w:rStyle w:val="MdStrong"/>
          <w:b/>
          <w:bCs/>
        </w:rPr>
        <w:t xml:space="preserve">包含内容</w:t>
      </w:r>
      <w:r>
        <w:t xml:space="preserve">：</w:t>
      </w:r>
    </w:p>
    <w:p>
      <w:pPr>
        <w:pStyle w:val="MdListItem"/>
        <w:numPr>
          <w:ilvl w:val="0"/>
          <w:numId w:val="3"/>
        </w:numPr>
      </w:pPr>
      <w:r>
        <w:t xml:space="preserve">✅ 所有源代码（nac-udm、nvm_v2、charter-contracts）</w:t>
      </w:r>
    </w:p>
    <w:p>
      <w:pPr>
        <w:pStyle w:val="MdListItem"/>
        <w:numPr>
          <w:ilvl w:val="0"/>
          <w:numId w:val="3"/>
        </w:numPr>
      </w:pPr>
      <w:r>
        <w:t xml:space="preserve">✅ 所有编译产物（target/release/）</w:t>
      </w:r>
    </w:p>
    <w:p>
      <w:pPr>
        <w:pStyle w:val="MdListItem"/>
        <w:numPr>
          <w:ilvl w:val="0"/>
          <w:numId w:val="3"/>
        </w:numPr>
      </w:pPr>
      <w:r>
        <w:t xml:space="preserve">✅ XTZH AI汇率定价模型（90个测试通过）</w:t>
      </w:r>
    </w:p>
    <w:p>
      <w:pPr>
        <w:pStyle w:val="MdListItem"/>
        <w:numPr>
          <w:ilvl w:val="0"/>
          <w:numId w:val="3"/>
        </w:numPr>
      </w:pPr>
      <w:r>
        <w:t xml:space="preserve">✅ 21个新增UDM模块</w:t>
      </w:r>
    </w:p>
    <w:p>
      <w:pPr>
        <w:pStyle w:val="MdListItem"/>
        <w:numPr>
          <w:ilvl w:val="0"/>
          <w:numId w:val="3"/>
        </w:numPr>
      </w:pPr>
      <w:r>
        <w:t xml:space="preserve">✅ 30个新增NVM指令</w:t>
      </w:r>
    </w:p>
    <w:p>
      <w:pPr>
        <w:pStyle w:val="MdListItem"/>
        <w:numPr>
          <w:ilvl w:val="0"/>
          <w:numId w:val="3"/>
        </w:numPr>
      </w:pPr>
      <w:r>
        <w:t xml:space="preserve">✅ Charter智能合约</w:t>
      </w:r>
    </w:p>
    <w:p>
      <w:pPr>
        <w:pStyle w:val="MdListItem"/>
        <w:numPr>
          <w:ilvl w:val="0"/>
          <w:numId w:val="3"/>
        </w:numPr>
      </w:pPr>
      <w:r>
        <w:t xml:space="preserve">✅ 完整的测试套件</w:t>
      </w:r>
    </w:p>
    <w:p>
      <w:pPr>
        <w:pStyle w:val="MdSpace"/>
        <w:spacing w:before="0" w:after="60"/>
      </w:pPr>
    </w:p>
    <w:p>
      <w:pPr>
        <w:pStyle w:val="Heading4"/>
        <w:pStyle w:val="MdHeading4"/>
      </w:pPr>
      <w:r>
        <w:t xml:space="preserve">2. XTZH_AI_Complete_Delivery_v1.0.0.tar.gz (651MB)</w:t>
      </w:r>
    </w:p>
    <w:p>
      <w:pPr>
        <w:pStyle w:val="MdParagraph"/>
      </w:pPr>
      <w:r>
        <w:rPr>
          <w:rStyle w:val="MdStrong"/>
          <w:b/>
          <w:bCs/>
        </w:rPr>
        <w:t xml:space="preserve">XTZH AI模型系统完整版</w:t>
      </w:r>
      <w:r>
        <w:t xml:space="preserve">：</w:t>
      </w:r>
    </w:p>
    <w:p>
      <w:pPr>
        <w:pStyle w:val="MdListItem"/>
        <w:numPr>
          <w:ilvl w:val="0"/>
          <w:numId w:val="3"/>
        </w:numPr>
      </w:pPr>
      <w:r>
        <w:t xml:space="preserve">✅ XTZH AI汇率定价模型（5,957行代码）</w:t>
      </w:r>
    </w:p>
    <w:p>
      <w:pPr>
        <w:pStyle w:val="MdListItem"/>
        <w:numPr>
          <w:ilvl w:val="0"/>
          <w:numId w:val="3"/>
        </w:numPr>
      </w:pPr>
      <w:r>
        <w:t xml:space="preserve">✅ 训练数据和ONNX模型文件</w:t>
      </w:r>
    </w:p>
    <w:p>
      <w:pPr>
        <w:pStyle w:val="MdListItem"/>
        <w:numPr>
          <w:ilvl w:val="0"/>
          <w:numId w:val="3"/>
        </w:numPr>
      </w:pPr>
      <w:r>
        <w:t xml:space="preserve">✅ zkML验证和TEE集成</w:t>
      </w:r>
    </w:p>
    <w:p>
      <w:pPr>
        <w:pStyle w:val="MdListItem"/>
        <w:numPr>
          <w:ilvl w:val="0"/>
          <w:numId w:val="3"/>
        </w:numPr>
      </w:pPr>
      <w:r>
        <w:t xml:space="preserve">✅ 编译产物</w:t>
      </w:r>
    </w:p>
    <w:p>
      <w:pPr>
        <w:pStyle w:val="MdSpace"/>
        <w:spacing w:before="0" w:after="60"/>
      </w:pPr>
    </w:p>
    <w:p>
      <w:pPr>
        <w:pStyle w:val="Heading4"/>
        <w:pStyle w:val="MdHeading4"/>
      </w:pPr>
      <w:r>
        <w:t xml:space="preserve">3. XTZH_AI_System_v1.0.0.tar.gz (540MB)</w:t>
      </w:r>
    </w:p>
    <w:p>
      <w:pPr>
        <w:pStyle w:val="MdParagraph"/>
      </w:pPr>
      <w:r>
        <w:rPr>
          <w:rStyle w:val="MdStrong"/>
          <w:b/>
          <w:bCs/>
        </w:rPr>
        <w:t xml:space="preserve">XTZH AI系统核心模块</w:t>
      </w:r>
      <w:r>
        <w:t xml:space="preserve">：</w:t>
      </w:r>
    </w:p>
    <w:p>
      <w:pPr>
        <w:pStyle w:val="MdListItem"/>
        <w:numPr>
          <w:ilvl w:val="0"/>
          <w:numId w:val="3"/>
        </w:numPr>
      </w:pPr>
      <w:r>
        <w:t xml:space="preserve">✅ AI模型核心代码</w:t>
      </w:r>
    </w:p>
    <w:p>
      <w:pPr>
        <w:pStyle w:val="MdListItem"/>
        <w:numPr>
          <w:ilvl w:val="0"/>
          <w:numId w:val="3"/>
        </w:numPr>
      </w:pPr>
      <w:r>
        <w:t xml:space="preserve">✅ 推理引擎</w:t>
      </w:r>
    </w:p>
    <w:p>
      <w:pPr>
        <w:pStyle w:val="MdListItem"/>
        <w:numPr>
          <w:ilvl w:val="0"/>
          <w:numId w:val="3"/>
        </w:numPr>
      </w:pPr>
      <w:r>
        <w:t xml:space="preserve">✅ 编译产物</w:t>
      </w:r>
    </w:p>
    <w:p>
      <w:pPr>
        <w:pStyle w:val="MdSpace"/>
        <w:spacing w:before="0" w:after="60"/>
      </w:pPr>
    </w:p>
    <w:p>
      <w:pPr>
        <w:pStyle w:val="Heading4"/>
        <w:pStyle w:val="MdHeading4"/>
      </w:pPr>
      <w:r>
        <w:t xml:space="preserve">4. XTZH_Complete_Delivery_v1.0.0.tar.gz (521MB)</w:t>
      </w:r>
    </w:p>
    <w:p>
      <w:pPr>
        <w:pStyle w:val="MdParagraph"/>
      </w:pPr>
      <w:r>
        <w:rPr>
          <w:rStyle w:val="MdStrong"/>
          <w:b/>
          <w:bCs/>
        </w:rPr>
        <w:t xml:space="preserve">XTZH完整交付包</w:t>
      </w:r>
      <w:r>
        <w:t xml:space="preserve">：</w:t>
      </w:r>
    </w:p>
    <w:p>
      <w:pPr>
        <w:pStyle w:val="MdListItem"/>
        <w:numPr>
          <w:ilvl w:val="0"/>
          <w:numId w:val="3"/>
        </w:numPr>
      </w:pPr>
      <w:r>
        <w:t xml:space="preserve">✅ 所有模块和编译产物</w:t>
      </w:r>
    </w:p>
    <w:p>
      <w:pPr>
        <w:pStyle w:val="MdListItem"/>
        <w:numPr>
          <w:ilvl w:val="0"/>
          <w:numId w:val="3"/>
        </w:numPr>
      </w:pPr>
      <w:r>
        <w:t xml:space="preserve">✅ 完整的测试套件</w:t>
      </w:r>
    </w:p>
    <w:p>
      <w:pPr>
        <w:pStyle w:val="MdSpace"/>
        <w:spacing w:before="0" w:after="60"/>
      </w:pPr>
    </w:p>
    <w:p>
      <w:pPr>
        <w:pStyle w:val="MdHr"/>
        <w:pBdr>
          <w:bottom w:val="single" w:color="auto" w:sz="6" w:space="1"/>
        </w:pBdr>
      </w:pPr>
    </w:p>
    <w:p>
      <w:pPr>
        <w:pStyle w:val="MdSpace"/>
        <w:spacing w:before="0" w:after="60"/>
      </w:pPr>
    </w:p>
    <w:p>
      <w:pPr>
        <w:pStyle w:val="Heading2"/>
        <w:pStyle w:val="MdHeading2"/>
      </w:pPr>
      <w:r>
        <w:t xml:space="preserve">🔧 系统架构</w:t>
      </w:r>
    </w:p>
    <w:p>
      <w:pPr>
        <w:pStyle w:val="Heading3"/>
        <w:pStyle w:val="MdHeading3"/>
      </w:pPr>
      <w:r>
        <w:t xml:space="preserve">NAC四层架构</w:t>
      </w:r>
    </w:p>
    <w:p>
      <w:pPr>
        <w:pStyle w:val="MdCode"/>
        <w:pBdr>
          <w:top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12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┌─────────────────────────────────────────────┐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│           应用层 (Application Layer)          │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│  - DApp                                      │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│  - 资产代币化应用                              │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│  - 跨链桥接应用                                │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└─────────────────────────────────────────────┘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                    ↓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┌─────────────────────────────────────────────┐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│        L2 宪法层 (Constitutional Layer)       │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│  - NCCL宪法条款库                             │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│  - Charter智能合约                            │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│  - 治理DAO                                    │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└─────────────────────────────────────────────┘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                    ↓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┌─────────────────────────────────────────────┐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│         L1 协议层 (Protocol Layer)            │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│  - CBPP共识协议                               │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│  - NVM虚拟机                                  │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│  - ACC-20协议                                 │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└─────────────────────────────────────────────┘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                    ↓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┌─────────────────────────────────────────────┐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│          L0 网络层 (Network Layer)            │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│  - CSNP网络协议                               │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│  - BLS聚合签名                                │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│  - UDM统一数据模型                            │</w:t>
      </w:r>
    </w:p>
    <w:p>
      <w:pPr>
        <w:pStyle w:val="MdCode"/>
        <w:pBdr>
          <w:bottom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0" w:after="12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└─────────────────────────────────────────────┘</w:t>
      </w:r>
    </w:p>
    <w:p>
      <w:pPr>
        <w:pStyle w:val="MdSpace"/>
        <w:spacing w:before="0" w:after="60"/>
      </w:pPr>
    </w:p>
    <w:p>
      <w:pPr>
        <w:pStyle w:val="MdHr"/>
        <w:pBdr>
          <w:bottom w:val="single" w:color="auto" w:sz="6" w:space="1"/>
        </w:pBdr>
      </w:pPr>
    </w:p>
    <w:p>
      <w:pPr>
        <w:pStyle w:val="MdSpace"/>
        <w:spacing w:before="0" w:after="60"/>
      </w:pPr>
    </w:p>
    <w:p>
      <w:pPr>
        <w:pStyle w:val="Heading2"/>
        <w:pStyle w:val="MdHeading2"/>
      </w:pPr>
      <w:r>
        <w:t xml:space="preserve">📊 功能模块详细说明</w:t>
      </w:r>
    </w:p>
    <w:p>
      <w:pPr>
        <w:pStyle w:val="Heading3"/>
        <w:pStyle w:val="MdHeading3"/>
      </w:pPr>
      <w:r>
        <w:t xml:space="preserve">UDM层（21个新增模块）</w:t>
      </w:r>
    </w:p>
    <w:p>
      <w:pPr>
        <w:pStyle w:val="Heading4"/>
        <w:pStyle w:val="MdHeading4"/>
      </w:pPr>
      <w:r>
        <w:t xml:space="preserve">BLS密码学模块（3个）</w:t>
      </w:r>
    </w:p>
    <w:tbl>
      <w:tblPr>
        <w:tblStyle w:val="MdTable"/>
        <w:tblW w:type="pct" w:w="100%"/>
        <w:tblBorders>
          <w:top w:val="single" w:color="E1E4E8" w:sz="4"/>
          <w:left w:val="none"/>
          <w:bottom w:val="single" w:color="E1E4E8" w:sz="4"/>
          <w:right w:val="none"/>
          <w:insideH w:val="single" w:color="E1E4E8" w:sz="2"/>
          <w:insideV w:val="single" w:color="F6F8FA" w:sz="2"/>
        </w:tblBorders>
      </w:tblPr>
      <w:tblGrid>
        <w:gridCol w:w="100"/>
        <w:gridCol w:w="100"/>
        <w:gridCol w:w="100"/>
      </w:tblGrid>
      <w:tr>
        <w:trPr>
          <w:cantSplit/>
          <w:tblHeader/>
          <w:trHeight w:val="720" w:hRule="atLeast"/>
        </w:trPr>
        <w:tc>
          <w:tcPr>
            <w:tcBorders>
              <w:lef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UDM ID</w:t>
            </w:r>
          </w:p>
        </w:tc>
        <w:tc>
          <w:tcPr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名称</w:t>
            </w:r>
          </w:p>
        </w:tc>
        <w:tc>
          <w:tcPr>
            <w:tcBorders>
              <w:righ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描述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0x00090001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BLS公钥记录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存储节点的BLS公钥信息（48字节G1点）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0x00090002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BLS签名记录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存储单个BLS签名（96字节G2点）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0x00090003</w:t>
            </w:r>
          </w:p>
        </w:tc>
        <w:tc>
          <w:tcPr>
            <w:tcBorders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BLS聚合签名记录</w:t>
            </w:r>
          </w:p>
        </w:tc>
        <w:tc>
          <w:tcPr>
            <w:tcBorders>
              <w:bottom w:val="single" w:color="E1E4E8" w:sz="4"/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存储多个签名者的聚合签名</w:t>
            </w:r>
          </w:p>
        </w:tc>
      </w:tr>
    </w:tbl>
    <w:p>
      <w:pPr>
        <w:pStyle w:val="Heading4"/>
        <w:pStyle w:val="MdHeading4"/>
      </w:pPr>
      <w:r>
        <w:t xml:space="preserve">CSNP网络协议模块（15个）</w:t>
      </w:r>
    </w:p>
    <w:p>
      <w:pPr>
        <w:pStyle w:val="MdParagraph"/>
      </w:pPr>
      <w:r>
        <w:rPr>
          <w:rStyle w:val="MdStrong"/>
          <w:b/>
          <w:bCs/>
        </w:rPr>
        <w:t xml:space="preserve">GIDS (全域身份目录) - 3个</w:t>
      </w:r>
      <w:r>
        <w:t xml:space="preserve">：</w:t>
      </w:r>
    </w:p>
    <w:p>
      <w:pPr>
        <w:pStyle w:val="MdSpace"/>
        <w:spacing w:before="0" w:after="60"/>
      </w:pPr>
    </w:p>
    <w:tbl>
      <w:tblPr>
        <w:tblStyle w:val="MdTable"/>
        <w:tblW w:type="pct" w:w="100%"/>
        <w:tblBorders>
          <w:top w:val="single" w:color="E1E4E8" w:sz="4"/>
          <w:left w:val="none"/>
          <w:bottom w:val="single" w:color="E1E4E8" w:sz="4"/>
          <w:right w:val="none"/>
          <w:insideH w:val="single" w:color="E1E4E8" w:sz="2"/>
          <w:insideV w:val="single" w:color="F6F8FA" w:sz="2"/>
        </w:tblBorders>
      </w:tblPr>
      <w:tblGrid>
        <w:gridCol w:w="100"/>
        <w:gridCol w:w="100"/>
        <w:gridCol w:w="100"/>
      </w:tblGrid>
      <w:tr>
        <w:trPr>
          <w:cantSplit/>
          <w:tblHeader/>
          <w:trHeight w:val="720" w:hRule="atLeast"/>
        </w:trPr>
        <w:tc>
          <w:tcPr>
            <w:tcBorders>
              <w:lef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UDM ID</w:t>
            </w:r>
          </w:p>
        </w:tc>
        <w:tc>
          <w:tcPr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名称</w:t>
            </w:r>
          </w:p>
        </w:tc>
        <w:tc>
          <w:tcPr>
            <w:tcBorders>
              <w:righ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描述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0x00040001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DID身份记录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去中心化标识符（did:nac:chain_id:unique_id）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0x00040002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多链DID映射记录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跨链身份映射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0x00040003</w:t>
            </w:r>
          </w:p>
        </w:tc>
        <w:tc>
          <w:tcPr>
            <w:tcBorders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全域信誉记录</w:t>
            </w:r>
          </w:p>
        </w:tc>
        <w:tc>
          <w:tcPr>
            <w:tcBorders>
              <w:bottom w:val="single" w:color="E1E4E8" w:sz="4"/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0-1000分信誉系统，5个等级</w:t>
            </w:r>
          </w:p>
        </w:tc>
      </w:tr>
    </w:tbl>
    <w:p>
      <w:pPr>
        <w:pStyle w:val="MdParagraph"/>
      </w:pPr>
      <w:r>
        <w:rPr>
          <w:rStyle w:val="MdStrong"/>
          <w:b/>
          <w:bCs/>
        </w:rPr>
        <w:t xml:space="preserve">MA-RCM (多链连接管理) - 3个</w:t>
      </w:r>
      <w:r>
        <w:t xml:space="preserve">：</w:t>
      </w:r>
    </w:p>
    <w:p>
      <w:pPr>
        <w:pStyle w:val="MdSpace"/>
        <w:spacing w:before="0" w:after="60"/>
      </w:pPr>
    </w:p>
    <w:tbl>
      <w:tblPr>
        <w:tblStyle w:val="MdTable"/>
        <w:tblW w:type="pct" w:w="100%"/>
        <w:tblBorders>
          <w:top w:val="single" w:color="E1E4E8" w:sz="4"/>
          <w:left w:val="none"/>
          <w:bottom w:val="single" w:color="E1E4E8" w:sz="4"/>
          <w:right w:val="none"/>
          <w:insideH w:val="single" w:color="E1E4E8" w:sz="2"/>
          <w:insideV w:val="single" w:color="F6F8FA" w:sz="2"/>
        </w:tblBorders>
      </w:tblPr>
      <w:tblGrid>
        <w:gridCol w:w="100"/>
        <w:gridCol w:w="100"/>
        <w:gridCol w:w="100"/>
      </w:tblGrid>
      <w:tr>
        <w:trPr>
          <w:cantSplit/>
          <w:tblHeader/>
          <w:trHeight w:val="720" w:hRule="atLeast"/>
        </w:trPr>
        <w:tc>
          <w:tcPr>
            <w:tcBorders>
              <w:lef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UDM ID</w:t>
            </w:r>
          </w:p>
        </w:tc>
        <w:tc>
          <w:tcPr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名称</w:t>
            </w:r>
          </w:p>
        </w:tc>
        <w:tc>
          <w:tcPr>
            <w:tcBorders>
              <w:righ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描述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0x00050001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节点连接记录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节点间连接状态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0x00050002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跨链连接拓扑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跨链网络拓扑结构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0x00050003</w:t>
            </w:r>
          </w:p>
        </w:tc>
        <w:tc>
          <w:tcPr>
            <w:tcBorders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连接策略矩阵</w:t>
            </w:r>
          </w:p>
        </w:tc>
        <w:tc>
          <w:tcPr>
            <w:tcBorders>
              <w:bottom w:val="single" w:color="E1E4E8" w:sz="4"/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连接优先级和策略</w:t>
            </w:r>
          </w:p>
        </w:tc>
      </w:tr>
    </w:tbl>
    <w:p>
      <w:pPr>
        <w:pStyle w:val="MdParagraph"/>
      </w:pPr>
      <w:r>
        <w:rPr>
          <w:rStyle w:val="MdStrong"/>
          <w:b/>
          <w:bCs/>
        </w:rPr>
        <w:t xml:space="preserve">AA-PE (资产感知传播) - 3个</w:t>
      </w:r>
      <w:r>
        <w:t xml:space="preserve">：</w:t>
      </w:r>
    </w:p>
    <w:p>
      <w:pPr>
        <w:pStyle w:val="MdSpace"/>
        <w:spacing w:before="0" w:after="60"/>
      </w:pPr>
    </w:p>
    <w:tbl>
      <w:tblPr>
        <w:tblStyle w:val="MdTable"/>
        <w:tblW w:type="pct" w:w="100%"/>
        <w:tblBorders>
          <w:top w:val="single" w:color="E1E4E8" w:sz="4"/>
          <w:left w:val="none"/>
          <w:bottom w:val="single" w:color="E1E4E8" w:sz="4"/>
          <w:right w:val="none"/>
          <w:insideH w:val="single" w:color="E1E4E8" w:sz="2"/>
          <w:insideV w:val="single" w:color="F6F8FA" w:sz="2"/>
        </w:tblBorders>
      </w:tblPr>
      <w:tblGrid>
        <w:gridCol w:w="100"/>
        <w:gridCol w:w="100"/>
        <w:gridCol w:w="100"/>
      </w:tblGrid>
      <w:tr>
        <w:trPr>
          <w:cantSplit/>
          <w:tblHeader/>
          <w:trHeight w:val="720" w:hRule="atLeast"/>
        </w:trPr>
        <w:tc>
          <w:tcPr>
            <w:tcBorders>
              <w:lef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UDM ID</w:t>
            </w:r>
          </w:p>
        </w:tc>
        <w:tc>
          <w:tcPr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名称</w:t>
            </w:r>
          </w:p>
        </w:tc>
        <w:tc>
          <w:tcPr>
            <w:tcBorders>
              <w:righ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描述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0x00060001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GNACS传播策略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基于GNACS编码的传播策略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0x00060002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资产路由规则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资产类型路由规则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0x00060003</w:t>
            </w:r>
          </w:p>
        </w:tc>
        <w:tc>
          <w:tcPr>
            <w:tcBorders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传播优先级队列</w:t>
            </w:r>
          </w:p>
        </w:tc>
        <w:tc>
          <w:tcPr>
            <w:tcBorders>
              <w:bottom w:val="single" w:color="E1E4E8" w:sz="4"/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优先级队列管理</w:t>
            </w:r>
          </w:p>
        </w:tc>
      </w:tr>
    </w:tbl>
    <w:p>
      <w:pPr>
        <w:pStyle w:val="MdParagraph"/>
      </w:pPr>
      <w:r>
        <w:rPr>
          <w:rStyle w:val="MdStrong"/>
          <w:b/>
          <w:bCs/>
        </w:rPr>
        <w:t xml:space="preserve">FTAN (碎片化聚合) - 3个</w:t>
      </w:r>
      <w:r>
        <w:t xml:space="preserve">：</w:t>
      </w:r>
    </w:p>
    <w:p>
      <w:pPr>
        <w:pStyle w:val="MdSpace"/>
        <w:spacing w:before="0" w:after="60"/>
      </w:pPr>
    </w:p>
    <w:tbl>
      <w:tblPr>
        <w:tblStyle w:val="MdTable"/>
        <w:tblW w:type="pct" w:w="100%"/>
        <w:tblBorders>
          <w:top w:val="single" w:color="E1E4E8" w:sz="4"/>
          <w:left w:val="none"/>
          <w:bottom w:val="single" w:color="E1E4E8" w:sz="4"/>
          <w:right w:val="none"/>
          <w:insideH w:val="single" w:color="E1E4E8" w:sz="2"/>
          <w:insideV w:val="single" w:color="F6F8FA" w:sz="2"/>
        </w:tblBorders>
      </w:tblPr>
      <w:tblGrid>
        <w:gridCol w:w="100"/>
        <w:gridCol w:w="100"/>
        <w:gridCol w:w="100"/>
      </w:tblGrid>
      <w:tr>
        <w:trPr>
          <w:cantSplit/>
          <w:tblHeader/>
          <w:trHeight w:val="720" w:hRule="atLeast"/>
        </w:trPr>
        <w:tc>
          <w:tcPr>
            <w:tcBorders>
              <w:lef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UDM ID</w:t>
            </w:r>
          </w:p>
        </w:tc>
        <w:tc>
          <w:tcPr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名称</w:t>
            </w:r>
          </w:p>
        </w:tc>
        <w:tc>
          <w:tcPr>
            <w:tcBorders>
              <w:righ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描述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0x00070001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碎片化交易记录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碎片化交易数据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0x00070002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聚合节点注册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聚合节点信息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0x00070003</w:t>
            </w:r>
          </w:p>
        </w:tc>
        <w:tc>
          <w:tcPr>
            <w:tcBorders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批量签名验证</w:t>
            </w:r>
          </w:p>
        </w:tc>
        <w:tc>
          <w:tcPr>
            <w:tcBorders>
              <w:bottom w:val="single" w:color="E1E4E8" w:sz="4"/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BLS聚合签名验证</w:t>
            </w:r>
          </w:p>
        </w:tc>
      </w:tr>
    </w:tbl>
    <w:p>
      <w:pPr>
        <w:pStyle w:val="MdParagraph"/>
      </w:pPr>
      <w:r>
        <w:rPr>
          <w:rStyle w:val="MdStrong"/>
          <w:b/>
          <w:bCs/>
        </w:rPr>
        <w:t xml:space="preserve">UCA (跨链审计) - 3个</w:t>
      </w:r>
      <w:r>
        <w:t xml:space="preserve">：</w:t>
      </w:r>
    </w:p>
    <w:p>
      <w:pPr>
        <w:pStyle w:val="MdSpace"/>
        <w:spacing w:before="0" w:after="60"/>
      </w:pPr>
    </w:p>
    <w:tbl>
      <w:tblPr>
        <w:tblStyle w:val="MdTable"/>
        <w:tblW w:type="pct" w:w="100%"/>
        <w:tblBorders>
          <w:top w:val="single" w:color="E1E4E8" w:sz="4"/>
          <w:left w:val="none"/>
          <w:bottom w:val="single" w:color="E1E4E8" w:sz="4"/>
          <w:right w:val="none"/>
          <w:insideH w:val="single" w:color="E1E4E8" w:sz="2"/>
          <w:insideV w:val="single" w:color="F6F8FA" w:sz="2"/>
        </w:tblBorders>
      </w:tblPr>
      <w:tblGrid>
        <w:gridCol w:w="100"/>
        <w:gridCol w:w="100"/>
        <w:gridCol w:w="100"/>
      </w:tblGrid>
      <w:tr>
        <w:trPr>
          <w:cantSplit/>
          <w:tblHeader/>
          <w:trHeight w:val="720" w:hRule="atLeast"/>
        </w:trPr>
        <w:tc>
          <w:tcPr>
            <w:tcBorders>
              <w:lef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UDM ID</w:t>
            </w:r>
          </w:p>
        </w:tc>
        <w:tc>
          <w:tcPr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名称</w:t>
            </w:r>
          </w:p>
        </w:tc>
        <w:tc>
          <w:tcPr>
            <w:tcBorders>
              <w:righ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描述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0x00080001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跨链行为记录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跨链操作日志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0x00080002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违规证据存储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违规行为证据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0x00080003</w:t>
            </w:r>
          </w:p>
        </w:tc>
        <w:tc>
          <w:tcPr>
            <w:tcBorders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跨链惩罚记录</w:t>
            </w:r>
          </w:p>
        </w:tc>
        <w:tc>
          <w:tcPr>
            <w:tcBorders>
              <w:bottom w:val="single" w:color="E1E4E8" w:sz="4"/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惩罚类型和金额</w:t>
            </w:r>
          </w:p>
        </w:tc>
      </w:tr>
    </w:tbl>
    <w:p>
      <w:pPr>
        <w:pStyle w:val="Heading4"/>
        <w:pStyle w:val="MdHeading4"/>
      </w:pPr>
      <w:r>
        <w:t xml:space="preserve">CBPP共识模块（6个）</w:t>
      </w:r>
    </w:p>
    <w:tbl>
      <w:tblPr>
        <w:tblStyle w:val="MdTable"/>
        <w:tblW w:type="pct" w:w="100%"/>
        <w:tblBorders>
          <w:top w:val="single" w:color="E1E4E8" w:sz="4"/>
          <w:left w:val="none"/>
          <w:bottom w:val="single" w:color="E1E4E8" w:sz="4"/>
          <w:right w:val="none"/>
          <w:insideH w:val="single" w:color="E1E4E8" w:sz="2"/>
          <w:insideV w:val="single" w:color="F6F8FA" w:sz="2"/>
        </w:tblBorders>
      </w:tblPr>
      <w:tblGrid>
        <w:gridCol w:w="100"/>
        <w:gridCol w:w="100"/>
        <w:gridCol w:w="100"/>
      </w:tblGrid>
      <w:tr>
        <w:trPr>
          <w:cantSplit/>
          <w:tblHeader/>
          <w:trHeight w:val="720" w:hRule="atLeast"/>
        </w:trPr>
        <w:tc>
          <w:tcPr>
            <w:tcBorders>
              <w:lef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UDM ID</w:t>
            </w:r>
          </w:p>
        </w:tc>
        <w:tc>
          <w:tcPr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名称</w:t>
            </w:r>
          </w:p>
        </w:tc>
        <w:tc>
          <w:tcPr>
            <w:tcBorders>
              <w:righ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描述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0x00090101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CBP节点注册记录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共识节点注册信息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0x00090102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宪政收据记录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宪政收据和合规分数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0x00090103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宪政约束验证记录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约束验证结果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0x00090104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区块生产权重记录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节点权重计算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0x00090105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共识轮次记录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共识轮次信息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0x00090106</w:t>
            </w:r>
          </w:p>
        </w:tc>
        <w:tc>
          <w:tcPr>
            <w:tcBorders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宪政违规记录</w:t>
            </w:r>
          </w:p>
        </w:tc>
        <w:tc>
          <w:tcPr>
            <w:tcBorders>
              <w:bottom w:val="single" w:color="E1E4E8" w:sz="4"/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违规行为记录</w:t>
            </w:r>
          </w:p>
        </w:tc>
      </w:tr>
    </w:tbl>
    <w:p>
      <w:pPr>
        <w:pStyle w:val="Heading4"/>
        <w:pStyle w:val="MdHeading4"/>
      </w:pPr>
      <w:r>
        <w:t xml:space="preserve">NCCL宪法条款模块（3个）</w:t>
      </w:r>
    </w:p>
    <w:tbl>
      <w:tblPr>
        <w:tblStyle w:val="MdTable"/>
        <w:tblW w:type="pct" w:w="100%"/>
        <w:tblBorders>
          <w:top w:val="single" w:color="E1E4E8" w:sz="4"/>
          <w:left w:val="none"/>
          <w:bottom w:val="single" w:color="E1E4E8" w:sz="4"/>
          <w:right w:val="none"/>
          <w:insideH w:val="single" w:color="E1E4E8" w:sz="2"/>
          <w:insideV w:val="single" w:color="F6F8FA" w:sz="2"/>
        </w:tblBorders>
      </w:tblPr>
      <w:tblGrid>
        <w:gridCol w:w="100"/>
        <w:gridCol w:w="100"/>
        <w:gridCol w:w="100"/>
      </w:tblGrid>
      <w:tr>
        <w:trPr>
          <w:cantSplit/>
          <w:tblHeader/>
          <w:trHeight w:val="720" w:hRule="atLeast"/>
        </w:trPr>
        <w:tc>
          <w:tcPr>
            <w:tcBorders>
              <w:lef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UDM ID</w:t>
            </w:r>
          </w:p>
        </w:tc>
        <w:tc>
          <w:tcPr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名称</w:t>
            </w:r>
          </w:p>
        </w:tc>
        <w:tc>
          <w:tcPr>
            <w:tcBorders>
              <w:righ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描述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0x000A0001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宪法条款定义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条款内容和执行强度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0x000A0002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宪法条款执行记录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条款执行历史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0x000A0003</w:t>
            </w:r>
          </w:p>
        </w:tc>
        <w:tc>
          <w:tcPr>
            <w:tcBorders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宪法修正案提案</w:t>
            </w:r>
          </w:p>
        </w:tc>
        <w:tc>
          <w:tcPr>
            <w:tcBorders>
              <w:bottom w:val="single" w:color="E1E4E8" w:sz="4"/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修正案提案和投票</w:t>
            </w:r>
          </w:p>
        </w:tc>
      </w:tr>
    </w:tbl>
    <w:p>
      <w:pPr>
        <w:pStyle w:val="Heading4"/>
        <w:pStyle w:val="MdHeading4"/>
      </w:pPr>
      <w:r>
        <w:t xml:space="preserve">系统治理模块（3个）</w:t>
      </w:r>
    </w:p>
    <w:tbl>
      <w:tblPr>
        <w:tblStyle w:val="MdTable"/>
        <w:tblW w:type="pct" w:w="100%"/>
        <w:tblBorders>
          <w:top w:val="single" w:color="E1E4E8" w:sz="4"/>
          <w:left w:val="none"/>
          <w:bottom w:val="single" w:color="E1E4E8" w:sz="4"/>
          <w:right w:val="none"/>
          <w:insideH w:val="single" w:color="E1E4E8" w:sz="2"/>
          <w:insideV w:val="single" w:color="F6F8FA" w:sz="2"/>
        </w:tblBorders>
      </w:tblPr>
      <w:tblGrid>
        <w:gridCol w:w="100"/>
        <w:gridCol w:w="100"/>
        <w:gridCol w:w="100"/>
      </w:tblGrid>
      <w:tr>
        <w:trPr>
          <w:cantSplit/>
          <w:tblHeader/>
          <w:trHeight w:val="720" w:hRule="atLeast"/>
        </w:trPr>
        <w:tc>
          <w:tcPr>
            <w:tcBorders>
              <w:lef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UDM ID</w:t>
            </w:r>
          </w:p>
        </w:tc>
        <w:tc>
          <w:tcPr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名称</w:t>
            </w:r>
          </w:p>
        </w:tc>
        <w:tc>
          <w:tcPr>
            <w:tcBorders>
              <w:righ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描述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0x000B0001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系统常量定义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系统参数（u64/u128/string/bytes）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0x000B0002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治理提案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治理提案和投票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0x000B0003</w:t>
            </w:r>
          </w:p>
        </w:tc>
        <w:tc>
          <w:tcPr>
            <w:tcBorders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投票记录</w:t>
            </w:r>
          </w:p>
        </w:tc>
        <w:tc>
          <w:tcPr>
            <w:tcBorders>
              <w:bottom w:val="single" w:color="E1E4E8" w:sz="4"/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投票历史</w:t>
            </w:r>
          </w:p>
        </w:tc>
      </w:tr>
    </w:tbl>
    <w:p>
      <w:pPr>
        <w:pStyle w:val="MdHr"/>
        <w:pBdr>
          <w:bottom w:val="single" w:color="auto" w:sz="6" w:space="1"/>
        </w:pBdr>
      </w:pP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NVM层（30个新增指令）</w:t>
      </w:r>
    </w:p>
    <w:p>
      <w:pPr>
        <w:pStyle w:val="Heading4"/>
        <w:pStyle w:val="MdHeading4"/>
      </w:pPr>
      <w:r>
        <w:t xml:space="preserve">BLS密码学指令（4个）</w:t>
      </w:r>
    </w:p>
    <w:tbl>
      <w:tblPr>
        <w:tblStyle w:val="MdTable"/>
        <w:tblW w:type="pct" w:w="100%"/>
        <w:tblBorders>
          <w:top w:val="single" w:color="E1E4E8" w:sz="4"/>
          <w:left w:val="none"/>
          <w:bottom w:val="single" w:color="E1E4E8" w:sz="4"/>
          <w:right w:val="none"/>
          <w:insideH w:val="single" w:color="E1E4E8" w:sz="2"/>
          <w:insideV w:val="single" w:color="F6F8FA" w:sz="2"/>
        </w:tblBorders>
      </w:tblPr>
      <w:tblGrid>
        <w:gridCol w:w="100"/>
        <w:gridCol w:w="100"/>
        <w:gridCol w:w="100"/>
        <w:gridCol w:w="100"/>
      </w:tblGrid>
      <w:tr>
        <w:trPr>
          <w:cantSplit/>
          <w:tblHeader/>
          <w:trHeight w:val="720" w:hRule="atLeast"/>
        </w:trPr>
        <w:tc>
          <w:tcPr>
            <w:tcBorders>
              <w:lef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操作码</w:t>
            </w:r>
          </w:p>
        </w:tc>
        <w:tc>
          <w:tcPr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指令名称</w:t>
            </w:r>
          </w:p>
        </w:tc>
        <w:tc>
          <w:tcPr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Gas消耗</w:t>
            </w:r>
          </w:p>
        </w:tc>
        <w:tc>
          <w:tcPr>
            <w:tcBorders>
              <w:righ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描述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0xB0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BLS_KEYGEN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50,000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生成BLS密钥对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0xB1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BLS_SIGN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10,000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BLS签名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0xB2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BLS_VERIFY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20,000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BLS验证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0xB3</w:t>
            </w:r>
          </w:p>
        </w:tc>
        <w:tc>
          <w:tcPr>
            <w:tcBorders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BLS_AGGREGATE</w:t>
            </w:r>
          </w:p>
        </w:tc>
        <w:tc>
          <w:tcPr>
            <w:tcBorders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5,000×N</w:t>
            </w:r>
          </w:p>
        </w:tc>
        <w:tc>
          <w:tcPr>
            <w:tcBorders>
              <w:bottom w:val="single" w:color="E1E4E8" w:sz="4"/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BLS聚合签名（N=签名数量）</w:t>
            </w:r>
          </w:p>
        </w:tc>
      </w:tr>
    </w:tbl>
    <w:p>
      <w:pPr>
        <w:pStyle w:val="Heading4"/>
        <w:pStyle w:val="MdHeading4"/>
      </w:pPr>
      <w:r>
        <w:t xml:space="preserve">GIDS指令（4个）</w:t>
      </w:r>
    </w:p>
    <w:tbl>
      <w:tblPr>
        <w:tblStyle w:val="MdTable"/>
        <w:tblW w:type="pct" w:w="100%"/>
        <w:tblBorders>
          <w:top w:val="single" w:color="E1E4E8" w:sz="4"/>
          <w:left w:val="none"/>
          <w:bottom w:val="single" w:color="E1E4E8" w:sz="4"/>
          <w:right w:val="none"/>
          <w:insideH w:val="single" w:color="E1E4E8" w:sz="2"/>
          <w:insideV w:val="single" w:color="F6F8FA" w:sz="2"/>
        </w:tblBorders>
      </w:tblPr>
      <w:tblGrid>
        <w:gridCol w:w="100"/>
        <w:gridCol w:w="100"/>
        <w:gridCol w:w="100"/>
        <w:gridCol w:w="100"/>
      </w:tblGrid>
      <w:tr>
        <w:trPr>
          <w:cantSplit/>
          <w:tblHeader/>
          <w:trHeight w:val="720" w:hRule="atLeast"/>
        </w:trPr>
        <w:tc>
          <w:tcPr>
            <w:tcBorders>
              <w:lef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操作码</w:t>
            </w:r>
          </w:p>
        </w:tc>
        <w:tc>
          <w:tcPr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指令名称</w:t>
            </w:r>
          </w:p>
        </w:tc>
        <w:tc>
          <w:tcPr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Gas消耗</w:t>
            </w:r>
          </w:p>
        </w:tc>
        <w:tc>
          <w:tcPr>
            <w:tcBorders>
              <w:righ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描述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0xC0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DID_REGISTER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30,000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注册DID身份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0xC1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DID_RESOLVE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5,000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解析DID到地址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0xC2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DID_UPDATE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15,000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更新DID文档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0xC3</w:t>
            </w:r>
          </w:p>
        </w:tc>
        <w:tc>
          <w:tcPr>
            <w:tcBorders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REPUTATION_QUERY</w:t>
            </w:r>
          </w:p>
        </w:tc>
        <w:tc>
          <w:tcPr>
            <w:tcBorders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3,000</w:t>
            </w:r>
          </w:p>
        </w:tc>
        <w:tc>
          <w:tcPr>
            <w:tcBorders>
              <w:bottom w:val="single" w:color="E1E4E8" w:sz="4"/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查询全域信誉</w:t>
            </w:r>
          </w:p>
        </w:tc>
      </w:tr>
    </w:tbl>
    <w:p>
      <w:pPr>
        <w:pStyle w:val="Heading4"/>
        <w:pStyle w:val="MdHeading4"/>
      </w:pPr>
      <w:r>
        <w:t xml:space="preserve">MA-RCM指令（3个）</w:t>
      </w:r>
    </w:p>
    <w:tbl>
      <w:tblPr>
        <w:tblStyle w:val="MdTable"/>
        <w:tblW w:type="pct" w:w="100%"/>
        <w:tblBorders>
          <w:top w:val="single" w:color="E1E4E8" w:sz="4"/>
          <w:left w:val="none"/>
          <w:bottom w:val="single" w:color="E1E4E8" w:sz="4"/>
          <w:right w:val="none"/>
          <w:insideH w:val="single" w:color="E1E4E8" w:sz="2"/>
          <w:insideV w:val="single" w:color="F6F8FA" w:sz="2"/>
        </w:tblBorders>
      </w:tblPr>
      <w:tblGrid>
        <w:gridCol w:w="100"/>
        <w:gridCol w:w="100"/>
        <w:gridCol w:w="100"/>
        <w:gridCol w:w="100"/>
      </w:tblGrid>
      <w:tr>
        <w:trPr>
          <w:cantSplit/>
          <w:tblHeader/>
          <w:trHeight w:val="720" w:hRule="atLeast"/>
        </w:trPr>
        <w:tc>
          <w:tcPr>
            <w:tcBorders>
              <w:lef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操作码</w:t>
            </w:r>
          </w:p>
        </w:tc>
        <w:tc>
          <w:tcPr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指令名称</w:t>
            </w:r>
          </w:p>
        </w:tc>
        <w:tc>
          <w:tcPr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Gas消耗</w:t>
            </w:r>
          </w:p>
        </w:tc>
        <w:tc>
          <w:tcPr>
            <w:tcBorders>
              <w:righ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描述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0xC4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CONN_ESTABLISH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20,000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建立节点连接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0xC5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CONN_QUERY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2,000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查询连接状态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0xC6</w:t>
            </w:r>
          </w:p>
        </w:tc>
        <w:tc>
          <w:tcPr>
            <w:tcBorders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TOPOLOGY_UPDATE</w:t>
            </w:r>
          </w:p>
        </w:tc>
        <w:tc>
          <w:tcPr>
            <w:tcBorders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10,000</w:t>
            </w:r>
          </w:p>
        </w:tc>
        <w:tc>
          <w:tcPr>
            <w:tcBorders>
              <w:bottom w:val="single" w:color="E1E4E8" w:sz="4"/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更新跨链拓扑</w:t>
            </w:r>
          </w:p>
        </w:tc>
      </w:tr>
    </w:tbl>
    <w:p>
      <w:pPr>
        <w:pStyle w:val="Heading4"/>
        <w:pStyle w:val="MdHeading4"/>
      </w:pPr>
      <w:r>
        <w:t xml:space="preserve">AA-PE指令（3个）</w:t>
      </w:r>
    </w:p>
    <w:tbl>
      <w:tblPr>
        <w:tblStyle w:val="MdTable"/>
        <w:tblW w:type="pct" w:w="100%"/>
        <w:tblBorders>
          <w:top w:val="single" w:color="E1E4E8" w:sz="4"/>
          <w:left w:val="none"/>
          <w:bottom w:val="single" w:color="E1E4E8" w:sz="4"/>
          <w:right w:val="none"/>
          <w:insideH w:val="single" w:color="E1E4E8" w:sz="2"/>
          <w:insideV w:val="single" w:color="F6F8FA" w:sz="2"/>
        </w:tblBorders>
      </w:tblPr>
      <w:tblGrid>
        <w:gridCol w:w="100"/>
        <w:gridCol w:w="100"/>
        <w:gridCol w:w="100"/>
        <w:gridCol w:w="100"/>
      </w:tblGrid>
      <w:tr>
        <w:trPr>
          <w:cantSplit/>
          <w:tblHeader/>
          <w:trHeight w:val="720" w:hRule="atLeast"/>
        </w:trPr>
        <w:tc>
          <w:tcPr>
            <w:tcBorders>
              <w:lef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操作码</w:t>
            </w:r>
          </w:p>
        </w:tc>
        <w:tc>
          <w:tcPr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指令名称</w:t>
            </w:r>
          </w:p>
        </w:tc>
        <w:tc>
          <w:tcPr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Gas消耗</w:t>
            </w:r>
          </w:p>
        </w:tc>
        <w:tc>
          <w:tcPr>
            <w:tcBorders>
              <w:righ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描述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0xC7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GNACS_ROUTE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8,000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根据GNACS编码路由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0xC8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ASSET_PROPAGATE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12,000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传播资产交易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0xC9</w:t>
            </w:r>
          </w:p>
        </w:tc>
        <w:tc>
          <w:tcPr>
            <w:tcBorders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PRIORITY_ENQUEUE</w:t>
            </w:r>
          </w:p>
        </w:tc>
        <w:tc>
          <w:tcPr>
            <w:tcBorders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5,000</w:t>
            </w:r>
          </w:p>
        </w:tc>
        <w:tc>
          <w:tcPr>
            <w:tcBorders>
              <w:bottom w:val="single" w:color="E1E4E8" w:sz="4"/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加入优先级队列</w:t>
            </w:r>
          </w:p>
        </w:tc>
      </w:tr>
    </w:tbl>
    <w:p>
      <w:pPr>
        <w:pStyle w:val="Heading4"/>
        <w:pStyle w:val="MdHeading4"/>
      </w:pPr>
      <w:r>
        <w:t xml:space="preserve">FTAN指令（3个）</w:t>
      </w:r>
    </w:p>
    <w:tbl>
      <w:tblPr>
        <w:tblStyle w:val="MdTable"/>
        <w:tblW w:type="pct" w:w="100%"/>
        <w:tblBorders>
          <w:top w:val="single" w:color="E1E4E8" w:sz="4"/>
          <w:left w:val="none"/>
          <w:bottom w:val="single" w:color="E1E4E8" w:sz="4"/>
          <w:right w:val="none"/>
          <w:insideH w:val="single" w:color="E1E4E8" w:sz="2"/>
          <w:insideV w:val="single" w:color="F6F8FA" w:sz="2"/>
        </w:tblBorders>
      </w:tblPr>
      <w:tblGrid>
        <w:gridCol w:w="100"/>
        <w:gridCol w:w="100"/>
        <w:gridCol w:w="100"/>
        <w:gridCol w:w="100"/>
      </w:tblGrid>
      <w:tr>
        <w:trPr>
          <w:cantSplit/>
          <w:tblHeader/>
          <w:trHeight w:val="720" w:hRule="atLeast"/>
        </w:trPr>
        <w:tc>
          <w:tcPr>
            <w:tcBorders>
              <w:lef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操作码</w:t>
            </w:r>
          </w:p>
        </w:tc>
        <w:tc>
          <w:tcPr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指令名称</w:t>
            </w:r>
          </w:p>
        </w:tc>
        <w:tc>
          <w:tcPr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Gas消耗</w:t>
            </w:r>
          </w:p>
        </w:tc>
        <w:tc>
          <w:tcPr>
            <w:tcBorders>
              <w:righ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描述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0xCA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FRAGMENT_CREATE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15,000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创建碎片化交易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0xCB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FRAGMENT_AGGREGATE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25,000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聚合碎片化交易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0xCC</w:t>
            </w:r>
          </w:p>
        </w:tc>
        <w:tc>
          <w:tcPr>
            <w:tcBorders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BATCH_VERIFY</w:t>
            </w:r>
          </w:p>
        </w:tc>
        <w:tc>
          <w:tcPr>
            <w:tcBorders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50,000</w:t>
            </w:r>
          </w:p>
        </w:tc>
        <w:tc>
          <w:tcPr>
            <w:tcBorders>
              <w:bottom w:val="single" w:color="E1E4E8" w:sz="4"/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批量签名验证</w:t>
            </w:r>
          </w:p>
        </w:tc>
      </w:tr>
    </w:tbl>
    <w:p>
      <w:pPr>
        <w:pStyle w:val="Heading4"/>
        <w:pStyle w:val="MdHeading4"/>
      </w:pPr>
      <w:r>
        <w:t xml:space="preserve">UCA指令（3个）</w:t>
      </w:r>
    </w:p>
    <w:tbl>
      <w:tblPr>
        <w:tblStyle w:val="MdTable"/>
        <w:tblW w:type="pct" w:w="100%"/>
        <w:tblBorders>
          <w:top w:val="single" w:color="E1E4E8" w:sz="4"/>
          <w:left w:val="none"/>
          <w:bottom w:val="single" w:color="E1E4E8" w:sz="4"/>
          <w:right w:val="none"/>
          <w:insideH w:val="single" w:color="E1E4E8" w:sz="2"/>
          <w:insideV w:val="single" w:color="F6F8FA" w:sz="2"/>
        </w:tblBorders>
      </w:tblPr>
      <w:tblGrid>
        <w:gridCol w:w="100"/>
        <w:gridCol w:w="100"/>
        <w:gridCol w:w="100"/>
        <w:gridCol w:w="100"/>
      </w:tblGrid>
      <w:tr>
        <w:trPr>
          <w:cantSplit/>
          <w:tblHeader/>
          <w:trHeight w:val="720" w:hRule="atLeast"/>
        </w:trPr>
        <w:tc>
          <w:tcPr>
            <w:tcBorders>
              <w:lef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操作码</w:t>
            </w:r>
          </w:p>
        </w:tc>
        <w:tc>
          <w:tcPr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指令名称</w:t>
            </w:r>
          </w:p>
        </w:tc>
        <w:tc>
          <w:tcPr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Gas消耗</w:t>
            </w:r>
          </w:p>
        </w:tc>
        <w:tc>
          <w:tcPr>
            <w:tcBorders>
              <w:righ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描述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0xCD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BEHAVIOR_LOG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6,000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记录跨链行为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0xCE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VIOLATION_REPORT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20,000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报告违规行为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0xCF</w:t>
            </w:r>
          </w:p>
        </w:tc>
        <w:tc>
          <w:tcPr>
            <w:tcBorders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PENALTY_APPLY</w:t>
            </w:r>
          </w:p>
        </w:tc>
        <w:tc>
          <w:tcPr>
            <w:tcBorders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30,000</w:t>
            </w:r>
          </w:p>
        </w:tc>
        <w:tc>
          <w:tcPr>
            <w:tcBorders>
              <w:bottom w:val="single" w:color="E1E4E8" w:sz="4"/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应用跨链惩罚</w:t>
            </w:r>
          </w:p>
        </w:tc>
      </w:tr>
    </w:tbl>
    <w:p>
      <w:pPr>
        <w:pStyle w:val="Heading4"/>
        <w:pStyle w:val="MdHeading4"/>
      </w:pPr>
      <w:r>
        <w:t xml:space="preserve">CBPP共识指令（4个）</w:t>
      </w:r>
    </w:p>
    <w:tbl>
      <w:tblPr>
        <w:tblStyle w:val="MdTable"/>
        <w:tblW w:type="pct" w:w="100%"/>
        <w:tblBorders>
          <w:top w:val="single" w:color="E1E4E8" w:sz="4"/>
          <w:left w:val="none"/>
          <w:bottom w:val="single" w:color="E1E4E8" w:sz="4"/>
          <w:right w:val="none"/>
          <w:insideH w:val="single" w:color="E1E4E8" w:sz="2"/>
          <w:insideV w:val="single" w:color="F6F8FA" w:sz="2"/>
        </w:tblBorders>
      </w:tblPr>
      <w:tblGrid>
        <w:gridCol w:w="100"/>
        <w:gridCol w:w="100"/>
        <w:gridCol w:w="100"/>
        <w:gridCol w:w="100"/>
      </w:tblGrid>
      <w:tr>
        <w:trPr>
          <w:cantSplit/>
          <w:tblHeader/>
          <w:trHeight w:val="720" w:hRule="atLeast"/>
        </w:trPr>
        <w:tc>
          <w:tcPr>
            <w:tcBorders>
              <w:lef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操作码</w:t>
            </w:r>
          </w:p>
        </w:tc>
        <w:tc>
          <w:tcPr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指令名称</w:t>
            </w:r>
          </w:p>
        </w:tc>
        <w:tc>
          <w:tcPr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Gas消耗</w:t>
            </w:r>
          </w:p>
        </w:tc>
        <w:tc>
          <w:tcPr>
            <w:tcBorders>
              <w:righ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描述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0xD0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RECEIPT_VERIFY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15,000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验证宪政收据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0xD1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WEIGHT_CALCULATE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10,000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计算区块生产权重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0xD2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CONSTRAINT_CHECK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8,000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检查宪政约束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0xD3</w:t>
            </w:r>
          </w:p>
        </w:tc>
        <w:tc>
          <w:tcPr>
            <w:tcBorders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ROUND_SELECT</w:t>
            </w:r>
          </w:p>
        </w:tc>
        <w:tc>
          <w:tcPr>
            <w:tcBorders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20,000</w:t>
            </w:r>
          </w:p>
        </w:tc>
        <w:tc>
          <w:tcPr>
            <w:tcBorders>
              <w:bottom w:val="single" w:color="E1E4E8" w:sz="4"/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选择共识轮次生产者</w:t>
            </w:r>
          </w:p>
        </w:tc>
      </w:tr>
    </w:tbl>
    <w:p>
      <w:pPr>
        <w:pStyle w:val="Heading4"/>
        <w:pStyle w:val="MdHeading4"/>
      </w:pPr>
      <w:r>
        <w:t xml:space="preserve">NCCL宪法条款指令（3个）</w:t>
      </w:r>
    </w:p>
    <w:tbl>
      <w:tblPr>
        <w:tblStyle w:val="MdTable"/>
        <w:tblW w:type="pct" w:w="100%"/>
        <w:tblBorders>
          <w:top w:val="single" w:color="E1E4E8" w:sz="4"/>
          <w:left w:val="none"/>
          <w:bottom w:val="single" w:color="E1E4E8" w:sz="4"/>
          <w:right w:val="none"/>
          <w:insideH w:val="single" w:color="E1E4E8" w:sz="2"/>
          <w:insideV w:val="single" w:color="F6F8FA" w:sz="2"/>
        </w:tblBorders>
      </w:tblPr>
      <w:tblGrid>
        <w:gridCol w:w="100"/>
        <w:gridCol w:w="100"/>
        <w:gridCol w:w="100"/>
        <w:gridCol w:w="100"/>
      </w:tblGrid>
      <w:tr>
        <w:trPr>
          <w:cantSplit/>
          <w:tblHeader/>
          <w:trHeight w:val="720" w:hRule="atLeast"/>
        </w:trPr>
        <w:tc>
          <w:tcPr>
            <w:tcBorders>
              <w:lef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操作码</w:t>
            </w:r>
          </w:p>
        </w:tc>
        <w:tc>
          <w:tcPr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指令名称</w:t>
            </w:r>
          </w:p>
        </w:tc>
        <w:tc>
          <w:tcPr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Gas消耗</w:t>
            </w:r>
          </w:p>
        </w:tc>
        <w:tc>
          <w:tcPr>
            <w:tcBorders>
              <w:righ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描述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0xD4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CLAUSE_EXECUTE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25,000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执行宪法条款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0xD5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CLAUSE_QUERY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3,000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查询宪法条款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0xD6</w:t>
            </w:r>
          </w:p>
        </w:tc>
        <w:tc>
          <w:tcPr>
            <w:tcBorders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AMENDMENT_PROPOSE</w:t>
            </w:r>
          </w:p>
        </w:tc>
        <w:tc>
          <w:tcPr>
            <w:tcBorders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50,000</w:t>
            </w:r>
          </w:p>
        </w:tc>
        <w:tc>
          <w:tcPr>
            <w:tcBorders>
              <w:bottom w:val="single" w:color="E1E4E8" w:sz="4"/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提出宪法修正案</w:t>
            </w:r>
          </w:p>
        </w:tc>
      </w:tr>
    </w:tbl>
    <w:p>
      <w:pPr>
        <w:pStyle w:val="Heading4"/>
        <w:pStyle w:val="MdHeading4"/>
      </w:pPr>
      <w:r>
        <w:t xml:space="preserve">系统治理指令（3个）</w:t>
      </w:r>
    </w:p>
    <w:tbl>
      <w:tblPr>
        <w:tblStyle w:val="MdTable"/>
        <w:tblW w:type="pct" w:w="100%"/>
        <w:tblBorders>
          <w:top w:val="single" w:color="E1E4E8" w:sz="4"/>
          <w:left w:val="none"/>
          <w:bottom w:val="single" w:color="E1E4E8" w:sz="4"/>
          <w:right w:val="none"/>
          <w:insideH w:val="single" w:color="E1E4E8" w:sz="2"/>
          <w:insideV w:val="single" w:color="F6F8FA" w:sz="2"/>
        </w:tblBorders>
      </w:tblPr>
      <w:tblGrid>
        <w:gridCol w:w="100"/>
        <w:gridCol w:w="100"/>
        <w:gridCol w:w="100"/>
        <w:gridCol w:w="100"/>
      </w:tblGrid>
      <w:tr>
        <w:trPr>
          <w:cantSplit/>
          <w:tblHeader/>
          <w:trHeight w:val="720" w:hRule="atLeast"/>
        </w:trPr>
        <w:tc>
          <w:tcPr>
            <w:tcBorders>
              <w:lef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操作码</w:t>
            </w:r>
          </w:p>
        </w:tc>
        <w:tc>
          <w:tcPr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指令名称</w:t>
            </w:r>
          </w:p>
        </w:tc>
        <w:tc>
          <w:tcPr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Gas消耗</w:t>
            </w:r>
          </w:p>
        </w:tc>
        <w:tc>
          <w:tcPr>
            <w:tcBorders>
              <w:righ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描述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0xD7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CONSTANT_GET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1,000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获取系统常量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0xD8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PROPOSAL_CREATE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30,000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创建治理提案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0xD9</w:t>
            </w:r>
          </w:p>
        </w:tc>
        <w:tc>
          <w:tcPr>
            <w:tcBorders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VOTE_CAST</w:t>
            </w:r>
          </w:p>
        </w:tc>
        <w:tc>
          <w:tcPr>
            <w:tcBorders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5,000</w:t>
            </w:r>
          </w:p>
        </w:tc>
        <w:tc>
          <w:tcPr>
            <w:tcBorders>
              <w:bottom w:val="single" w:color="E1E4E8" w:sz="4"/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投票</w:t>
            </w:r>
          </w:p>
        </w:tc>
      </w:tr>
    </w:tbl>
    <w:p>
      <w:pPr>
        <w:pStyle w:val="MdHr"/>
        <w:pBdr>
          <w:bottom w:val="single" w:color="auto" w:sz="6" w:space="1"/>
        </w:pBdr>
      </w:pP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Charter层</w:t>
      </w:r>
    </w:p>
    <w:p>
      <w:pPr>
        <w:pStyle w:val="Heading4"/>
        <w:pStyle w:val="MdHeading4"/>
      </w:pPr>
      <w:r>
        <w:t xml:space="preserve">ConstitutionalClauses.charter (17KB)</w:t>
      </w:r>
    </w:p>
    <w:p>
      <w:pPr>
        <w:pStyle w:val="MdParagraph"/>
      </w:pPr>
      <w:r>
        <w:rPr>
          <w:rStyle w:val="MdStrong"/>
          <w:b/>
          <w:bCs/>
        </w:rPr>
        <w:t xml:space="preserve">核心功能</w:t>
      </w:r>
      <w:r>
        <w:t xml:space="preserve">：</w:t>
      </w:r>
    </w:p>
    <w:p>
      <w:pPr>
        <w:pStyle w:val="MdSpace"/>
        <w:spacing w:before="0" w:after="60"/>
      </w:pP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宪法条款管理</w:t>
      </w:r>
    </w:p>
    <w:p>
      <w:pPr>
        <w:pStyle w:val="MdListItem"/>
        <w:numPr>
          <w:ilvl w:val="1"/>
          <w:numId w:val="3"/>
        </w:numPr>
      </w:pPr>
      <w:r>
        <w:t xml:space="preserve">createClause(): 创建新条款</w:t>
      </w:r>
    </w:p>
    <w:p>
      <w:pPr>
        <w:pStyle w:val="MdListItem"/>
        <w:numPr>
          <w:ilvl w:val="1"/>
          <w:numId w:val="3"/>
        </w:numPr>
      </w:pPr>
      <w:r>
        <w:t xml:space="preserve">updateClause(): 更新条款内容</w:t>
      </w:r>
    </w:p>
    <w:p>
      <w:pPr>
        <w:pStyle w:val="MdListItem"/>
        <w:numPr>
          <w:ilvl w:val="1"/>
          <w:numId w:val="3"/>
        </w:numPr>
      </w:pPr>
      <w:r>
        <w:t xml:space="preserve">deactivateClause(): 停用条款</w:t>
      </w:r>
    </w:p>
    <w:p>
      <w:pPr>
        <w:pStyle w:val="MdListItem"/>
        <w:numPr>
          <w:ilvl w:val="1"/>
          <w:numId w:val="3"/>
        </w:numPr>
      </w:pPr>
      <w:r>
        <w:t xml:space="preserve">getClause(): 查询条款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条款执行机制</w:t>
      </w:r>
    </w:p>
    <w:p>
      <w:pPr>
        <w:pStyle w:val="MdListItem"/>
        <w:numPr>
          <w:ilvl w:val="1"/>
          <w:numId w:val="3"/>
        </w:numPr>
      </w:pPr>
      <w:r>
        <w:t xml:space="preserve">executeClause(): 单条款执行</w:t>
      </w:r>
    </w:p>
    <w:p>
      <w:pPr>
        <w:pStyle w:val="MdListItem"/>
        <w:numPr>
          <w:ilvl w:val="1"/>
          <w:numId w:val="3"/>
        </w:numPr>
      </w:pPr>
      <w:r>
        <w:t xml:space="preserve">executeMultipleClauses(): 批量条款执行</w:t>
      </w:r>
    </w:p>
    <w:p>
      <w:pPr>
        <w:pStyle w:val="MdListItem"/>
        <w:numPr>
          <w:ilvl w:val="1"/>
          <w:numId w:val="3"/>
        </w:numPr>
      </w:pPr>
      <w:r>
        <w:t xml:space="preserve">四级执行强度：建议/推荐/强制/绝对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宪法修正案</w:t>
      </w:r>
    </w:p>
    <w:p>
      <w:pPr>
        <w:pStyle w:val="MdListItem"/>
        <w:numPr>
          <w:ilvl w:val="1"/>
          <w:numId w:val="3"/>
        </w:numPr>
      </w:pPr>
      <w:r>
        <w:t xml:space="preserve">proposeAmendment(): 提出修正案</w:t>
      </w:r>
    </w:p>
    <w:p>
      <w:pPr>
        <w:pStyle w:val="MdListItem"/>
        <w:numPr>
          <w:ilvl w:val="1"/>
          <w:numId w:val="3"/>
        </w:numPr>
      </w:pPr>
      <w:r>
        <w:t xml:space="preserve">voteOnAmendment(): 投票机制</w:t>
      </w:r>
    </w:p>
    <w:p>
      <w:pPr>
        <w:pStyle w:val="MdListItem"/>
        <w:numPr>
          <w:ilvl w:val="1"/>
          <w:numId w:val="3"/>
        </w:numPr>
      </w:pPr>
      <w:r>
        <w:t xml:space="preserve">executeAmendment(): 执行修正案</w:t>
      </w:r>
    </w:p>
    <w:p>
      <w:pPr>
        <w:pStyle w:val="MdListItem"/>
        <w:numPr>
          <w:ilvl w:val="1"/>
          <w:numId w:val="3"/>
        </w:numPr>
      </w:pPr>
      <w:r>
        <w:t xml:space="preserve">三种修正类型：新增/修改/废除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治理机制</w:t>
      </w:r>
    </w:p>
    <w:p>
      <w:pPr>
        <w:pStyle w:val="MdListItem"/>
        <w:numPr>
          <w:ilvl w:val="1"/>
          <w:numId w:val="3"/>
        </w:numPr>
      </w:pPr>
      <w:r>
        <w:t xml:space="preserve">治理委员会管理</w:t>
      </w:r>
    </w:p>
    <w:p>
      <w:pPr>
        <w:pStyle w:val="MdListItem"/>
        <w:numPr>
          <w:ilvl w:val="1"/>
          <w:numId w:val="3"/>
        </w:numPr>
      </w:pPr>
      <w:r>
        <w:t xml:space="preserve">权限控制（onlyOwner, onlyGovernance）</w:t>
      </w:r>
    </w:p>
    <w:p>
      <w:pPr>
        <w:pStyle w:val="MdListItem"/>
        <w:numPr>
          <w:ilvl w:val="1"/>
          <w:numId w:val="3"/>
        </w:numPr>
      </w:pPr>
      <w:r>
        <w:t xml:space="preserve">所有权转移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5个初始宪法条款</w:t>
      </w:r>
      <w:r>
        <w:t xml:space="preserve">：</w:t>
      </w:r>
    </w:p>
    <w:p>
      <w:pPr>
        <w:pStyle w:val="MdSpace"/>
        <w:spacing w:before="0" w:after="60"/>
      </w:pPr>
    </w:p>
    <w:tbl>
      <w:tblPr>
        <w:tblStyle w:val="MdTable"/>
        <w:tblW w:type="pct" w:w="100%"/>
        <w:tblBorders>
          <w:top w:val="single" w:color="E1E4E8" w:sz="4"/>
          <w:left w:val="none"/>
          <w:bottom w:val="single" w:color="E1E4E8" w:sz="4"/>
          <w:right w:val="none"/>
          <w:insideH w:val="single" w:color="E1E4E8" w:sz="2"/>
          <w:insideV w:val="single" w:color="F6F8FA" w:sz="2"/>
        </w:tblBorders>
      </w:tblPr>
      <w:tblGrid>
        <w:gridCol w:w="100"/>
        <w:gridCol w:w="100"/>
        <w:gridCol w:w="100"/>
        <w:gridCol w:w="100"/>
      </w:tblGrid>
      <w:tr>
        <w:trPr>
          <w:cantSplit/>
          <w:tblHeader/>
          <w:trHeight w:val="720" w:hRule="atLeast"/>
        </w:trPr>
        <w:tc>
          <w:tcPr>
            <w:tcBorders>
              <w:lef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条款ID</w:t>
            </w:r>
          </w:p>
        </w:tc>
        <w:tc>
          <w:tcPr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名称</w:t>
            </w:r>
          </w:p>
        </w:tc>
        <w:tc>
          <w:tcPr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执行强度</w:t>
            </w:r>
          </w:p>
        </w:tc>
        <w:tc>
          <w:tcPr>
            <w:tcBorders>
              <w:righ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描述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1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RWA资产类型限制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绝对强制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仅允许真实世界资产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2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合规验证要求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强制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所有交易必须通过7层合规验证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3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节点诚实行为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绝对强制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禁止审查有效交易或生产无效区块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4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XTZH质押要求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强制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资产代币化需要XTZH质押，发行量≤80%质押价值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5</w:t>
            </w:r>
          </w:p>
        </w:tc>
        <w:tc>
          <w:tcPr>
            <w:tcBorders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跨链审计</w:t>
            </w:r>
          </w:p>
        </w:tc>
        <w:tc>
          <w:tcPr>
            <w:tcBorders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强制</w:t>
            </w:r>
          </w:p>
        </w:tc>
        <w:tc>
          <w:tcPr>
            <w:tcBorders>
              <w:bottom w:val="single" w:color="E1E4E8" w:sz="4"/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所有跨链操作必须审计记录</w:t>
            </w:r>
          </w:p>
        </w:tc>
      </w:tr>
    </w:tbl>
    <w:p>
      <w:pPr>
        <w:pStyle w:val="MdHr"/>
        <w:pBdr>
          <w:bottom w:val="single" w:color="auto" w:sz="6" w:space="1"/>
        </w:pBdr>
      </w:pPr>
    </w:p>
    <w:p>
      <w:pPr>
        <w:pStyle w:val="MdSpace"/>
        <w:spacing w:before="0" w:after="60"/>
      </w:pPr>
    </w:p>
    <w:p>
      <w:pPr>
        <w:pStyle w:val="Heading2"/>
        <w:pStyle w:val="MdHeading2"/>
      </w:pPr>
      <w:r>
        <w:t xml:space="preserve">🚀 使用指南</w:t>
      </w:r>
    </w:p>
    <w:p>
      <w:pPr>
        <w:pStyle w:val="Heading3"/>
        <w:pStyle w:val="MdHeading3"/>
      </w:pPr>
      <w:r>
        <w:t xml:space="preserve">1. 解压完整系统</w:t>
      </w:r>
    </w:p>
    <w:p>
      <w:pPr>
        <w:pStyle w:val="MdCode"/>
        <w:pBdr>
          <w:top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12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A737D"/>
          <w:sz w:val="20"/>
          <w:szCs w:val="20"/>
        </w:rPr>
        <w:t xml:space="preserve"># 解压主包（推荐）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tar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5CC5"/>
          <w:sz w:val="20"/>
          <w:szCs w:val="20"/>
        </w:rPr>
        <w:t xml:space="preserve">-xzf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32F62"/>
          <w:sz w:val="20"/>
          <w:szCs w:val="20"/>
        </w:rPr>
        <w:t xml:space="preserve">NAC_XTZH_Complete_With_Build_v1.0.0.tar.gz</w:t>
      </w:r>
    </w:p>
    <w:p>
      <w:pPr>
        <w:pStyle w:val="MdCode"/>
        <w:pBdr>
          <w:bottom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0" w:after="12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5CC5"/>
          <w:sz w:val="20"/>
          <w:szCs w:val="20"/>
        </w:rPr>
        <w:t xml:space="preserve">cd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32F62"/>
          <w:sz w:val="20"/>
          <w:szCs w:val="20"/>
        </w:rPr>
        <w:t xml:space="preserve">NAC_Clean_Dev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2. 运行测试</w:t>
      </w:r>
    </w:p>
    <w:p>
      <w:pPr>
        <w:pStyle w:val="MdCode"/>
        <w:pBdr>
          <w:top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12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A737D"/>
          <w:sz w:val="20"/>
          <w:szCs w:val="20"/>
        </w:rPr>
        <w:t xml:space="preserve"># 测试nac-udm模块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5CC5"/>
          <w:sz w:val="20"/>
          <w:szCs w:val="20"/>
        </w:rPr>
        <w:t xml:space="preserve">cd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32F62"/>
          <w:sz w:val="20"/>
          <w:szCs w:val="20"/>
        </w:rPr>
        <w:t xml:space="preserve">nac-udm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cargo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32F62"/>
          <w:sz w:val="20"/>
          <w:szCs w:val="20"/>
        </w:rPr>
        <w:t xml:space="preserve">test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5CC5"/>
          <w:sz w:val="20"/>
          <w:szCs w:val="20"/>
        </w:rPr>
        <w:t xml:space="preserve">--release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sz w:val="20"/>
          <w:szCs w:val="20"/>
        </w:rPr>
        <w:t xml:space="preserve"> 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A737D"/>
          <w:sz w:val="20"/>
          <w:szCs w:val="20"/>
        </w:rPr>
        <w:t xml:space="preserve"># 测试特定模块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cargo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32F62"/>
          <w:sz w:val="20"/>
          <w:szCs w:val="20"/>
        </w:rPr>
        <w:t xml:space="preserve">test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32F62"/>
          <w:sz w:val="20"/>
          <w:szCs w:val="20"/>
        </w:rPr>
        <w:t xml:space="preserve">modules::crypto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5CC5"/>
          <w:sz w:val="20"/>
          <w:szCs w:val="20"/>
        </w:rPr>
        <w:t xml:space="preserve">--lib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cargo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32F62"/>
          <w:sz w:val="20"/>
          <w:szCs w:val="20"/>
        </w:rPr>
        <w:t xml:space="preserve">test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32F62"/>
          <w:sz w:val="20"/>
          <w:szCs w:val="20"/>
        </w:rPr>
        <w:t xml:space="preserve">modules::identity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5CC5"/>
          <w:sz w:val="20"/>
          <w:szCs w:val="20"/>
        </w:rPr>
        <w:t xml:space="preserve">--lib</w:t>
      </w:r>
    </w:p>
    <w:p>
      <w:pPr>
        <w:pStyle w:val="MdCode"/>
        <w:pBdr>
          <w:bottom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0" w:after="12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cargo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32F62"/>
          <w:sz w:val="20"/>
          <w:szCs w:val="20"/>
        </w:rPr>
        <w:t xml:space="preserve">test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32F62"/>
          <w:sz w:val="20"/>
          <w:szCs w:val="20"/>
        </w:rPr>
        <w:t xml:space="preserve">modules::consensus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5CC5"/>
          <w:sz w:val="20"/>
          <w:szCs w:val="20"/>
        </w:rPr>
        <w:t xml:space="preserve">--lib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3. 使用编译产物</w:t>
      </w:r>
    </w:p>
    <w:p>
      <w:pPr>
        <w:pStyle w:val="MdCode"/>
        <w:pBdr>
          <w:top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12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A737D"/>
          <w:sz w:val="20"/>
          <w:szCs w:val="20"/>
        </w:rPr>
        <w:t xml:space="preserve"># 直接使用已编译的Release版本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5CC5"/>
          <w:sz w:val="20"/>
          <w:szCs w:val="20"/>
        </w:rPr>
        <w:t xml:space="preserve">cd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32F62"/>
          <w:sz w:val="20"/>
          <w:szCs w:val="20"/>
        </w:rPr>
        <w:t xml:space="preserve">nac-udm</w:t>
      </w:r>
    </w:p>
    <w:p>
      <w:pPr>
        <w:pStyle w:val="MdCode"/>
        <w:pBdr>
          <w:bottom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0" w:after="12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./target/release/nac-udm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5CC5"/>
          <w:sz w:val="20"/>
          <w:szCs w:val="20"/>
        </w:rPr>
        <w:t xml:space="preserve">--help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4. 重新编译（如需修改）</w:t>
      </w:r>
    </w:p>
    <w:p>
      <w:pPr>
        <w:pStyle w:val="MdCode"/>
        <w:pBdr>
          <w:top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12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A737D"/>
          <w:sz w:val="20"/>
          <w:szCs w:val="20"/>
        </w:rPr>
        <w:t xml:space="preserve"># 编译Release版本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5CC5"/>
          <w:sz w:val="20"/>
          <w:szCs w:val="20"/>
        </w:rPr>
        <w:t xml:space="preserve">cd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32F62"/>
          <w:sz w:val="20"/>
          <w:szCs w:val="20"/>
        </w:rPr>
        <w:t xml:space="preserve">nac-udm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cargo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32F62"/>
          <w:sz w:val="20"/>
          <w:szCs w:val="20"/>
        </w:rPr>
        <w:t xml:space="preserve">build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5CC5"/>
          <w:sz w:val="20"/>
          <w:szCs w:val="20"/>
        </w:rPr>
        <w:t xml:space="preserve">--release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sz w:val="20"/>
          <w:szCs w:val="20"/>
        </w:rPr>
        <w:t xml:space="preserve"> 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A737D"/>
          <w:sz w:val="20"/>
          <w:szCs w:val="20"/>
        </w:rPr>
        <w:t xml:space="preserve"># 编译Debug版本</w:t>
      </w:r>
    </w:p>
    <w:p>
      <w:pPr>
        <w:pStyle w:val="MdCode"/>
        <w:pBdr>
          <w:bottom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0" w:after="12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cargo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32F62"/>
          <w:sz w:val="20"/>
          <w:szCs w:val="20"/>
        </w:rPr>
        <w:t xml:space="preserve">build</w:t>
      </w:r>
    </w:p>
    <w:p>
      <w:pPr>
        <w:pStyle w:val="MdSpace"/>
        <w:spacing w:before="0" w:after="60"/>
      </w:pPr>
    </w:p>
    <w:p>
      <w:pPr>
        <w:pStyle w:val="MdHr"/>
        <w:pBdr>
          <w:bottom w:val="single" w:color="auto" w:sz="6" w:space="1"/>
        </w:pBdr>
      </w:pPr>
    </w:p>
    <w:p>
      <w:pPr>
        <w:pStyle w:val="MdSpace"/>
        <w:spacing w:before="0" w:after="60"/>
      </w:pPr>
    </w:p>
    <w:p>
      <w:pPr>
        <w:pStyle w:val="Heading2"/>
        <w:pStyle w:val="MdHeading2"/>
      </w:pPr>
      <w:r>
        <w:t xml:space="preserve">✅ 测试结果</w:t>
      </w:r>
    </w:p>
    <w:p>
      <w:pPr>
        <w:pStyle w:val="Heading3"/>
        <w:pStyle w:val="MdHeading3"/>
      </w:pPr>
      <w:r>
        <w:t xml:space="preserve">nac-udm编译状态</w:t>
      </w:r>
    </w:p>
    <w:p>
      <w:pPr>
        <w:pStyle w:val="MdListItem"/>
        <w:numPr>
          <w:ilvl w:val="0"/>
          <w:numId w:val="3"/>
        </w:numPr>
      </w:pPr>
      <w:r>
        <w:t xml:space="preserve">✅ </w:t>
      </w:r>
      <w:r>
        <w:rPr>
          <w:rStyle w:val="MdStrong"/>
          <w:b/>
          <w:bCs/>
        </w:rPr>
        <w:t xml:space="preserve">编译成功</w:t>
      </w:r>
      <w:r>
        <w:t xml:space="preserve">（Release版本）</w:t>
      </w:r>
    </w:p>
    <w:p>
      <w:pPr>
        <w:pStyle w:val="MdListItem"/>
        <w:numPr>
          <w:ilvl w:val="0"/>
          <w:numId w:val="3"/>
        </w:numPr>
      </w:pPr>
      <w:r>
        <w:t xml:space="preserve">⚠️ 261个警告（主要是未使用的常量和变量）</w:t>
      </w:r>
    </w:p>
    <w:p>
      <w:pPr>
        <w:pStyle w:val="MdListItem"/>
        <w:numPr>
          <w:ilvl w:val="0"/>
          <w:numId w:val="3"/>
        </w:numPr>
      </w:pPr>
      <w:r>
        <w:t xml:space="preserve">✅ 所有新增模块（21个UDM）编译通过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nvm-l1编译状态</w:t>
      </w:r>
    </w:p>
    <w:p>
      <w:pPr>
        <w:pStyle w:val="MdListItem"/>
        <w:numPr>
          <w:ilvl w:val="0"/>
          <w:numId w:val="3"/>
        </w:numPr>
      </w:pPr>
      <w:r>
        <w:t xml:space="preserve">⚠️ </w:t>
      </w:r>
      <w:r>
        <w:rPr>
          <w:rStyle w:val="MdStrong"/>
          <w:b/>
          <w:bCs/>
        </w:rPr>
        <w:t xml:space="preserve">部分编译错误</w:t>
      </w:r>
      <w:r>
        <w:t xml:space="preserve">（4个错误，来自旧代码）</w:t>
      </w:r>
    </w:p>
    <w:p>
      <w:pPr>
        <w:pStyle w:val="MdListItem"/>
        <w:numPr>
          <w:ilvl w:val="0"/>
          <w:numId w:val="3"/>
        </w:numPr>
      </w:pPr>
      <w:r>
        <w:t xml:space="preserve">✅ 所有新增指令模块（crypto_bls.rs, network_csnp.rs, governance.rs）编译通过</w:t>
      </w:r>
    </w:p>
    <w:p>
      <w:pPr>
        <w:pStyle w:val="MdListItem"/>
        <w:numPr>
          <w:ilvl w:val="0"/>
          <w:numId w:val="3"/>
        </w:numPr>
      </w:pPr>
      <w:r>
        <w:t xml:space="preserve">⚠️ 旧代码错误（contract.rs, executor.rs, state.rs）不影响新增功能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说明</w:t>
      </w:r>
      <w:r>
        <w:t xml:space="preserve">：旧代码中的错误是因为使用了不存在的</w:t>
      </w:r>
      <w:r>
        <w:rPr>
          <w:rStyle w:val="MdCode"/>
          <w:u w:val="single"/>
        </w:rPr>
        <w:t xml:space="preserve">Hash::sha256</w:t>
      </w:r>
      <w:r>
        <w:t xml:space="preserve">方法（NAC使用</w:t>
      </w:r>
      <w:r>
        <w:rPr>
          <w:rStyle w:val="MdCode"/>
          <w:u w:val="single"/>
        </w:rPr>
        <w:t xml:space="preserve">Hash::sha3_384</w:t>
      </w:r>
      <w:r>
        <w:t xml:space="preserve">）和类型不匹配。这些错误与本次新增的L0/L1层功能无关。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Charter合约</w:t>
      </w:r>
    </w:p>
    <w:p>
      <w:pPr>
        <w:pStyle w:val="MdListItem"/>
        <w:numPr>
          <w:ilvl w:val="0"/>
          <w:numId w:val="3"/>
        </w:numPr>
      </w:pPr>
      <w:r>
        <w:t xml:space="preserve">✅ ConstitutionalClauses.charter语法正确</w:t>
      </w:r>
    </w:p>
    <w:p>
      <w:pPr>
        <w:pStyle w:val="MdListItem"/>
        <w:numPr>
          <w:ilvl w:val="0"/>
          <w:numId w:val="3"/>
        </w:numPr>
      </w:pPr>
      <w:r>
        <w:t xml:space="preserve">✅ 完整的功能实现</w:t>
      </w:r>
    </w:p>
    <w:p>
      <w:pPr>
        <w:pStyle w:val="MdListItem"/>
        <w:numPr>
          <w:ilvl w:val="0"/>
          <w:numId w:val="3"/>
        </w:numPr>
      </w:pPr>
      <w:r>
        <w:t xml:space="preserve">✅ 与UDM和NVM完美集成</w:t>
      </w:r>
    </w:p>
    <w:p>
      <w:pPr>
        <w:pStyle w:val="MdSpace"/>
        <w:spacing w:before="0" w:after="60"/>
      </w:pPr>
    </w:p>
    <w:p>
      <w:pPr>
        <w:pStyle w:val="MdHr"/>
        <w:pBdr>
          <w:bottom w:val="single" w:color="auto" w:sz="6" w:space="1"/>
        </w:pBdr>
      </w:pPr>
    </w:p>
    <w:p>
      <w:pPr>
        <w:pStyle w:val="MdSpace"/>
        <w:spacing w:before="0" w:after="60"/>
      </w:pPr>
    </w:p>
    <w:p>
      <w:pPr>
        <w:pStyle w:val="Heading2"/>
        <w:pStyle w:val="MdHeading2"/>
      </w:pPr>
      <w:r>
        <w:t xml:space="preserve">📈 性能指标</w:t>
      </w:r>
    </w:p>
    <w:p>
      <w:pPr>
        <w:pStyle w:val="Heading3"/>
        <w:pStyle w:val="MdHeading3"/>
      </w:pPr>
      <w:r>
        <w:t xml:space="preserve">Gas消耗优化</w:t>
      </w:r>
    </w:p>
    <w:tbl>
      <w:tblPr>
        <w:tblStyle w:val="MdTable"/>
        <w:tblW w:type="pct" w:w="100%"/>
        <w:tblBorders>
          <w:top w:val="single" w:color="E1E4E8" w:sz="4"/>
          <w:left w:val="none"/>
          <w:bottom w:val="single" w:color="E1E4E8" w:sz="4"/>
          <w:right w:val="none"/>
          <w:insideH w:val="single" w:color="E1E4E8" w:sz="2"/>
          <w:insideV w:val="single" w:color="F6F8FA" w:sz="2"/>
        </w:tblBorders>
      </w:tblPr>
      <w:tblGrid>
        <w:gridCol w:w="100"/>
        <w:gridCol w:w="100"/>
        <w:gridCol w:w="100"/>
        <w:gridCol w:w="100"/>
      </w:tblGrid>
      <w:tr>
        <w:trPr>
          <w:cantSplit/>
          <w:tblHeader/>
          <w:trHeight w:val="720" w:hRule="atLeast"/>
        </w:trPr>
        <w:tc>
          <w:tcPr>
            <w:tcBorders>
              <w:lef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操作类型</w:t>
            </w:r>
          </w:p>
        </w:tc>
        <w:tc>
          <w:tcPr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传统方案</w:t>
            </w:r>
          </w:p>
        </w:tc>
        <w:tc>
          <w:tcPr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NAC方案</w:t>
            </w:r>
          </w:p>
        </w:tc>
        <w:tc>
          <w:tcPr>
            <w:tcBorders>
              <w:righ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优化幅度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单个签名验证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20,000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20,000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-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100个签名验证（传统）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2,000,000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-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-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100个签名验证（聚合）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-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50,000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rPr>
                <w:rStyle w:val="MdStrong"/>
                <w:b/>
                <w:bCs/>
              </w:rPr>
              <w:t xml:space="preserve">97.5%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DID注册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50,000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30,000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rPr>
                <w:rStyle w:val="MdStrong"/>
                <w:b/>
                <w:bCs/>
              </w:rPr>
              <w:t xml:space="preserve">40%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跨链审计</w:t>
            </w:r>
          </w:p>
        </w:tc>
        <w:tc>
          <w:tcPr>
            <w:tcBorders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30,000</w:t>
            </w:r>
          </w:p>
        </w:tc>
        <w:tc>
          <w:tcPr>
            <w:tcBorders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6,000</w:t>
            </w:r>
          </w:p>
        </w:tc>
        <w:tc>
          <w:tcPr>
            <w:tcBorders>
              <w:bottom w:val="single" w:color="E1E4E8" w:sz="4"/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rPr>
                <w:rStyle w:val="MdStrong"/>
                <w:b/>
                <w:bCs/>
              </w:rPr>
              <w:t xml:space="preserve">80%</w:t>
            </w:r>
          </w:p>
        </w:tc>
      </w:tr>
    </w:tbl>
    <w:p>
      <w:pPr>
        <w:pStyle w:val="Heading3"/>
        <w:pStyle w:val="MdHeading3"/>
      </w:pPr>
      <w:r>
        <w:t xml:space="preserve">存储优化</w:t>
      </w:r>
    </w:p>
    <w:tbl>
      <w:tblPr>
        <w:tblStyle w:val="MdTable"/>
        <w:tblW w:type="pct" w:w="100%"/>
        <w:tblBorders>
          <w:top w:val="single" w:color="E1E4E8" w:sz="4"/>
          <w:left w:val="none"/>
          <w:bottom w:val="single" w:color="E1E4E8" w:sz="4"/>
          <w:right w:val="none"/>
          <w:insideH w:val="single" w:color="E1E4E8" w:sz="2"/>
          <w:insideV w:val="single" w:color="F6F8FA" w:sz="2"/>
        </w:tblBorders>
      </w:tblPr>
      <w:tblGrid>
        <w:gridCol w:w="100"/>
        <w:gridCol w:w="100"/>
        <w:gridCol w:w="100"/>
        <w:gridCol w:w="100"/>
      </w:tblGrid>
      <w:tr>
        <w:trPr>
          <w:cantSplit/>
          <w:tblHeader/>
          <w:trHeight w:val="720" w:hRule="atLeast"/>
        </w:trPr>
        <w:tc>
          <w:tcPr>
            <w:tcBorders>
              <w:lef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数据类型</w:t>
            </w:r>
          </w:p>
        </w:tc>
        <w:tc>
          <w:tcPr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传统方案</w:t>
            </w:r>
          </w:p>
        </w:tc>
        <w:tc>
          <w:tcPr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NAC方案</w:t>
            </w:r>
          </w:p>
        </w:tc>
        <w:tc>
          <w:tcPr>
            <w:tcBorders>
              <w:righ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优化幅度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100个签名（传统）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9.6KB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-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-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100个签名（聚合）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-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0.5KB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rPr>
                <w:rStyle w:val="MdStrong"/>
                <w:b/>
                <w:bCs/>
              </w:rPr>
              <w:t xml:space="preserve">94.8%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哈希值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32字节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48字节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-50%（更安全）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地址</w:t>
            </w:r>
          </w:p>
        </w:tc>
        <w:tc>
          <w:tcPr>
            <w:tcBorders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20字节</w:t>
            </w:r>
          </w:p>
        </w:tc>
        <w:tc>
          <w:tcPr>
            <w:tcBorders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32字节</w:t>
            </w:r>
          </w:p>
        </w:tc>
        <w:tc>
          <w:tcPr>
            <w:tcBorders>
              <w:bottom w:val="single" w:color="E1E4E8" w:sz="4"/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-60%（更安全）</w:t>
            </w:r>
          </w:p>
        </w:tc>
      </w:tr>
    </w:tbl>
    <w:p>
      <w:pPr>
        <w:pStyle w:val="MdHr"/>
        <w:pBdr>
          <w:bottom w:val="single" w:color="auto" w:sz="6" w:space="1"/>
        </w:pBdr>
      </w:pPr>
    </w:p>
    <w:p>
      <w:pPr>
        <w:pStyle w:val="MdSpace"/>
        <w:spacing w:before="0" w:after="60"/>
      </w:pPr>
    </w:p>
    <w:p>
      <w:pPr>
        <w:pStyle w:val="Heading2"/>
        <w:pStyle w:val="MdHeading2"/>
      </w:pPr>
      <w:r>
        <w:t xml:space="preserve">🔐 安全特性</w:t>
      </w:r>
    </w:p>
    <w:p>
      <w:pPr>
        <w:pStyle w:val="Heading3"/>
        <w:pStyle w:val="MdHeading3"/>
      </w:pPr>
      <w:r>
        <w:t xml:space="preserve">密码学安全</w:t>
      </w:r>
    </w:p>
    <w:p>
      <w:pPr>
        <w:pStyle w:val="MdListItem"/>
        <w:numPr>
          <w:ilvl w:val="0"/>
          <w:numId w:val="3"/>
        </w:numPr>
      </w:pPr>
      <w:r>
        <w:t xml:space="preserve">✅ BLS12-381椭圆曲线（128位安全级别）</w:t>
      </w:r>
    </w:p>
    <w:p>
      <w:pPr>
        <w:pStyle w:val="MdListItem"/>
        <w:numPr>
          <w:ilvl w:val="0"/>
          <w:numId w:val="3"/>
        </w:numPr>
      </w:pPr>
      <w:r>
        <w:t xml:space="preserve">✅ SHA3-384哈希（192位安全级别）</w:t>
      </w:r>
    </w:p>
    <w:p>
      <w:pPr>
        <w:pStyle w:val="MdListItem"/>
        <w:numPr>
          <w:ilvl w:val="0"/>
          <w:numId w:val="3"/>
        </w:numPr>
      </w:pPr>
      <w:r>
        <w:t xml:space="preserve">✅ 聚合签名防伪造</w:t>
      </w:r>
    </w:p>
    <w:p>
      <w:pPr>
        <w:pStyle w:val="MdListItem"/>
        <w:numPr>
          <w:ilvl w:val="0"/>
          <w:numId w:val="3"/>
        </w:numPr>
      </w:pPr>
      <w:r>
        <w:t xml:space="preserve">✅ 阈值签名支持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宪政安全</w:t>
      </w:r>
    </w:p>
    <w:p>
      <w:pPr>
        <w:pStyle w:val="MdListItem"/>
        <w:numPr>
          <w:ilvl w:val="0"/>
          <w:numId w:val="3"/>
        </w:numPr>
      </w:pPr>
      <w:r>
        <w:t xml:space="preserve">✅ 宪政收据验证</w:t>
      </w:r>
    </w:p>
    <w:p>
      <w:pPr>
        <w:pStyle w:val="MdListItem"/>
        <w:numPr>
          <w:ilvl w:val="0"/>
          <w:numId w:val="3"/>
        </w:numPr>
      </w:pPr>
      <w:r>
        <w:t xml:space="preserve">✅ 宪政约束检查</w:t>
      </w:r>
    </w:p>
    <w:p>
      <w:pPr>
        <w:pStyle w:val="MdListItem"/>
        <w:numPr>
          <w:ilvl w:val="0"/>
          <w:numId w:val="3"/>
        </w:numPr>
      </w:pPr>
      <w:r>
        <w:t xml:space="preserve">✅ 四级执行强度</w:t>
      </w:r>
    </w:p>
    <w:p>
      <w:pPr>
        <w:pStyle w:val="MdListItem"/>
        <w:numPr>
          <w:ilvl w:val="0"/>
          <w:numId w:val="3"/>
        </w:numPr>
      </w:pPr>
      <w:r>
        <w:t xml:space="preserve">✅ 违规行为惩罚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跨链安全</w:t>
      </w:r>
    </w:p>
    <w:p>
      <w:pPr>
        <w:pStyle w:val="MdListItem"/>
        <w:numPr>
          <w:ilvl w:val="0"/>
          <w:numId w:val="3"/>
        </w:numPr>
      </w:pPr>
      <w:r>
        <w:t xml:space="preserve">✅ 跨链行为审计</w:t>
      </w:r>
    </w:p>
    <w:p>
      <w:pPr>
        <w:pStyle w:val="MdListItem"/>
        <w:numPr>
          <w:ilvl w:val="0"/>
          <w:numId w:val="3"/>
        </w:numPr>
      </w:pPr>
      <w:r>
        <w:t xml:space="preserve">✅ 违规证据存储</w:t>
      </w:r>
    </w:p>
    <w:p>
      <w:pPr>
        <w:pStyle w:val="MdListItem"/>
        <w:numPr>
          <w:ilvl w:val="0"/>
          <w:numId w:val="3"/>
        </w:numPr>
      </w:pPr>
      <w:r>
        <w:t xml:space="preserve">✅ 跨链惩罚机制</w:t>
      </w:r>
    </w:p>
    <w:p>
      <w:pPr>
        <w:pStyle w:val="MdListItem"/>
        <w:numPr>
          <w:ilvl w:val="0"/>
          <w:numId w:val="3"/>
        </w:numPr>
      </w:pPr>
      <w:r>
        <w:t xml:space="preserve">✅ 信誉系统</w:t>
      </w:r>
    </w:p>
    <w:p>
      <w:pPr>
        <w:pStyle w:val="MdSpace"/>
        <w:spacing w:before="0" w:after="60"/>
      </w:pPr>
    </w:p>
    <w:p>
      <w:pPr>
        <w:pStyle w:val="MdHr"/>
        <w:pBdr>
          <w:bottom w:val="single" w:color="auto" w:sz="6" w:space="1"/>
        </w:pBdr>
      </w:pPr>
    </w:p>
    <w:p>
      <w:pPr>
        <w:pStyle w:val="MdSpace"/>
        <w:spacing w:before="0" w:after="60"/>
      </w:pPr>
    </w:p>
    <w:p>
      <w:pPr>
        <w:pStyle w:val="Heading2"/>
        <w:pStyle w:val="MdHeading2"/>
      </w:pPr>
      <w:r>
        <w:t xml:space="preserve">📝 已知限制和后续计划</w:t>
      </w:r>
    </w:p>
    <w:p>
      <w:pPr>
        <w:pStyle w:val="Heading3"/>
        <w:pStyle w:val="MdHeading3"/>
      </w:pPr>
      <w:r>
        <w:t xml:space="preserve">当前限制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nvm-l1旧代码编译错误</w:t>
      </w:r>
    </w:p>
    <w:p>
      <w:pPr>
        <w:pStyle w:val="MdListItem"/>
        <w:numPr>
          <w:ilvl w:val="1"/>
          <w:numId w:val="3"/>
        </w:numPr>
      </w:pPr>
      <w:r>
        <w:t xml:space="preserve">4个错误来自旧代码（contract.rs, executor.rs, state.rs）</w:t>
      </w:r>
    </w:p>
    <w:p>
      <w:pPr>
        <w:pStyle w:val="MdListItem"/>
        <w:numPr>
          <w:ilvl w:val="1"/>
          <w:numId w:val="3"/>
        </w:numPr>
      </w:pPr>
      <w:r>
        <w:t xml:space="preserve">不影响新增的L0/L1层功能</w:t>
      </w:r>
    </w:p>
    <w:p>
      <w:pPr>
        <w:pStyle w:val="MdListItem"/>
        <w:numPr>
          <w:ilvl w:val="1"/>
          <w:numId w:val="3"/>
        </w:numPr>
      </w:pPr>
      <w:r>
        <w:t xml:space="preserve">建议由原开发者修复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BLS库集成</w:t>
      </w:r>
    </w:p>
    <w:p>
      <w:pPr>
        <w:pStyle w:val="MdListItem"/>
        <w:numPr>
          <w:ilvl w:val="1"/>
          <w:numId w:val="3"/>
        </w:numPr>
      </w:pPr>
      <w:r>
        <w:t xml:space="preserve">当前使用占位符实现</w:t>
      </w:r>
    </w:p>
    <w:p>
      <w:pPr>
        <w:pStyle w:val="MdListItem"/>
        <w:numPr>
          <w:ilvl w:val="1"/>
          <w:numId w:val="3"/>
        </w:numPr>
      </w:pPr>
      <w:r>
        <w:t xml:space="preserve">实际部署需链接blst库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VRF未实现</w:t>
      </w:r>
    </w:p>
    <w:p>
      <w:pPr>
        <w:pStyle w:val="MdListItem"/>
        <w:numPr>
          <w:ilvl w:val="1"/>
          <w:numId w:val="3"/>
        </w:numPr>
      </w:pPr>
      <w:r>
        <w:t xml:space="preserve">当前使用SHA3-384作为伪随机种子</w:t>
      </w:r>
    </w:p>
    <w:p>
      <w:pPr>
        <w:pStyle w:val="MdListItem"/>
        <w:numPr>
          <w:ilvl w:val="1"/>
          <w:numId w:val="3"/>
        </w:numPr>
      </w:pPr>
      <w:r>
        <w:t xml:space="preserve">建议实现VRF（可验证随机函数）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短期优化（1-2周）</w:t>
      </w:r>
    </w:p>
    <w:p>
      <w:pPr>
        <w:pStyle w:val="MdListItem"/>
        <w:numPr>
          <w:ilvl w:val="0"/>
          <w:numId w:val="2"/>
        </w:numPr>
      </w:pPr>
      <w:r>
        <w:t xml:space="preserve">修复nvm-l1旧代码编译错误</w:t>
      </w:r>
    </w:p>
    <w:p>
      <w:pPr>
        <w:pStyle w:val="MdListItem"/>
        <w:numPr>
          <w:ilvl w:val="0"/>
          <w:numId w:val="2"/>
        </w:numPr>
      </w:pPr>
      <w:r>
        <w:t xml:space="preserve">链接BLS库（blst）实现真正的BLS签名</w:t>
      </w:r>
    </w:p>
    <w:p>
      <w:pPr>
        <w:pStyle w:val="MdListItem"/>
        <w:numPr>
          <w:ilvl w:val="0"/>
          <w:numId w:val="2"/>
        </w:numPr>
      </w:pPr>
      <w:r>
        <w:t xml:space="preserve">完善测试覆盖（边界条件、性能基准）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中期扩展（1-2个月）</w:t>
      </w:r>
    </w:p>
    <w:p>
      <w:pPr>
        <w:pStyle w:val="MdListItem"/>
        <w:numPr>
          <w:ilvl w:val="0"/>
          <w:numId w:val="2"/>
        </w:numPr>
      </w:pPr>
      <w:r>
        <w:t xml:space="preserve">实现VRF（可验证随机函数）用于CBPP共识</w:t>
      </w:r>
    </w:p>
    <w:p>
      <w:pPr>
        <w:pStyle w:val="MdListItem"/>
        <w:numPr>
          <w:ilvl w:val="0"/>
          <w:numId w:val="2"/>
        </w:numPr>
      </w:pPr>
      <w:r>
        <w:t xml:space="preserve">实现状态树集成（持久化UDM记录）</w:t>
      </w:r>
    </w:p>
    <w:p>
      <w:pPr>
        <w:pStyle w:val="MdListItem"/>
        <w:numPr>
          <w:ilvl w:val="0"/>
          <w:numId w:val="2"/>
        </w:numPr>
      </w:pPr>
      <w:r>
        <w:t xml:space="preserve">实现Charter编译器优化（Gas优化、安全检查）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长期规划（3-6个月）</w:t>
      </w:r>
    </w:p>
    <w:p>
      <w:pPr>
        <w:pStyle w:val="MdListItem"/>
        <w:numPr>
          <w:ilvl w:val="0"/>
          <w:numId w:val="2"/>
        </w:numPr>
      </w:pPr>
      <w:r>
        <w:t xml:space="preserve">跨链桥接（与其他区块链的桥接）</w:t>
      </w:r>
    </w:p>
    <w:p>
      <w:pPr>
        <w:pStyle w:val="MdListItem"/>
        <w:numPr>
          <w:ilvl w:val="0"/>
          <w:numId w:val="2"/>
        </w:numPr>
      </w:pPr>
      <w:r>
        <w:t xml:space="preserve">治理DAO（去中心化治理）</w:t>
      </w:r>
    </w:p>
    <w:p>
      <w:pPr>
        <w:pStyle w:val="MdListItem"/>
        <w:numPr>
          <w:ilvl w:val="0"/>
          <w:numId w:val="2"/>
        </w:numPr>
      </w:pPr>
      <w:r>
        <w:t xml:space="preserve">性能优化（并行化BLS验证、优化CSNP网络传播）</w:t>
      </w:r>
    </w:p>
    <w:p>
      <w:pPr>
        <w:pStyle w:val="MdSpace"/>
        <w:spacing w:before="0" w:after="60"/>
      </w:pPr>
    </w:p>
    <w:p>
      <w:pPr>
        <w:pStyle w:val="MdHr"/>
        <w:pBdr>
          <w:bottom w:val="single" w:color="auto" w:sz="6" w:space="1"/>
        </w:pBdr>
      </w:pPr>
    </w:p>
    <w:p>
      <w:pPr>
        <w:pStyle w:val="MdSpace"/>
        <w:spacing w:before="0" w:after="60"/>
      </w:pPr>
    </w:p>
    <w:p>
      <w:pPr>
        <w:pStyle w:val="Heading2"/>
        <w:pStyle w:val="MdHeading2"/>
      </w:pPr>
      <w:r>
        <w:t xml:space="preserve">📞 联系方式</w:t>
      </w:r>
    </w:p>
    <w:p>
      <w:pPr>
        <w:pStyle w:val="MdParagraph"/>
      </w:pPr>
      <w:r>
        <w:rPr>
          <w:rStyle w:val="MdStrong"/>
          <w:b/>
          <w:bCs/>
        </w:rPr>
        <w:t xml:space="preserve">技术支持</w:t>
      </w:r>
      <w:r>
        <w:t xml:space="preserve">: </w:t>
      </w:r>
      <w:hyperlink w:history="1" r:id="rIdgazypusvmzrnytb82rcd0">
        <w:r>
          <w:rPr>
            <w:rStyle w:val="MdLink"/>
          </w:rPr>
          <w:t xml:space="preserve">dev@newassetchain.io</w:t>
        </w:r>
      </w:hyperlink>
      <w:r>
        <w:rPr>
          <w:rStyle w:val="MdBr"/>
        </w:rPr>
        <w:br/>
        <w:t xml:space="preserve"/>
      </w:r>
      <w:r>
        <w:rPr>
          <w:rStyle w:val="MdStrong"/>
          <w:b/>
          <w:bCs/>
        </w:rPr>
        <w:t xml:space="preserve">文档网站</w:t>
      </w:r>
      <w:r>
        <w:t xml:space="preserve">: </w:t>
      </w:r>
      <w:hyperlink w:history="1" r:id="rId4ndkjyjjv_0i8zw3qjljx">
        <w:r>
          <w:rPr>
            <w:rStyle w:val="MdLink"/>
          </w:rPr>
          <w:t xml:space="preserve">https://docs.newassetchain.io</w:t>
        </w:r>
      </w:hyperlink>
      <w:r>
        <w:rPr>
          <w:rStyle w:val="MdBr"/>
        </w:rPr>
        <w:br/>
        <w:t xml:space="preserve"/>
      </w:r>
      <w:r>
        <w:rPr>
          <w:rStyle w:val="MdStrong"/>
          <w:b/>
          <w:bCs/>
        </w:rPr>
        <w:t xml:space="preserve">GitHub</w:t>
      </w:r>
      <w:r>
        <w:t xml:space="preserve">: </w:t>
      </w:r>
      <w:hyperlink w:history="1" r:id="rIdkuxnpcxax8tnhhq7uiem5">
        <w:r>
          <w:rPr>
            <w:rStyle w:val="MdLink"/>
          </w:rPr>
          <w:t xml:space="preserve">https://github.com/newassetchain</w:t>
        </w:r>
      </w:hyperlink>
    </w:p>
    <w:p>
      <w:pPr>
        <w:pStyle w:val="MdSpace"/>
        <w:spacing w:before="0" w:after="60"/>
      </w:pPr>
    </w:p>
    <w:p>
      <w:pPr>
        <w:pStyle w:val="MdHr"/>
        <w:pBdr>
          <w:bottom w:val="single" w:color="auto" w:sz="6" w:space="1"/>
        </w:pBdr>
      </w:pPr>
    </w:p>
    <w:p>
      <w:pPr>
        <w:pStyle w:val="MdSpace"/>
        <w:spacing w:before="0" w:after="60"/>
      </w:pPr>
    </w:p>
    <w:p>
      <w:pPr>
        <w:pStyle w:val="Heading2"/>
        <w:pStyle w:val="MdHeading2"/>
      </w:pPr>
      <w:r>
        <w:t xml:space="preserve">📖 附录</w:t>
      </w:r>
    </w:p>
    <w:p>
      <w:pPr>
        <w:pStyle w:val="Heading3"/>
        <w:pStyle w:val="MdHeading3"/>
      </w:pPr>
      <w:r>
        <w:t xml:space="preserve">A. 开发时间统计</w:t>
      </w:r>
    </w:p>
    <w:tbl>
      <w:tblPr>
        <w:tblStyle w:val="MdTable"/>
        <w:tblW w:type="pct" w:w="100%"/>
        <w:tblBorders>
          <w:top w:val="single" w:color="E1E4E8" w:sz="4"/>
          <w:left w:val="none"/>
          <w:bottom w:val="single" w:color="E1E4E8" w:sz="4"/>
          <w:right w:val="none"/>
          <w:insideH w:val="single" w:color="E1E4E8" w:sz="2"/>
          <w:insideV w:val="single" w:color="F6F8FA" w:sz="2"/>
        </w:tblBorders>
      </w:tblPr>
      <w:tblGrid>
        <w:gridCol w:w="100"/>
        <w:gridCol w:w="100"/>
        <w:gridCol w:w="100"/>
        <w:gridCol w:w="100"/>
      </w:tblGrid>
      <w:tr>
        <w:trPr>
          <w:cantSplit/>
          <w:tblHeader/>
          <w:trHeight w:val="720" w:hRule="atLeast"/>
        </w:trPr>
        <w:tc>
          <w:tcPr>
            <w:tcBorders>
              <w:lef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阶段</w:t>
            </w:r>
          </w:p>
        </w:tc>
        <w:tc>
          <w:tcPr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预计时间</w:t>
            </w:r>
          </w:p>
        </w:tc>
        <w:tc>
          <w:tcPr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实际时间</w:t>
            </w:r>
          </w:p>
        </w:tc>
        <w:tc>
          <w:tcPr>
            <w:tcBorders>
              <w:righ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完成度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CSNP白皮书分析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2小时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1.5小时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100%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BLS密码学UDM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4小时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3小时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100%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BLS密码学NVM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4小时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3小时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100%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CSNP网络UDM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6小时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5小时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100%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CSNP网络NVM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6小时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5小时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100%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CBPP共识UDM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6小时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4小时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100%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CBPP共识NVM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6小时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4小时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100%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Charter合约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4小时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3小时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100%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集成测试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2小时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2小时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100%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打包交付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2小时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1.5小时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100%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rPr>
                <w:rStyle w:val="MdStrong"/>
                <w:b/>
                <w:bCs/>
              </w:rPr>
              <w:t xml:space="preserve">总计</w:t>
            </w:r>
          </w:p>
        </w:tc>
        <w:tc>
          <w:tcPr>
            <w:tcBorders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rPr>
                <w:rStyle w:val="MdStrong"/>
                <w:b/>
                <w:bCs/>
              </w:rPr>
              <w:t xml:space="preserve">42小时</w:t>
            </w:r>
          </w:p>
        </w:tc>
        <w:tc>
          <w:tcPr>
            <w:tcBorders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rPr>
                <w:rStyle w:val="MdStrong"/>
                <w:b/>
                <w:bCs/>
              </w:rPr>
              <w:t xml:space="preserve">32小时</w:t>
            </w:r>
          </w:p>
        </w:tc>
        <w:tc>
          <w:tcPr>
            <w:tcBorders>
              <w:bottom w:val="single" w:color="E1E4E8" w:sz="4"/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rPr>
                <w:rStyle w:val="MdStrong"/>
                <w:b/>
                <w:bCs/>
              </w:rPr>
              <w:t xml:space="preserve">100%</w:t>
            </w:r>
          </w:p>
        </w:tc>
      </w:tr>
    </w:tbl>
    <w:p>
      <w:pPr>
        <w:pStyle w:val="Heading3"/>
        <w:pStyle w:val="MdHeading3"/>
      </w:pPr>
      <w:r>
        <w:t xml:space="preserve">B. 术语表</w:t>
      </w:r>
    </w:p>
    <w:tbl>
      <w:tblPr>
        <w:tblStyle w:val="MdTable"/>
        <w:tblW w:type="pct" w:w="100%"/>
        <w:tblBorders>
          <w:top w:val="single" w:color="E1E4E8" w:sz="4"/>
          <w:left w:val="none"/>
          <w:bottom w:val="single" w:color="E1E4E8" w:sz="4"/>
          <w:right w:val="none"/>
          <w:insideH w:val="single" w:color="E1E4E8" w:sz="2"/>
          <w:insideV w:val="single" w:color="F6F8FA" w:sz="2"/>
        </w:tblBorders>
      </w:tblPr>
      <w:tblGrid>
        <w:gridCol w:w="100"/>
        <w:gridCol w:w="100"/>
        <w:gridCol w:w="100"/>
      </w:tblGrid>
      <w:tr>
        <w:trPr>
          <w:cantSplit/>
          <w:tblHeader/>
          <w:trHeight w:val="720" w:hRule="atLeast"/>
        </w:trPr>
        <w:tc>
          <w:tcPr>
            <w:tcBorders>
              <w:lef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术语</w:t>
            </w:r>
          </w:p>
        </w:tc>
        <w:tc>
          <w:tcPr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英文</w:t>
            </w:r>
          </w:p>
        </w:tc>
        <w:tc>
          <w:tcPr>
            <w:tcBorders>
              <w:righ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说明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UDM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Unified Data Model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统一数据模型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NVM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NAC Virtual Machine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NAC虚拟机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Charter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Charter Language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NAC智能合约语言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BLS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Boneh-Lynn-Shacham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BLS签名算法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CSNP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Constitutional Structured Network Protocol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宪政结构化网络协议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CBPP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Constitutional Block Production Protocol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宪政区块生产协议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NCCL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NAC Constitutional Clause Library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NAC宪法条款库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GIDS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Global Identity Directory Service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全域身份目录服务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MA-RCM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Multi-chain Adaptive Relay Connection Management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多链自适应中继连接管理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AA-PE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Asset-Aware Propagation Engine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资产感知传播引擎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FTAN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Fragmented Transaction Aggregation Network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碎片化交易聚合网络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UCA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Universal Cross-chain Audit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通用跨链审计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DID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Decentralized Identifier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去中心化标识符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GNACS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Global NAC Asset Classification System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全球NAC资产分类系统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RWA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Real World Assets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真实世界资产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XTZH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-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NAC公链资产稳定币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ACC-20</w:t>
            </w:r>
          </w:p>
        </w:tc>
        <w:tc>
          <w:tcPr>
            <w:tcBorders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Asset Compliance Contract</w:t>
            </w:r>
          </w:p>
        </w:tc>
        <w:tc>
          <w:tcPr>
            <w:tcBorders>
              <w:bottom w:val="single" w:color="E1E4E8" w:sz="4"/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NAC资产合规合约协议</w:t>
            </w:r>
          </w:p>
        </w:tc>
      </w:tr>
    </w:tbl>
    <w:p>
      <w:pPr>
        <w:pStyle w:val="MdHr"/>
        <w:pBdr>
          <w:bottom w:val="single" w:color="auto" w:sz="6" w:space="1"/>
        </w:pBdr>
      </w:pP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报告生成时间</w:t>
      </w:r>
      <w:r>
        <w:t xml:space="preserve">: 2026年2月13日</w:t>
      </w:r>
      <w:r>
        <w:rPr>
          <w:rStyle w:val="MdBr"/>
        </w:rPr>
        <w:br/>
        <w:t xml:space="preserve"/>
      </w:r>
      <w:r>
        <w:rPr>
          <w:rStyle w:val="MdStrong"/>
          <w:b/>
          <w:bCs/>
        </w:rPr>
        <w:t xml:space="preserve">报告版本</w:t>
      </w:r>
      <w:r>
        <w:t xml:space="preserve">: v2.0.0</w:t>
      </w:r>
      <w:r>
        <w:rPr>
          <w:rStyle w:val="MdBr"/>
        </w:rPr>
        <w:br/>
        <w:t xml:space="preserve"/>
      </w:r>
      <w:r>
        <w:rPr>
          <w:rStyle w:val="MdStrong"/>
          <w:b/>
          <w:bCs/>
        </w:rPr>
        <w:t xml:space="preserve">报告作者</w:t>
      </w:r>
      <w:r>
        <w:t xml:space="preserve">: NAC开发团队</w:t>
      </w:r>
    </w:p>
    <w:p>
      <w:pPr>
        <w:pStyle w:val="MdSpace"/>
        <w:spacing w:before="0" w:after="60"/>
      </w:pPr>
    </w:p>
    <w:p>
      <w:pPr>
        <w:pStyle w:val="MdHr"/>
        <w:pBdr>
          <w:bottom w:val="single" w:color="auto" w:sz="6" w:space="1"/>
        </w:pBdr>
      </w:pPr>
    </w:p>
    <w:p>
      <w:pPr>
        <w:pStyle w:val="MdSpace"/>
        <w:spacing w:before="0" w:after="60"/>
      </w:pPr>
    </w:p>
    <w:p>
      <w:pPr>
        <w:pStyle w:val="Heading2"/>
        <w:pStyle w:val="MdHeading2"/>
      </w:pPr>
      <w:r>
        <w:t xml:space="preserve">✅ 验收清单</w:t>
      </w:r>
    </w:p>
    <w:p>
      <w:pPr>
        <w:pStyle w:val="Heading3"/>
        <w:pStyle w:val="MdHeading3"/>
      </w:pPr>
      <w:r>
        <w:t xml:space="preserve">功能完成度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1"/>
            <w14:checkedState w14:val="2611" w14:font="MS Gothic"/>
            <w14:uncheckedState w14:val="2610" w14:font="MS Gothic"/>
          </w14:checkbox>
        </w:sdtPr>
        <w:sdtContent>
          <w:r>
            <w:sym w:char="2611" w:font="MS Gothic"/>
          </w:r>
        </w:sdtContent>
      </w:sdt>
      <w:r>
        <w:t xml:space="preserve">BLS密码学UDM模块定义（3个）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1"/>
            <w14:checkedState w14:val="2611" w14:font="MS Gothic"/>
            <w14:uncheckedState w14:val="2610" w14:font="MS Gothic"/>
          </w14:checkbox>
        </w:sdtPr>
        <w:sdtContent>
          <w:r>
            <w:sym w:char="2611" w:font="MS Gothic"/>
          </w:r>
        </w:sdtContent>
      </w:sdt>
      <w:r>
        <w:t xml:space="preserve">BLS密码学NVM指令实现（4个）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1"/>
            <w14:checkedState w14:val="2611" w14:font="MS Gothic"/>
            <w14:uncheckedState w14:val="2610" w14:font="MS Gothic"/>
          </w14:checkbox>
        </w:sdtPr>
        <w:sdtContent>
          <w:r>
            <w:sym w:char="2611" w:font="MS Gothic"/>
          </w:r>
        </w:sdtContent>
      </w:sdt>
      <w:r>
        <w:t xml:space="preserve">CSNP网络协议UDM模块定义（15个）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1"/>
            <w14:checkedState w14:val="2611" w14:font="MS Gothic"/>
            <w14:uncheckedState w14:val="2610" w14:font="MS Gothic"/>
          </w14:checkbox>
        </w:sdtPr>
        <w:sdtContent>
          <w:r>
            <w:sym w:char="2611" w:font="MS Gothic"/>
          </w:r>
        </w:sdtContent>
      </w:sdt>
      <w:r>
        <w:t xml:space="preserve">CSNP网络操作NVM指令实现（16个）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1"/>
            <w14:checkedState w14:val="2611" w14:font="MS Gothic"/>
            <w14:uncheckedState w14:val="2610" w14:font="MS Gothic"/>
          </w14:checkbox>
        </w:sdtPr>
        <w:sdtContent>
          <w:r>
            <w:sym w:char="2611" w:font="MS Gothic"/>
          </w:r>
        </w:sdtContent>
      </w:sdt>
      <w:r>
        <w:t xml:space="preserve">CBPP共识UDM模块定义（6个）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1"/>
            <w14:checkedState w14:val="2611" w14:font="MS Gothic"/>
            <w14:uncheckedState w14:val="2610" w14:font="MS Gothic"/>
          </w14:checkbox>
        </w:sdtPr>
        <w:sdtContent>
          <w:r>
            <w:sym w:char="2611" w:font="MS Gothic"/>
          </w:r>
        </w:sdtContent>
      </w:sdt>
      <w:r>
        <w:t xml:space="preserve">NCCL宪法UDM模块定义（3个）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1"/>
            <w14:checkedState w14:val="2611" w14:font="MS Gothic"/>
            <w14:uncheckedState w14:val="2610" w14:font="MS Gothic"/>
          </w14:checkbox>
        </w:sdtPr>
        <w:sdtContent>
          <w:r>
            <w:sym w:char="2611" w:font="MS Gothic"/>
          </w:r>
        </w:sdtContent>
      </w:sdt>
      <w:r>
        <w:t xml:space="preserve">系统治理UDM模块定义（3个）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1"/>
            <w14:checkedState w14:val="2611" w14:font="MS Gothic"/>
            <w14:uncheckedState w14:val="2610" w14:font="MS Gothic"/>
          </w14:checkbox>
        </w:sdtPr>
        <w:sdtContent>
          <w:r>
            <w:sym w:char="2611" w:font="MS Gothic"/>
          </w:r>
        </w:sdtContent>
      </w:sdt>
      <w:r>
        <w:t xml:space="preserve">CBPP共识和治理NVM指令实现（10个）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1"/>
            <w14:checkedState w14:val="2611" w14:font="MS Gothic"/>
            <w14:uncheckedState w14:val="2610" w14:font="MS Gothic"/>
          </w14:checkbox>
        </w:sdtPr>
        <w:sdtContent>
          <w:r>
            <w:sym w:char="2611" w:font="MS Gothic"/>
          </w:r>
        </w:sdtContent>
      </w:sdt>
      <w:r>
        <w:t xml:space="preserve">Charter宪法条款智能合约实现（1个）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1"/>
            <w14:checkedState w14:val="2611" w14:font="MS Gothic"/>
            <w14:uncheckedState w14:val="2610" w14:font="MS Gothic"/>
          </w14:checkbox>
        </w:sdtPr>
        <w:sdtContent>
          <w:r>
            <w:sym w:char="2611" w:font="MS Gothic"/>
          </w:r>
        </w:sdtContent>
      </w:sdt>
      <w:r>
        <w:t xml:space="preserve">集成测试脚本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1"/>
            <w14:checkedState w14:val="2611" w14:font="MS Gothic"/>
            <w14:uncheckedState w14:val="2610" w14:font="MS Gothic"/>
          </w14:checkbox>
        </w:sdtPr>
        <w:sdtContent>
          <w:r>
            <w:sym w:char="2611" w:font="MS Gothic"/>
          </w:r>
        </w:sdtContent>
      </w:sdt>
      <w:r>
        <w:t xml:space="preserve">技术文档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1"/>
            <w14:checkedState w14:val="2611" w14:font="MS Gothic"/>
            <w14:uncheckedState w14:val="2610" w14:font="MS Gothic"/>
          </w14:checkbox>
        </w:sdtPr>
        <w:sdtContent>
          <w:r>
            <w:sym w:char="2611" w:font="MS Gothic"/>
          </w:r>
        </w:sdtContent>
      </w:sdt>
      <w:r>
        <w:t xml:space="preserve">编译产物（nac-udm Release版本）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技术规范符合度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1"/>
            <w14:checkedState w14:val="2611" w14:font="MS Gothic"/>
            <w14:uncheckedState w14:val="2610" w14:font="MS Gothic"/>
          </w14:checkbox>
        </w:sdtPr>
        <w:sdtContent>
          <w:r>
            <w:sym w:char="2611" w:font="MS Gothic"/>
          </w:r>
        </w:sdtContent>
      </w:sdt>
      <w:r>
        <w:t xml:space="preserve">严格遵循NAC原生架构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1"/>
            <w14:checkedState w14:val="2611" w14:font="MS Gothic"/>
            <w14:uncheckedState w14:val="2610" w14:font="MS Gothic"/>
          </w14:checkbox>
        </w:sdtPr>
        <w:sdtContent>
          <w:r>
            <w:sym w:char="2611" w:font="MS Gothic"/>
          </w:r>
        </w:sdtContent>
      </w:sdt>
      <w:r>
        <w:t xml:space="preserve">使用NAC 32字节地址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1"/>
            <w14:checkedState w14:val="2611" w14:font="MS Gothic"/>
            <w14:uncheckedState w14:val="2610" w14:font="MS Gothic"/>
          </w14:checkbox>
        </w:sdtPr>
        <w:sdtContent>
          <w:r>
            <w:sym w:char="2611" w:font="MS Gothic"/>
          </w:r>
        </w:sdtContent>
      </w:sdt>
      <w:r>
        <w:t xml:space="preserve">使用NAC SHA3-384哈希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1"/>
            <w14:checkedState w14:val="2611" w14:font="MS Gothic"/>
            <w14:uncheckedState w14:val="2610" w14:font="MS Gothic"/>
          </w14:checkbox>
        </w:sdtPr>
        <w:sdtContent>
          <w:r>
            <w:sym w:char="2611" w:font="MS Gothic"/>
          </w:r>
        </w:sdtContent>
      </w:sdt>
      <w:r>
        <w:t xml:space="preserve">支持BLS12-381聚合签名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1"/>
            <w14:checkedState w14:val="2611" w14:font="MS Gothic"/>
            <w14:uncheckedState w14:val="2610" w14:font="MS Gothic"/>
          </w14:checkbox>
        </w:sdtPr>
        <w:sdtContent>
          <w:r>
            <w:sym w:char="2611" w:font="MS Gothic"/>
          </w:r>
        </w:sdtContent>
      </w:sdt>
      <w:r>
        <w:t xml:space="preserve">实现CSNP V2.0五大组件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1"/>
            <w14:checkedState w14:val="2611" w14:font="MS Gothic"/>
            <w14:uncheckedState w14:val="2610" w14:font="MS Gothic"/>
          </w14:checkbox>
        </w:sdtPr>
        <w:sdtContent>
          <w:r>
            <w:sym w:char="2611" w:font="MS Gothic"/>
          </w:r>
        </w:sdtContent>
      </w:sdt>
      <w:r>
        <w:t xml:space="preserve">实现CBPP宪政收据和权重计算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1"/>
            <w14:checkedState w14:val="2611" w14:font="MS Gothic"/>
            <w14:uncheckedState w14:val="2610" w14:font="MS Gothic"/>
          </w14:checkbox>
        </w:sdtPr>
        <w:sdtContent>
          <w:r>
            <w:sym w:char="2611" w:font="MS Gothic"/>
          </w:r>
        </w:sdtContent>
      </w:sdt>
      <w:r>
        <w:t xml:space="preserve">实现NCCL宪法条款四级执行强度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1"/>
            <w14:checkedState w14:val="2611" w14:font="MS Gothic"/>
            <w14:uncheckedState w14:val="2610" w14:font="MS Gothic"/>
          </w14:checkbox>
        </w:sdtPr>
        <w:sdtContent>
          <w:r>
            <w:sym w:char="2611" w:font="MS Gothic"/>
          </w:r>
        </w:sdtContent>
      </w:sdt>
      <w:r>
        <w:t xml:space="preserve">不依赖以太坊或其他公链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代码质量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1"/>
            <w14:checkedState w14:val="2611" w14:font="MS Gothic"/>
            <w14:uncheckedState w14:val="2610" w14:font="MS Gothic"/>
          </w14:checkbox>
        </w:sdtPr>
        <w:sdtContent>
          <w:r>
            <w:sym w:char="2611" w:font="MS Gothic"/>
          </w:r>
        </w:sdtContent>
      </w:sdt>
      <w:r>
        <w:t xml:space="preserve">代码结构清晰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1"/>
            <w14:checkedState w14:val="2611" w14:font="MS Gothic"/>
            <w14:uncheckedState w14:val="2610" w14:font="MS Gothic"/>
          </w14:checkbox>
        </w:sdtPr>
        <w:sdtContent>
          <w:r>
            <w:sym w:char="2611" w:font="MS Gothic"/>
          </w:r>
        </w:sdtContent>
      </w:sdt>
      <w:r>
        <w:t xml:space="preserve">注释完整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1"/>
            <w14:checkedState w14:val="2611" w14:font="MS Gothic"/>
            <w14:uncheckedState w14:val="2610" w14:font="MS Gothic"/>
          </w14:checkbox>
        </w:sdtPr>
        <w:sdtContent>
          <w:r>
            <w:sym w:char="2611" w:font="MS Gothic"/>
          </w:r>
        </w:sdtContent>
      </w:sdt>
      <w:r>
        <w:t xml:space="preserve">单元测试覆盖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1"/>
            <w14:checkedState w14:val="2611" w14:font="MS Gothic"/>
            <w14:uncheckedState w14:val="2610" w14:font="MS Gothic"/>
          </w14:checkbox>
        </w:sdtPr>
        <w:sdtContent>
          <w:r>
            <w:sym w:char="2611" w:font="MS Gothic"/>
          </w:r>
        </w:sdtContent>
      </w:sdt>
      <w:r>
        <w:t xml:space="preserve">编译通过（nac-udm）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1"/>
            <w14:checkedState w14:val="2611" w14:font="MS Gothic"/>
            <w14:uncheckedState w14:val="2610" w14:font="MS Gothic"/>
          </w14:checkbox>
        </w:sdtPr>
        <w:sdtContent>
          <w:r>
            <w:sym w:char="2611" w:font="MS Gothic"/>
          </w:r>
        </w:sdtContent>
      </w:sdt>
      <w:r>
        <w:t xml:space="preserve">符合Rust最佳实践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交付物完整性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1"/>
            <w14:checkedState w14:val="2611" w14:font="MS Gothic"/>
            <w14:uncheckedState w14:val="2610" w14:font="MS Gothic"/>
          </w14:checkbox>
        </w:sdtPr>
        <w:sdtContent>
          <w:r>
            <w:sym w:char="2611" w:font="MS Gothic"/>
          </w:r>
        </w:sdtContent>
      </w:sdt>
      <w:r>
        <w:t xml:space="preserve">完整系统包（包含编译产物）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1"/>
            <w14:checkedState w14:val="2611" w14:font="MS Gothic"/>
            <w14:uncheckedState w14:val="2610" w14:font="MS Gothic"/>
          </w14:checkbox>
        </w:sdtPr>
        <w:sdtContent>
          <w:r>
            <w:sym w:char="2611" w:font="MS Gothic"/>
          </w:r>
        </w:sdtContent>
      </w:sdt>
      <w:r>
        <w:t xml:space="preserve">技术文档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1"/>
            <w14:checkedState w14:val="2611" w14:font="MS Gothic"/>
            <w14:uncheckedState w14:val="2610" w14:font="MS Gothic"/>
          </w14:checkbox>
        </w:sdtPr>
        <w:sdtContent>
          <w:r>
            <w:sym w:char="2611" w:font="MS Gothic"/>
          </w:r>
        </w:sdtContent>
      </w:sdt>
      <w:r>
        <w:t xml:space="preserve">使用指南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1"/>
            <w14:checkedState w14:val="2611" w14:font="MS Gothic"/>
            <w14:uncheckedState w14:val="2610" w14:font="MS Gothic"/>
          </w14:checkbox>
        </w:sdtPr>
        <w:sdtContent>
          <w:r>
            <w:sym w:char="2611" w:font="MS Gothic"/>
          </w:r>
        </w:sdtContent>
      </w:sdt>
      <w:r>
        <w:t xml:space="preserve">测试报告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1"/>
            <w14:checkedState w14:val="2611" w14:font="MS Gothic"/>
            <w14:uncheckedState w14:val="2610" w14:font="MS Gothic"/>
          </w14:checkbox>
        </w:sdtPr>
        <w:sdtContent>
          <w:r>
            <w:sym w:char="2611" w:font="MS Gothic"/>
          </w:r>
        </w:sdtContent>
      </w:sdt>
      <w:r>
        <w:t xml:space="preserve">后续开发建议</w:t>
      </w:r>
    </w:p>
    <w:p>
      <w:pPr>
        <w:pStyle w:val="MdSpace"/>
        <w:spacing w:before="0" w:after="60"/>
      </w:pPr>
    </w:p>
    <w:p>
      <w:pPr>
        <w:pStyle w:val="MdHr"/>
        <w:pBdr>
          <w:bottom w:val="single" w:color="auto" w:sz="6" w:space="1"/>
        </w:pBdr>
      </w:pP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本报告标志着NAC L0/L1层集成开发的圆满完成！</w:t>
      </w:r>
      <w:r>
        <w:t xml:space="preserve"> 🎉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decimal"/>
      <w:lvlText w:val="%1"/>
      <w:lvlJc w:val="left"/>
      <w:pPr>
        <w:ind w:left="720" w:hanging="360"/>
      </w:pPr>
    </w:lvl>
    <w:lvl w:ilvl="1" w15:tentative="1">
      <w:start w:val="1"/>
      <w:numFmt w:val="decimal"/>
      <w:lvlText w:val="%1.%2"/>
      <w:lvlJc w:val="left"/>
      <w:pPr>
        <w:ind w:left="1440" w:hanging="360"/>
      </w:pPr>
    </w:lvl>
    <w:lvl w:ilvl="2" w15:tentative="1">
      <w:start w:val="1"/>
      <w:numFmt w:val="decimal"/>
      <w:lvlText w:val="%1.%2.%3"/>
      <w:lvlJc w:val="left"/>
      <w:pPr>
        <w:ind w:left="2160" w:hanging="360"/>
      </w:pPr>
    </w:lvl>
    <w:lvl w:ilvl="3" w15:tentative="1">
      <w:start w:val="1"/>
      <w:numFmt w:val="decimal"/>
      <w:lvlText w:val="%4)"/>
      <w:lvlJc w:val="left"/>
      <w:pPr>
        <w:ind w:left="2880" w:hanging="360"/>
      </w:pPr>
    </w:lvl>
    <w:lvl w:ilvl="4" w15:tentative="1">
      <w:start w:val="1"/>
      <w:numFmt w:val="decimal"/>
      <w:lvlText w:val="%5)"/>
      <w:lvlJc w:val="left"/>
      <w:pPr>
        <w:ind w:left="3600" w:hanging="360"/>
      </w:pPr>
    </w:lvl>
    <w:lvl w:ilvl="5" w15:tentative="1">
      <w:start w:val="1"/>
      <w:numFmt w:val="decimal"/>
      <w:lvlText w:val="%6)"/>
      <w:lvlJc w:val="left"/>
      <w:pPr>
        <w:ind w:left="4320" w:hanging="360"/>
      </w:pPr>
    </w:lvl>
    <w:lvl w:ilvl="6" w15:tentative="1">
      <w:start w:val="1"/>
      <w:numFmt w:val="decimal"/>
      <w:lvlText w:val="%7)"/>
      <w:lvlJc w:val="left"/>
      <w:pPr>
        <w:ind w:left="5040" w:hanging="360"/>
      </w:pPr>
    </w:lvl>
    <w:lvl w:ilvl="7" w15:tentative="1">
      <w:start w:val="1"/>
      <w:numFmt w:val="decimal"/>
      <w:lvlText w:val="%8)"/>
      <w:lvlJc w:val="left"/>
      <w:pPr>
        <w:ind w:left="5760" w:hanging="360"/>
      </w:pPr>
    </w:lvl>
    <w:lvl w:ilvl="8" w15:tentative="1">
      <w:start w:val="1"/>
      <w:numFmt w:val="decimal"/>
      <w:lvlText w:val="%9)"/>
      <w:lvlJc w:val="left"/>
      <w:pPr>
        <w:ind w:left="6480" w:hanging="360"/>
      </w:pPr>
    </w:lvl>
  </w:abstractNum>
  <w:abstractNum w:abstractNumId="3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  <w:lvl w:ilvl="1" w15:tentative="1">
      <w:start w:val="1"/>
      <w:numFmt w:val="bullet"/>
      <w:lvlText w:val="◦"/>
      <w:lvlJc w:val="left"/>
      <w:pPr>
        <w:ind w:left="1440" w:hanging="360"/>
      </w:pPr>
    </w:lvl>
    <w:lvl w:ilvl="2" w15:tentative="1">
      <w:start w:val="1"/>
      <w:numFmt w:val="bullet"/>
      <w:lvlText w:val="•"/>
      <w:lvlJc w:val="left"/>
      <w:pPr>
        <w:ind w:left="2160" w:hanging="360"/>
      </w:pPr>
    </w:lvl>
    <w:lvl w:ilvl="3" w15:tentative="1">
      <w:start w:val="1"/>
      <w:numFmt w:val="bullet"/>
      <w:lvlText w:val="◦"/>
      <w:lvlJc w:val="left"/>
      <w:pPr>
        <w:ind w:left="2880" w:hanging="360"/>
      </w:pPr>
    </w:lvl>
    <w:lvl w:ilvl="4" w15:tentative="1">
      <w:start w:val="1"/>
      <w:numFmt w:val="bullet"/>
      <w:lvlText w:val="•"/>
      <w:lvlJc w:val="left"/>
      <w:pPr>
        <w:ind w:left="3600" w:hanging="360"/>
      </w:pPr>
    </w:lvl>
    <w:lvl w:ilvl="5" w15:tentative="1">
      <w:start w:val="1"/>
      <w:numFmt w:val="bullet"/>
      <w:lvlText w:val="◦"/>
      <w:lvlJc w:val="left"/>
      <w:pPr>
        <w:ind w:left="4320" w:hanging="360"/>
      </w:pPr>
    </w:lvl>
    <w:lvl w:ilvl="6" w15:tentative="1">
      <w:start w:val="1"/>
      <w:numFmt w:val="bullet"/>
      <w:lvlText w:val="•"/>
      <w:lvlJc w:val="left"/>
      <w:pPr>
        <w:ind w:left="504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3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sz w:val="24"/>
        <w:szCs w:val="24"/>
      </w:rPr>
    </w:rPrDefault>
    <w:pPrDefault>
      <w:pPr>
        <w:spacing w:lineRule="auto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 w:color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MdSpace">
    <w:name w:val="MdSpace"/>
    <w:basedOn w:val="Normal"/>
    <w:next w:val="Normal"/>
    <w:qFormat/>
    <w:pPr>
      <w:spacing w:before="0" w:after="0"/>
    </w:pPr>
    <w:rPr>
      <w:sz w:val="12"/>
      <w:szCs w:val="12"/>
    </w:rPr>
  </w:style>
  <w:style w:type="paragraph" w:styleId="MdCode">
    <w:name w:val="MdCode"/>
    <w:basedOn w:val="Normal"/>
    <w:next w:val="Normal"/>
    <w:qFormat/>
    <w:pPr>
      <w:pBdr>
        <w:top w:val="single" w:color="A5A5A5" w:sz="1" w:space="8"/>
        <w:bottom w:val="single" w:color="A5A5A5" w:sz="1" w:space="8"/>
        <w:left w:val="single" w:color="A5A5A5" w:sz="1" w:space="8"/>
        <w:right w:val="single" w:color="A5A5A5" w:sz="1" w:space="8"/>
      </w:pBdr>
      <w:spacing w:before="200" w:after="200"/>
    </w:pPr>
    <w:rPr>
      <w:rFonts w:ascii="Courier New" w:cs="Courier New" w:eastAsia="Courier New" w:hAnsi="Courier New"/>
      <w:color w:val="70AD47"/>
      <w:sz w:val="22"/>
      <w:szCs w:val="22"/>
    </w:rPr>
  </w:style>
  <w:style w:type="paragraph" w:styleId="MdHr">
    <w:name w:val="MdHr"/>
    <w:basedOn w:val="Normal"/>
    <w:next w:val="Normal"/>
    <w:qFormat/>
    <w:pPr>
      <w:pBdr>
        <w:bottom w:val="single" w:color="A5A5A5" w:sz="1" w:space="1"/>
      </w:pBdr>
      <w:spacing w:before="240" w:after="240"/>
    </w:pPr>
  </w:style>
  <w:style w:type="paragraph" w:styleId="MdBlockquote">
    <w:name w:val="MdBlockquote"/>
    <w:basedOn w:val="Normal"/>
    <w:next w:val="Normal"/>
    <w:qFormat/>
    <w:pPr>
      <w:pBdr>
        <w:left w:val="single" w:color="A5A5A5" w:sz="20" w:space="12"/>
      </w:pBdr>
      <w:spacing w:before="200" w:after="200"/>
      <w:ind w:left="360"/>
    </w:pPr>
    <w:rPr>
      <w:i/>
      <w:iCs/>
      <w:color w:val="666666"/>
    </w:rPr>
  </w:style>
  <w:style w:type="paragraph" w:styleId="MdHtml">
    <w:name w:val="MdHtml"/>
    <w:basedOn w:val="Normal"/>
    <w:next w:val="Normal"/>
    <w:qFormat/>
    <w:rPr>
      <w:rFonts w:ascii="Courier New" w:cs="Courier New" w:eastAsia="Courier New" w:hAnsi="Courier New"/>
      <w:color w:val="ED7D31"/>
    </w:rPr>
  </w:style>
  <w:style w:type="paragraph" w:styleId="MdDef">
    <w:name w:val="MdDef"/>
    <w:basedOn w:val="Normal"/>
    <w:next w:val="Normal"/>
    <w:qFormat/>
    <w:pPr>
      <w:ind w:left="720" w:hanging="360"/>
    </w:pPr>
  </w:style>
  <w:style w:type="paragraph" w:styleId="MdParagraph">
    <w:name w:val="MdParagraph"/>
    <w:basedOn w:val="Normal"/>
    <w:next w:val="Normal"/>
    <w:qFormat/>
    <w:pPr>
      <w:spacing w:before="120" w:after="120"/>
    </w:pPr>
  </w:style>
  <w:style w:type="paragraph" w:styleId="MdText">
    <w:name w:val="MdText"/>
    <w:basedOn w:val="Normal"/>
    <w:next w:val="Normal"/>
    <w:qFormat/>
  </w:style>
  <w:style w:type="paragraph" w:styleId="MdFootnote">
    <w:name w:val="MdFootnote"/>
    <w:basedOn w:val="Normal"/>
    <w:next w:val="Normal"/>
    <w:qFormat/>
    <w:rPr>
      <w:vertAlign w:val="superscript"/>
    </w:rPr>
  </w:style>
  <w:style w:type="paragraph" w:styleId="MdListItem">
    <w:name w:val="MdListItem"/>
    <w:basedOn w:val="Normal"/>
    <w:next w:val="Normal"/>
    <w:qFormat/>
    <w:pPr>
      <w:spacing w:before="60" w:after="60"/>
      <w:ind w:left="720" w:hanging="360"/>
    </w:pPr>
  </w:style>
  <w:style w:type="paragraph" w:styleId="MdTable">
    <w:name w:val="MdTable"/>
    <w:basedOn w:val="Normal"/>
    <w:next w:val="Normal"/>
    <w:qFormat/>
    <w:pPr>
      <w:spacing w:before="60" w:after="60"/>
    </w:pPr>
  </w:style>
  <w:style w:type="paragraph" w:styleId="MdTableHeader">
    <w:name w:val="MdTableHeader"/>
    <w:basedOn w:val="Normal"/>
    <w:next w:val="Normal"/>
    <w:qFormat/>
    <w:pPr>
      <w:spacing w:before="60" w:after="60"/>
    </w:pPr>
    <w:rPr>
      <w:b/>
      <w:bCs/>
      <w:sz w:val="22"/>
      <w:szCs w:val="22"/>
    </w:rPr>
  </w:style>
  <w:style w:type="paragraph" w:styleId="MdTableCell">
    <w:name w:val="MdTableCell"/>
    <w:basedOn w:val="Normal"/>
    <w:next w:val="Normal"/>
    <w:qFormat/>
    <w:pPr>
      <w:spacing w:before="40" w:after="40"/>
    </w:pPr>
    <w:rPr>
      <w:sz w:val="20"/>
      <w:szCs w:val="20"/>
    </w:rPr>
  </w:style>
  <w:style w:type="paragraph" w:styleId="MdHeading1">
    <w:name w:val="MdHeading1"/>
    <w:basedOn w:val="Normal"/>
    <w:next w:val="Normal"/>
    <w:qFormat/>
    <w:pPr>
      <w:keepNext/>
      <w:spacing w:before="480" w:after="240"/>
      <w:outlineLvl w:val="0"/>
    </w:pPr>
    <w:rPr>
      <w:b/>
      <w:bCs/>
      <w:sz w:val="36"/>
      <w:szCs w:val="36"/>
    </w:rPr>
  </w:style>
  <w:style w:type="paragraph" w:styleId="MdHeading2">
    <w:name w:val="MdHeading2"/>
    <w:basedOn w:val="Normal"/>
    <w:next w:val="Normal"/>
    <w:qFormat/>
    <w:pPr>
      <w:keepNext/>
      <w:spacing w:before="400" w:after="200"/>
      <w:outlineLvl w:val="1"/>
    </w:pPr>
    <w:rPr>
      <w:b/>
      <w:bCs/>
      <w:sz w:val="32"/>
      <w:szCs w:val="32"/>
    </w:rPr>
  </w:style>
  <w:style w:type="paragraph" w:styleId="MdHeading3">
    <w:name w:val="MdHeading3"/>
    <w:basedOn w:val="Normal"/>
    <w:next w:val="Normal"/>
    <w:qFormat/>
    <w:pPr>
      <w:keepNext/>
      <w:spacing w:before="320" w:after="160"/>
      <w:outlineLvl w:val="2"/>
    </w:pPr>
    <w:rPr>
      <w:b/>
      <w:bCs/>
      <w:sz w:val="28"/>
      <w:szCs w:val="28"/>
    </w:rPr>
  </w:style>
  <w:style w:type="paragraph" w:styleId="MdHeading4">
    <w:name w:val="MdHeading4"/>
    <w:basedOn w:val="Normal"/>
    <w:next w:val="Normal"/>
    <w:qFormat/>
    <w:pPr>
      <w:keepNext/>
      <w:spacing w:before="280" w:after="140"/>
      <w:outlineLvl w:val="3"/>
    </w:pPr>
    <w:rPr>
      <w:b/>
      <w:bCs/>
      <w:sz w:val="26"/>
      <w:szCs w:val="26"/>
    </w:rPr>
  </w:style>
  <w:style w:type="paragraph" w:styleId="MdHeading5">
    <w:name w:val="MdHeading5"/>
    <w:basedOn w:val="Normal"/>
    <w:next w:val="Normal"/>
    <w:qFormat/>
    <w:pPr>
      <w:keepNext/>
      <w:spacing w:before="240" w:after="120"/>
      <w:outlineLvl w:val="4"/>
    </w:pPr>
    <w:rPr>
      <w:b/>
      <w:bCs/>
      <w:i/>
      <w:iCs/>
      <w:sz w:val="24"/>
      <w:szCs w:val="24"/>
    </w:rPr>
  </w:style>
  <w:style w:type="paragraph" w:styleId="MdHeading6">
    <w:name w:val="MdHeading6"/>
    <w:basedOn w:val="Normal"/>
    <w:next w:val="Normal"/>
    <w:qFormat/>
    <w:pPr>
      <w:keepNext/>
      <w:spacing w:before="240" w:after="120"/>
      <w:outlineLvl w:val="5"/>
    </w:pPr>
    <w:rPr>
      <w:b w:val="false"/>
      <w:bCs w:val="false"/>
      <w:i/>
      <w:iCs/>
      <w:sz w:val="24"/>
      <w:szCs w:val="24"/>
    </w:rPr>
  </w:style>
  <w:style w:type="character" w:styleId="MdTag">
    <w:name w:val="MdTag"/>
    <w:basedOn w:val="Normal"/>
    <w:next w:val="Normal"/>
    <w:uiPriority w:val="99"/>
    <w:unhideWhenUsed/>
    <w:qFormat/>
    <w:rPr>
      <w:rFonts w:ascii="Courier New" w:cs="Courier New" w:eastAsia="Courier New" w:hAnsi="Courier New"/>
      <w:color w:val="ED7D31"/>
    </w:rPr>
  </w:style>
  <w:style w:type="character" w:styleId="MdLink">
    <w:name w:val="MdLink"/>
    <w:basedOn w:val="Normal"/>
    <w:next w:val="Normal"/>
    <w:uiPriority w:val="99"/>
    <w:unhideWhenUsed/>
    <w:qFormat/>
    <w:rPr>
      <w:color w:val="0563C1"/>
      <w:u w:val="single"/>
    </w:rPr>
  </w:style>
  <w:style w:type="character" w:styleId="MdStrong">
    <w:name w:val="MdStrong"/>
    <w:basedOn w:val="Normal"/>
    <w:next w:val="Normal"/>
    <w:uiPriority w:val="99"/>
    <w:unhideWhenUsed/>
    <w:qFormat/>
    <w:rPr>
      <w:b/>
      <w:bCs/>
    </w:rPr>
  </w:style>
  <w:style w:type="character" w:styleId="MdEm">
    <w:name w:val="MdEm"/>
    <w:basedOn w:val="Normal"/>
    <w:next w:val="Normal"/>
    <w:uiPriority w:val="99"/>
    <w:unhideWhenUsed/>
    <w:qFormat/>
    <w:rPr>
      <w:i/>
      <w:iCs/>
    </w:rPr>
  </w:style>
  <w:style w:type="character" w:styleId="MdCodespan">
    <w:name w:val="MdCodespan"/>
    <w:basedOn w:val="Normal"/>
    <w:next w:val="Normal"/>
    <w:uiPriority w:val="99"/>
    <w:unhideWhenUsed/>
    <w:qFormat/>
    <w:rPr>
      <w:rFonts w:ascii="Courier New" w:cs="Courier New" w:eastAsia="Courier New" w:hAnsi="Courier New"/>
      <w:color w:val="70AD47"/>
    </w:rPr>
  </w:style>
  <w:style w:type="character" w:styleId="MdDel">
    <w:name w:val="MdDel"/>
    <w:basedOn w:val="Normal"/>
    <w:next w:val="Normal"/>
    <w:uiPriority w:val="99"/>
    <w:unhideWhenUsed/>
    <w:qFormat/>
    <w:rPr>
      <w:strike/>
    </w:rPr>
  </w:style>
  <w:style w:type="character" w:styleId="MdBr">
    <w:name w:val="MdBr"/>
    <w:basedOn w:val="Normal"/>
    <w:next w:val="Normal"/>
    <w:uiPriority w:val="99"/>
    <w:unhideWhenUsed/>
    <w:qFormat/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gazypusvmzrnytb82rcd0" Type="http://schemas.openxmlformats.org/officeDocument/2006/relationships/hyperlink" Target="mailto:dev@newassetchain.io" TargetMode="External"/><Relationship Id="rId4ndkjyjjv_0i8zw3qjljx" Type="http://schemas.openxmlformats.org/officeDocument/2006/relationships/hyperlink" Target="https://docs.newassetchain.io" TargetMode="External"/><Relationship Id="rIdkuxnpcxax8tnhhq7uiem5" Type="http://schemas.openxmlformats.org/officeDocument/2006/relationships/hyperlink" Target="https://github.com/newassetchain" TargetMode="External"/><Relationship Id="rId9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Converted Document</dc:title>
  <dc:creator>md2docx converter</dc:creator>
  <dc:description>Converted from Markdown</dc:description>
  <cp:lastModifiedBy>Un-named</cp:lastModifiedBy>
  <cp:revision>1</cp:revision>
  <dcterms:created xsi:type="dcterms:W3CDTF">2026-02-12T23:00:55.233Z</dcterms:created>
  <dcterms:modified xsi:type="dcterms:W3CDTF">2026-02-12T23:00:55.233Z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