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NAC公链宪法增补条款详细论证报告（内部）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报告性质</w:t>
      </w:r>
      <w:r>
        <w:rPr>
          <w:rFonts w:eastAsia="等线" w:ascii="Arial" w:cs="Arial" w:hAnsi="Arial"/>
          <w:sz w:val="22"/>
        </w:rPr>
        <w:t>：宪法法院筹备委员会 · 立法论证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总条款数</w:t>
      </w:r>
      <w:r>
        <w:rPr>
          <w:rFonts w:eastAsia="等线" w:ascii="Arial" w:cs="Arial" w:hAnsi="Arial"/>
          <w:sz w:val="22"/>
        </w:rPr>
        <w:t>：43条（永恒3条、战略24条、战术16条）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分三批提交计划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第一批（17条）：资产上链五闭环（12条）+ 治理与宪法法院自身（5条）</w:t>
      </w:r>
    </w:p>
    <w:p>
      <w:pPr>
        <w:numPr>
          <w:numId w:val="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第二批（16条）：共识层CBPP（6条）+ 网络层CSNP（5条）+ 稳定币与储备（5条）</w:t>
      </w:r>
    </w:p>
    <w:p>
      <w:pPr>
        <w:numPr>
          <w:numId w:val="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第三批（10条）：预言机与数据源（4条）+ 跨链与生态扩展（3条）+ 安全与紧急事件（3条）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密级</w:t>
      </w:r>
      <w:r>
        <w:rPr>
          <w:rFonts w:eastAsia="等线" w:ascii="Arial" w:cs="Arial" w:hAnsi="Arial"/>
          <w:sz w:val="22"/>
        </w:rPr>
        <w:t>：内部公开（NAC核心贡献者、宪法法院法官、治理委员会）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0" w:id="0"/>
      <w:r>
        <w:rPr>
          <w:rFonts w:eastAsia="等线" w:ascii="Arial" w:cs="Arial" w:hAnsi="Arial"/>
          <w:b w:val="true"/>
          <w:sz w:val="36"/>
        </w:rPr>
        <w:t>第一批次提案（17条）</w:t>
      </w:r>
      <w:bookmarkEnd w:id="0"/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" w:id="1"/>
      <w:r>
        <w:rPr>
          <w:rFonts w:eastAsia="等线" w:ascii="Arial" w:cs="Arial" w:hAnsi="Arial"/>
          <w:b w:val="true"/>
          <w:sz w:val="32"/>
        </w:rPr>
        <w:t>一、资产上链五闭环（12条）</w:t>
      </w:r>
      <w:bookmarkEnd w:id="1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2" w:id="2"/>
      <w:r>
        <w:rPr>
          <w:rFonts w:eastAsia="等线" w:ascii="Arial" w:cs="Arial" w:hAnsi="Arial"/>
          <w:b w:val="true"/>
          <w:sz w:val="30"/>
        </w:rPr>
        <w:t>1. 条款 ASSET_COMPLIANCE_MIN_STANDARD</w:t>
      </w:r>
      <w:bookmarkEnd w:id="2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800"/>
        <w:gridCol w:w="6000"/>
      </w:tblGrid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字段</w:t>
            </w:r>
          </w:p>
        </w:tc>
        <w:tc>
          <w:tcPr>
            <w:tcW w:w="6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内容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层级</w:t>
            </w:r>
          </w:p>
        </w:tc>
        <w:tc>
          <w:tcPr>
            <w:tcW w:w="6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战略级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治理门槛</w:t>
            </w:r>
          </w:p>
        </w:tc>
        <w:tc>
          <w:tcPr>
            <w:tcW w:w="6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≥66% XIC投票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建议批次</w:t>
            </w:r>
          </w:p>
        </w:tc>
        <w:tc>
          <w:tcPr>
            <w:tcW w:w="6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第一批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背景</w:t>
      </w:r>
      <w:r>
        <w:rPr>
          <w:rFonts w:eastAsia="等线" w:ascii="Arial" w:cs="Arial" w:hAnsi="Arial"/>
          <w:sz w:val="22"/>
        </w:rPr>
        <w:t>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当前资产上链的合规审查由宪法执行引擎（CEE）动态执行，但</w:t>
      </w:r>
      <w:r>
        <w:rPr>
          <w:rFonts w:eastAsia="等线" w:ascii="Arial" w:cs="Arial" w:hAnsi="Arial"/>
          <w:b w:val="true"/>
          <w:sz w:val="22"/>
        </w:rPr>
        <w:t>最低合规标准</w:t>
      </w:r>
      <w:r>
        <w:rPr>
          <w:rFonts w:eastAsia="等线" w:ascii="Arial" w:cs="Arial" w:hAnsi="Arial"/>
          <w:sz w:val="22"/>
        </w:rPr>
        <w:t>未以宪法条款形式固化。不同资产发行方可能通过治理提案逐步降低标准，形成“逐底竞争”，损害整个RWA生态的信誉。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必要性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明确资产上链的</w:t>
      </w:r>
      <w:r>
        <w:rPr>
          <w:rFonts w:eastAsia="等线" w:ascii="Arial" w:cs="Arial" w:hAnsi="Arial"/>
          <w:b w:val="true"/>
          <w:sz w:val="22"/>
        </w:rPr>
        <w:t>刚性门槛</w:t>
      </w:r>
      <w:r>
        <w:rPr>
          <w:rFonts w:eastAsia="等线" w:ascii="Arial" w:cs="Arial" w:hAnsi="Arial"/>
          <w:sz w:val="22"/>
        </w:rPr>
        <w:t>，如发行方KYC等级≥2、资产法律意见书、托管证明等。</w:t>
      </w:r>
    </w:p>
    <w:p>
      <w:pPr>
        <w:numPr>
          <w:numId w:val="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防止未来治理过程中标准被非专业力量削弱。</w:t>
      </w:r>
    </w:p>
    <w:p>
      <w:pPr>
        <w:numPr>
          <w:numId w:val="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为CEE提供不可逾越的合规底线。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具体内容（NCCL）</w:t>
      </w:r>
      <w:r>
        <w:rPr>
          <w:rFonts w:eastAsia="等线" w:ascii="Arial" w:cs="Arial" w:hAnsi="Arial"/>
          <w:sz w:val="22"/>
        </w:rPr>
        <w:t>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ncl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clause ASSET_COMPLIANCE_MIN_STANDARD:</w:t>
              <w:br/>
              <w:t xml:space="preserve">    level = 1</w:t>
              <w:br/>
              <w:t xml:space="preserve">    forall a: Asset:</w:t>
              <w:br/>
              <w:t xml:space="preserve">        if a.status = ON_CHAIN then</w:t>
              <w:br/>
              <w:t xml:space="preserve">            a.issuer.kyc_level &gt;= 2 and</w:t>
              <w:br/>
              <w:t xml:space="preserve">            exists l: LegalOpinion (l.asset = a) and</w:t>
              <w:br/>
              <w:t xml:space="preserve">            exists c: CustodyProof (c.asset = a</w:t>
            </w:r>
            <w:r>
              <w:rPr>
                <w:rFonts w:eastAsia="Consolas" w:ascii="Consolas" w:cs="Consolas" w:hAnsi="Consolas"/>
                <w:sz w:val="22"/>
              </w:rPr>
              <w:t>)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预期影响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正面：保障上链资产质量，增强投资者信心。</w:t>
      </w:r>
    </w:p>
    <w:p>
      <w:pPr>
        <w:numPr>
          <w:numId w:val="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负面：可能增加小型资产发行方的合规成本，但可通过第三方服务商降低门槛。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风险与缓解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风险：未来若出现更高效的合规技术，该条款可能阻碍创新。</w:t>
      </w:r>
    </w:p>
    <w:p>
      <w:pPr>
        <w:numPr>
          <w:numId w:val="1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缓解：条款本身允许在保持“存在法律意见书”的前提下，对法律意见书的形式进行技术升级（如ZK证明替代全文披露），此解释空间需在宪法法院司法解释中明确。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法律意见摘要</w:t>
      </w:r>
      <w:r>
        <w:rPr>
          <w:rFonts w:eastAsia="等线" w:ascii="Arial" w:cs="Arial" w:hAnsi="Arial"/>
          <w:sz w:val="22"/>
        </w:rPr>
        <w:t>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“将KYC、法律意见、托管证明作为资产上链的必要条件，符合主要司法辖区（新加坡、香港、欧盟）对证券型代币发行的监管趋势，且未过度限制。”——某国际律所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经济影响分析</w:t>
      </w:r>
      <w:r>
        <w:rPr>
          <w:rFonts w:eastAsia="等线" w:ascii="Arial" w:cs="Arial" w:hAnsi="Arial"/>
          <w:sz w:val="22"/>
        </w:rPr>
        <w:t>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预计每年增加约5-10万美元的合规服务成本，相对于万亿级RWA市场规模可忽略。同时因资产质量提升，二级市场流动性溢价可达2-5%。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3" w:id="3"/>
      <w:r>
        <w:rPr>
          <w:rFonts w:eastAsia="等线" w:ascii="Arial" w:cs="Arial" w:hAnsi="Arial"/>
          <w:b w:val="true"/>
          <w:sz w:val="30"/>
        </w:rPr>
        <w:t>2. 条款 ASSET_VALUATION_AUTHORITY</w:t>
      </w:r>
      <w:bookmarkEnd w:id="3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800"/>
        <w:gridCol w:w="6000"/>
      </w:tblGrid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字段</w:t>
            </w:r>
          </w:p>
        </w:tc>
        <w:tc>
          <w:tcPr>
            <w:tcW w:w="6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内容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层级</w:t>
            </w:r>
          </w:p>
        </w:tc>
        <w:tc>
          <w:tcPr>
            <w:tcW w:w="6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战略级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治理门槛</w:t>
            </w:r>
          </w:p>
        </w:tc>
        <w:tc>
          <w:tcPr>
            <w:tcW w:w="6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≥66%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建议批次</w:t>
            </w:r>
          </w:p>
        </w:tc>
        <w:tc>
          <w:tcPr>
            <w:tcW w:w="6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第一批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背景</w:t>
      </w:r>
      <w:r>
        <w:rPr>
          <w:rFonts w:eastAsia="等线" w:ascii="Arial" w:cs="Arial" w:hAnsi="Arial"/>
          <w:sz w:val="22"/>
        </w:rPr>
        <w:t>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资产估值是RWA上链的核心环节。目前估值由CEE调用AI模型执行，但估值模型的</w:t>
      </w:r>
      <w:r>
        <w:rPr>
          <w:rFonts w:eastAsia="等线" w:ascii="Arial" w:cs="Arial" w:hAnsi="Arial"/>
          <w:b w:val="true"/>
          <w:sz w:val="22"/>
        </w:rPr>
        <w:t>准入权</w:t>
      </w:r>
      <w:r>
        <w:rPr>
          <w:rFonts w:eastAsia="等线" w:ascii="Arial" w:cs="Arial" w:hAnsi="Arial"/>
          <w:sz w:val="22"/>
        </w:rPr>
        <w:t>、</w:t>
      </w:r>
      <w:r>
        <w:rPr>
          <w:rFonts w:eastAsia="等线" w:ascii="Arial" w:cs="Arial" w:hAnsi="Arial"/>
          <w:b w:val="true"/>
          <w:sz w:val="22"/>
        </w:rPr>
        <w:t>数据源</w:t>
      </w:r>
      <w:r>
        <w:rPr>
          <w:rFonts w:eastAsia="等线" w:ascii="Arial" w:cs="Arial" w:hAnsi="Arial"/>
          <w:sz w:val="22"/>
        </w:rPr>
        <w:t>、</w:t>
      </w:r>
      <w:r>
        <w:rPr>
          <w:rFonts w:eastAsia="等线" w:ascii="Arial" w:cs="Arial" w:hAnsi="Arial"/>
          <w:b w:val="true"/>
          <w:sz w:val="22"/>
        </w:rPr>
        <w:t>争议仲裁</w:t>
      </w:r>
      <w:r>
        <w:rPr>
          <w:rFonts w:eastAsia="等线" w:ascii="Arial" w:cs="Arial" w:hAnsi="Arial"/>
          <w:sz w:val="22"/>
        </w:rPr>
        <w:t>尚未宪法化。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必要性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1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防止估值模型被恶意篡改或低质量数据污染。</w:t>
      </w:r>
    </w:p>
    <w:p>
      <w:pPr>
        <w:numPr>
          <w:numId w:val="1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建立估值争议的最终裁决机制（如宪法法院可指定第三方审计机构）。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具体内容</w:t>
      </w:r>
      <w:r>
        <w:rPr>
          <w:rFonts w:eastAsia="等线" w:ascii="Arial" w:cs="Arial" w:hAnsi="Arial"/>
          <w:sz w:val="22"/>
        </w:rPr>
        <w:t>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ncl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clause ASSET_VALUATION_AUTHORITY:</w:t>
              <w:br/>
              <w:t xml:space="preserve">    level = 1</w:t>
              <w:br/>
              <w:t xml:space="preserve">    // 估值模型必须由治理委员会批准并公开源代码</w:t>
              <w:br/>
              <w:t xml:space="preserve">    forall m: ValuationModel:</w:t>
              <w:br/>
              <w:t xml:space="preserve">        if m.is_active then</w:t>
              <w:br/>
              <w:t xml:space="preserve">            m.source_code_hash in GOVERNANCE_APPROVED_MODELS</w:t>
              <w:br/>
              <w:t xml:space="preserve">    // 估值数据源必须来自白名单预言机</w:t>
              <w:br/>
              <w:t xml:space="preserve">    forall v: ValuationResult:</w:t>
              <w:br/>
              <w:t xml:space="preserve">        v.data_source in ORACLE_WHITELIST</w:t>
              <w:br/>
              <w:t xml:space="preserve">    // 争议估值由宪法法院指定独立审计师复核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预期影响</w:t>
      </w:r>
      <w:r>
        <w:rPr>
          <w:rFonts w:eastAsia="等线" w:ascii="Arial" w:cs="Arial" w:hAnsi="Arial"/>
          <w:sz w:val="22"/>
        </w:rPr>
        <w:t>：明确估值权责，增强市场对资产定价的信任。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风险与缓解</w:t>
      </w:r>
      <w:r>
        <w:rPr>
          <w:rFonts w:eastAsia="等线" w:ascii="Arial" w:cs="Arial" w:hAnsi="Arial"/>
          <w:sz w:val="22"/>
        </w:rPr>
        <w:t>：模型更新可能被治理延迟，建议将“快速通道”权限授予风险委员会，受宪法法院监督。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法律意见摘要</w:t>
      </w:r>
      <w:r>
        <w:rPr>
          <w:rFonts w:eastAsia="等线" w:ascii="Arial" w:cs="Arial" w:hAnsi="Arial"/>
          <w:sz w:val="22"/>
        </w:rPr>
        <w:t>：估值本身非法律裁决，但作为资产发行依据，需确保公允性。本条款符合国际证监会组织（IOSCO）关于资产参考价格的原则。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4" w:id="4"/>
      <w:r>
        <w:rPr>
          <w:rFonts w:eastAsia="等线" w:ascii="Arial" w:cs="Arial" w:hAnsi="Arial"/>
          <w:b w:val="true"/>
          <w:sz w:val="30"/>
        </w:rPr>
        <w:t>3. 条款 ASSET_APPROVAL_PROCESS</w:t>
      </w:r>
      <w:bookmarkEnd w:id="4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800"/>
        <w:gridCol w:w="6000"/>
      </w:tblGrid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字段</w:t>
            </w:r>
          </w:p>
        </w:tc>
        <w:tc>
          <w:tcPr>
            <w:tcW w:w="6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内容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层级</w:t>
            </w:r>
          </w:p>
        </w:tc>
        <w:tc>
          <w:tcPr>
            <w:tcW w:w="6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战术级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治理门槛</w:t>
            </w:r>
          </w:p>
        </w:tc>
        <w:tc>
          <w:tcPr>
            <w:tcW w:w="6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≥51%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建议批次</w:t>
            </w:r>
          </w:p>
        </w:tc>
        <w:tc>
          <w:tcPr>
            <w:tcW w:w="6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第一批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背景</w:t>
      </w:r>
      <w:r>
        <w:rPr>
          <w:rFonts w:eastAsia="等线" w:ascii="Arial" w:cs="Arial" w:hAnsi="Arial"/>
          <w:sz w:val="22"/>
        </w:rPr>
        <w:t>：资产审批目前由CEE自动执行，但涉及人工审核环节（如法律文件复核）时，权限归属不明。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必要性</w:t>
      </w:r>
      <w:r>
        <w:rPr>
          <w:rFonts w:eastAsia="等线" w:ascii="Arial" w:cs="Arial" w:hAnsi="Arial"/>
          <w:sz w:val="22"/>
        </w:rPr>
        <w:t>：明确多签审核小组的组成、任期、罢免流程。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具体内容</w:t>
      </w:r>
      <w:r>
        <w:rPr>
          <w:rFonts w:eastAsia="等线" w:ascii="Arial" w:cs="Arial" w:hAnsi="Arial"/>
          <w:sz w:val="22"/>
        </w:rPr>
        <w:t>：设立资产审核委员会（5人），由XIC持有者每年选举产生；每笔资产上链需至少3人签署。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预期影响</w:t>
      </w:r>
      <w:r>
        <w:rPr>
          <w:rFonts w:eastAsia="等线" w:ascii="Arial" w:cs="Arial" w:hAnsi="Arial"/>
          <w:sz w:val="22"/>
        </w:rPr>
        <w:t>：防止单点腐败，提高审核透明度。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风险与缓解</w:t>
      </w:r>
      <w:r>
        <w:rPr>
          <w:rFonts w:eastAsia="等线" w:ascii="Arial" w:cs="Arial" w:hAnsi="Arial"/>
          <w:sz w:val="22"/>
        </w:rPr>
        <w:t>：审核效率可能降低。缓解：设置标准审核时限（如7个工作日），超时自动触发替补机制。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5" w:id="5"/>
      <w:r>
        <w:rPr>
          <w:rFonts w:eastAsia="等线" w:ascii="Arial" w:cs="Arial" w:hAnsi="Arial"/>
          <w:b w:val="true"/>
          <w:sz w:val="30"/>
        </w:rPr>
        <w:t>4. 条款 GNACS_GENERATION_RULE</w:t>
      </w:r>
      <w:bookmarkEnd w:id="5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800"/>
        <w:gridCol w:w="6000"/>
      </w:tblGrid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字段</w:t>
            </w:r>
          </w:p>
        </w:tc>
        <w:tc>
          <w:tcPr>
            <w:tcW w:w="6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内容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层级</w:t>
            </w:r>
          </w:p>
        </w:tc>
        <w:tc>
          <w:tcPr>
            <w:tcW w:w="6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战略级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治理门槛</w:t>
            </w:r>
          </w:p>
        </w:tc>
        <w:tc>
          <w:tcPr>
            <w:tcW w:w="6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≥66%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建议批次</w:t>
            </w:r>
          </w:p>
        </w:tc>
        <w:tc>
          <w:tcPr>
            <w:tcW w:w="6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第一批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背景</w:t>
      </w:r>
      <w:r>
        <w:rPr>
          <w:rFonts w:eastAsia="等线" w:ascii="Arial" w:cs="Arial" w:hAnsi="Arial"/>
          <w:sz w:val="22"/>
        </w:rPr>
        <w:t>：GNACS是资产的数字基因，但编码生成规则目前仅作为技术规范，未宪法化。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必要性</w:t>
      </w:r>
      <w:r>
        <w:rPr>
          <w:rFonts w:eastAsia="等线" w:ascii="Arial" w:cs="Arial" w:hAnsi="Arial"/>
          <w:sz w:val="22"/>
        </w:rPr>
        <w:t>：防止未来因利益驱动修改编码规则，导致资产分类混乱。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具体内容</w:t>
      </w:r>
      <w:r>
        <w:rPr>
          <w:rFonts w:eastAsia="等线" w:ascii="Arial" w:cs="Arial" w:hAnsi="Arial"/>
          <w:sz w:val="22"/>
        </w:rPr>
        <w:t>：GNACS编码必须遵循48位结构，各字段语义由宪法附录A定义；任何修改需66%投票。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预期影响</w:t>
      </w:r>
      <w:r>
        <w:rPr>
          <w:rFonts w:eastAsia="等线" w:ascii="Arial" w:cs="Arial" w:hAnsi="Arial"/>
          <w:sz w:val="22"/>
        </w:rPr>
        <w:t>：保证GNACS长期稳定性，跨系统互操作性。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6" w:id="6"/>
      <w:r>
        <w:rPr>
          <w:rFonts w:eastAsia="等线" w:ascii="Arial" w:cs="Arial" w:hAnsi="Arial"/>
          <w:b w:val="true"/>
          <w:sz w:val="30"/>
        </w:rPr>
        <w:t>5. 条款 DNA_INTEGRITY_ENFORCEMENT</w:t>
      </w:r>
      <w:bookmarkEnd w:id="6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800"/>
        <w:gridCol w:w="6000"/>
      </w:tblGrid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字段</w:t>
            </w:r>
          </w:p>
        </w:tc>
        <w:tc>
          <w:tcPr>
            <w:tcW w:w="6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内容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层级</w:t>
            </w:r>
          </w:p>
        </w:tc>
        <w:tc>
          <w:tcPr>
            <w:tcW w:w="6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战术级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治理门槛</w:t>
            </w:r>
          </w:p>
        </w:tc>
        <w:tc>
          <w:tcPr>
            <w:tcW w:w="6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≥51%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建议批次</w:t>
            </w:r>
          </w:p>
        </w:tc>
        <w:tc>
          <w:tcPr>
            <w:tcW w:w="6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第一批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背景</w:t>
      </w:r>
      <w:r>
        <w:rPr>
          <w:rFonts w:eastAsia="等线" w:ascii="Arial" w:cs="Arial" w:hAnsi="Arial"/>
          <w:sz w:val="22"/>
        </w:rPr>
        <w:t>：资产DNA的进化历史已技术实现，但</w:t>
      </w:r>
      <w:r>
        <w:rPr>
          <w:rFonts w:eastAsia="等线" w:ascii="Arial" w:cs="Arial" w:hAnsi="Arial"/>
          <w:b w:val="true"/>
          <w:sz w:val="22"/>
        </w:rPr>
        <w:t>强制进化</w:t>
      </w:r>
      <w:r>
        <w:rPr>
          <w:rFonts w:eastAsia="等线" w:ascii="Arial" w:cs="Arial" w:hAnsi="Arial"/>
          <w:sz w:val="22"/>
        </w:rPr>
        <w:t>未写入宪法，存在绕过DNA直接修改状态的风险。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必要性</w:t>
      </w:r>
      <w:r>
        <w:rPr>
          <w:rFonts w:eastAsia="等线" w:ascii="Arial" w:cs="Arial" w:hAnsi="Arial"/>
          <w:sz w:val="22"/>
        </w:rPr>
        <w:t>：确保资产全生命周期可追溯，任何状态变更必须触发DNA.evolution。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具体内容</w:t>
      </w:r>
      <w:r>
        <w:rPr>
          <w:rFonts w:eastAsia="等线" w:ascii="Arial" w:cs="Arial" w:hAnsi="Arial"/>
          <w:sz w:val="22"/>
        </w:rPr>
        <w:t>：所有修改资产状态的操作（转账、质押、分红）均必须调用`AssetDNA.evolve`。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预期影响</w:t>
      </w:r>
      <w:r>
        <w:rPr>
          <w:rFonts w:eastAsia="等线" w:ascii="Arial" w:cs="Arial" w:hAnsi="Arial"/>
          <w:sz w:val="22"/>
        </w:rPr>
        <w:t>：增强审计完整性。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7" w:id="7"/>
      <w:r>
        <w:rPr>
          <w:rFonts w:eastAsia="等线" w:ascii="Arial" w:cs="Arial" w:hAnsi="Arial"/>
          <w:b w:val="true"/>
          <w:sz w:val="30"/>
        </w:rPr>
        <w:t>6. 条款 CUSTODY_INSTITUTION_ACCREDITATION</w:t>
      </w:r>
      <w:bookmarkEnd w:id="7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800"/>
        <w:gridCol w:w="6000"/>
      </w:tblGrid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字段</w:t>
            </w:r>
          </w:p>
        </w:tc>
        <w:tc>
          <w:tcPr>
            <w:tcW w:w="6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内容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层级</w:t>
            </w:r>
          </w:p>
        </w:tc>
        <w:tc>
          <w:tcPr>
            <w:tcW w:w="6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战略级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治理门槛</w:t>
            </w:r>
          </w:p>
        </w:tc>
        <w:tc>
          <w:tcPr>
            <w:tcW w:w="6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≥75%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建议批次</w:t>
            </w:r>
          </w:p>
        </w:tc>
        <w:tc>
          <w:tcPr>
            <w:tcW w:w="6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第一批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背景</w:t>
      </w:r>
      <w:r>
        <w:rPr>
          <w:rFonts w:eastAsia="等线" w:ascii="Arial" w:cs="Arial" w:hAnsi="Arial"/>
          <w:sz w:val="22"/>
        </w:rPr>
        <w:t>：托管机构是资产证券化的法律支点，目前仅通过交易所准入规则间接约束。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必要性</w:t>
      </w:r>
      <w:r>
        <w:rPr>
          <w:rFonts w:eastAsia="等线" w:ascii="Arial" w:cs="Arial" w:hAnsi="Arial"/>
          <w:sz w:val="22"/>
        </w:rPr>
        <w:t>：直接对托管机构提出</w:t>
      </w:r>
      <w:r>
        <w:rPr>
          <w:rFonts w:eastAsia="等线" w:ascii="Arial" w:cs="Arial" w:hAnsi="Arial"/>
          <w:b w:val="true"/>
          <w:sz w:val="22"/>
        </w:rPr>
        <w:t>净资产规模、监管牌照、保险覆盖</w:t>
      </w:r>
      <w:r>
        <w:rPr>
          <w:rFonts w:eastAsia="等线" w:ascii="Arial" w:cs="Arial" w:hAnsi="Arial"/>
          <w:sz w:val="22"/>
        </w:rPr>
        <w:t>等硬性要求。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具体内容</w:t>
      </w:r>
      <w:r>
        <w:rPr>
          <w:rFonts w:eastAsia="等线" w:ascii="Arial" w:cs="Arial" w:hAnsi="Arial"/>
          <w:sz w:val="22"/>
        </w:rPr>
        <w:t>：托管机构必须持有主要司法辖区托管牌照，净资产≥1亿美元，且购买专业托管保险。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预期影响</w:t>
      </w:r>
      <w:r>
        <w:rPr>
          <w:rFonts w:eastAsia="等线" w:ascii="Arial" w:cs="Arial" w:hAnsi="Arial"/>
          <w:sz w:val="22"/>
        </w:rPr>
        <w:t>：大幅降低托管风险，满足机构投资者风控要求。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法律意见摘要</w:t>
      </w:r>
      <w:r>
        <w:rPr>
          <w:rFonts w:eastAsia="等线" w:ascii="Arial" w:cs="Arial" w:hAnsi="Arial"/>
          <w:sz w:val="22"/>
        </w:rPr>
        <w:t>：该条款与香港TCSP、瑞士FINMA、纽约DFS托管规则高度一致。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8" w:id="8"/>
      <w:r>
        <w:rPr>
          <w:rFonts w:eastAsia="等线" w:ascii="Arial" w:cs="Arial" w:hAnsi="Arial"/>
          <w:b w:val="true"/>
          <w:sz w:val="30"/>
        </w:rPr>
        <w:t>7. 条款 CUSTODY_ASSET_SEGREGATION</w:t>
      </w:r>
      <w:bookmarkEnd w:id="8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800"/>
        <w:gridCol w:w="6000"/>
      </w:tblGrid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字段</w:t>
            </w:r>
          </w:p>
        </w:tc>
        <w:tc>
          <w:tcPr>
            <w:tcW w:w="6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内容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层级</w:t>
            </w:r>
          </w:p>
        </w:tc>
        <w:tc>
          <w:tcPr>
            <w:tcW w:w="6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永恒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治理门槛</w:t>
            </w:r>
          </w:p>
        </w:tc>
        <w:tc>
          <w:tcPr>
            <w:tcW w:w="6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不可修改（≥90%亦不可）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建议批次</w:t>
            </w:r>
          </w:p>
        </w:tc>
        <w:tc>
          <w:tcPr>
            <w:tcW w:w="6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第一批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背景</w:t>
      </w:r>
      <w:r>
        <w:rPr>
          <w:rFonts w:eastAsia="等线" w:ascii="Arial" w:cs="Arial" w:hAnsi="Arial"/>
          <w:sz w:val="22"/>
        </w:rPr>
        <w:t>：破产隔离是RWA代币化的法律基础，若托管机构将客户资产与自有资产混同，链上权证将沦为一般债权。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必要性</w:t>
      </w:r>
      <w:r>
        <w:rPr>
          <w:rFonts w:eastAsia="等线" w:ascii="Arial" w:cs="Arial" w:hAnsi="Arial"/>
          <w:sz w:val="22"/>
        </w:rPr>
        <w:t>：必须永久禁止托管资产与机构自有资产混同，确保代币持有人的财产权。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具体内容</w:t>
      </w:r>
      <w:r>
        <w:rPr>
          <w:rFonts w:eastAsia="等线" w:ascii="Arial" w:cs="Arial" w:hAnsi="Arial"/>
          <w:sz w:val="22"/>
        </w:rPr>
        <w:t>：托管账户必须独立开户，资产名称登记为“NAC客户资产”，不得用于再抵押。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法律意见摘要</w:t>
      </w:r>
      <w:r>
        <w:rPr>
          <w:rFonts w:eastAsia="等线" w:ascii="Arial" w:cs="Arial" w:hAnsi="Arial"/>
          <w:sz w:val="22"/>
        </w:rPr>
        <w:t>：美国UCC第8条、欧盟金融工具市场指令（MiFID II）均要求客户资产隔离。本条款提供链上强制执行的法律基础。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9" w:id="9"/>
      <w:r>
        <w:rPr>
          <w:rFonts w:eastAsia="等线" w:ascii="Arial" w:cs="Arial" w:hAnsi="Arial"/>
          <w:b w:val="true"/>
          <w:sz w:val="30"/>
        </w:rPr>
        <w:t>8. 条款 XTZH_MINT_COLLATERAL</w:t>
      </w:r>
      <w:bookmarkEnd w:id="9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800"/>
        <w:gridCol w:w="6000"/>
      </w:tblGrid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字段</w:t>
            </w:r>
          </w:p>
        </w:tc>
        <w:tc>
          <w:tcPr>
            <w:tcW w:w="6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内容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层级</w:t>
            </w:r>
          </w:p>
        </w:tc>
        <w:tc>
          <w:tcPr>
            <w:tcW w:w="6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永恒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治理门槛</w:t>
            </w:r>
          </w:p>
        </w:tc>
        <w:tc>
          <w:tcPr>
            <w:tcW w:w="6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不可修改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建议批次</w:t>
            </w:r>
          </w:p>
        </w:tc>
        <w:tc>
          <w:tcPr>
            <w:tcW w:w="6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第一批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背景</w:t>
      </w:r>
      <w:r>
        <w:rPr>
          <w:rFonts w:eastAsia="等线" w:ascii="Arial" w:cs="Arial" w:hAnsi="Arial"/>
          <w:sz w:val="22"/>
        </w:rPr>
        <w:t>：XTZH的铸造必须基于超额抵押的黄金永续合约或托管资产。当前虽已实施，但未宪法化。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必要性</w:t>
      </w:r>
      <w:r>
        <w:rPr>
          <w:rFonts w:eastAsia="等线" w:ascii="Arial" w:cs="Arial" w:hAnsi="Arial"/>
          <w:sz w:val="22"/>
        </w:rPr>
        <w:t>：防止未来治理通过增发无抵押XTZH，彻底破坏稳定币信用。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具体内容</w:t>
      </w:r>
      <w:r>
        <w:rPr>
          <w:rFonts w:eastAsia="等线" w:ascii="Arial" w:cs="Arial" w:hAnsi="Arial"/>
          <w:sz w:val="22"/>
        </w:rPr>
        <w:t>：XTZH总市值不得超过黄金合约名义价值/125% + 商品层全额保证金。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预期影响</w:t>
      </w:r>
      <w:r>
        <w:rPr>
          <w:rFonts w:eastAsia="等线" w:ascii="Arial" w:cs="Arial" w:hAnsi="Arial"/>
          <w:sz w:val="22"/>
        </w:rPr>
        <w:t>：锁定XTZH信用根基。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0" w:id="10"/>
      <w:r>
        <w:rPr>
          <w:rFonts w:eastAsia="等线" w:ascii="Arial" w:cs="Arial" w:hAnsi="Arial"/>
          <w:b w:val="true"/>
          <w:sz w:val="30"/>
        </w:rPr>
        <w:t>9. 条款 EQUITY_DERIVATION_LIMIT</w:t>
      </w:r>
      <w:bookmarkEnd w:id="10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800"/>
        <w:gridCol w:w="6000"/>
      </w:tblGrid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字段</w:t>
            </w:r>
          </w:p>
        </w:tc>
        <w:tc>
          <w:tcPr>
            <w:tcW w:w="6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内容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层级</w:t>
            </w:r>
          </w:p>
        </w:tc>
        <w:tc>
          <w:tcPr>
            <w:tcW w:w="6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战略级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治理门槛</w:t>
            </w:r>
          </w:p>
        </w:tc>
        <w:tc>
          <w:tcPr>
            <w:tcW w:w="6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≥66%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建议批次</w:t>
            </w:r>
          </w:p>
        </w:tc>
        <w:tc>
          <w:tcPr>
            <w:tcW w:w="6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第一批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背景</w:t>
      </w:r>
      <w:r>
        <w:rPr>
          <w:rFonts w:eastAsia="等线" w:ascii="Arial" w:cs="Arial" w:hAnsi="Arial"/>
          <w:sz w:val="22"/>
        </w:rPr>
        <w:t>：同一底层资产可衍生出收益权、投票权、处置权等多层权益，但无限衍生将导致风险穿透困难。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必要性</w:t>
      </w:r>
      <w:r>
        <w:rPr>
          <w:rFonts w:eastAsia="等线" w:ascii="Arial" w:cs="Arial" w:hAnsi="Arial"/>
          <w:sz w:val="22"/>
        </w:rPr>
        <w:t>：限制衍生层数（建议≤3层），并要求每层衍生均需披露底层资产GNACS。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具体内容</w:t>
      </w:r>
      <w:r>
        <w:rPr>
          <w:rFonts w:eastAsia="等线" w:ascii="Arial" w:cs="Arial" w:hAnsi="Arial"/>
          <w:sz w:val="22"/>
        </w:rPr>
        <w:t>：权益代币的GNACS必须包含原始资产DNA哈希；衍生层级计数器≤3。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预期影响</w:t>
      </w:r>
      <w:r>
        <w:rPr>
          <w:rFonts w:eastAsia="等线" w:ascii="Arial" w:cs="Arial" w:hAnsi="Arial"/>
          <w:sz w:val="22"/>
        </w:rPr>
        <w:t>：控制金融复杂度，便于风险计量。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1" w:id="11"/>
      <w:r>
        <w:rPr>
          <w:rFonts w:eastAsia="等线" w:ascii="Arial" w:cs="Arial" w:hAnsi="Arial"/>
          <w:b w:val="true"/>
          <w:sz w:val="30"/>
        </w:rPr>
        <w:t>10. 条款 EQUITY_RIGHTS_DEFINITION</w:t>
      </w:r>
      <w:bookmarkEnd w:id="11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800"/>
        <w:gridCol w:w="6000"/>
      </w:tblGrid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字段</w:t>
            </w:r>
          </w:p>
        </w:tc>
        <w:tc>
          <w:tcPr>
            <w:tcW w:w="6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内容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层级</w:t>
            </w:r>
          </w:p>
        </w:tc>
        <w:tc>
          <w:tcPr>
            <w:tcW w:w="6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战略级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治理门槛</w:t>
            </w:r>
          </w:p>
        </w:tc>
        <w:tc>
          <w:tcPr>
            <w:tcW w:w="6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≥66%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建议批次</w:t>
            </w:r>
          </w:p>
        </w:tc>
        <w:tc>
          <w:tcPr>
            <w:tcW w:w="6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第一批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背景</w:t>
      </w:r>
      <w:r>
        <w:rPr>
          <w:rFonts w:eastAsia="等线" w:ascii="Arial" w:cs="Arial" w:hAnsi="Arial"/>
          <w:sz w:val="22"/>
        </w:rPr>
        <w:t>：收益权、投票权、处置权等术语在链上仅有代码实现，缺乏统一法律定义。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必要性</w:t>
      </w:r>
      <w:r>
        <w:rPr>
          <w:rFonts w:eastAsia="等线" w:ascii="Arial" w:cs="Arial" w:hAnsi="Arial"/>
          <w:sz w:val="22"/>
        </w:rPr>
        <w:t>：标准化权益语义，确保跨司法辖区的法律解释一致。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具体内容</w:t>
      </w:r>
      <w:r>
        <w:rPr>
          <w:rFonts w:eastAsia="等线" w:ascii="Arial" w:cs="Arial" w:hAnsi="Arial"/>
          <w:sz w:val="22"/>
        </w:rPr>
        <w:t>：以NCCL枚举类型定义各权益的法律内涵，并映射至ACC-20分区类型。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预期影响</w:t>
      </w:r>
      <w:r>
        <w:rPr>
          <w:rFonts w:eastAsia="等线" w:ascii="Arial" w:cs="Arial" w:hAnsi="Arial"/>
          <w:sz w:val="22"/>
        </w:rPr>
        <w:t>：为智能合约法律认可铺路。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2" w:id="12"/>
      <w:r>
        <w:rPr>
          <w:rFonts w:eastAsia="等线" w:ascii="Arial" w:cs="Arial" w:hAnsi="Arial"/>
          <w:b w:val="true"/>
          <w:sz w:val="30"/>
        </w:rPr>
        <w:t>11. 条款 SECONDARY_MARKET_REPORTING</w:t>
      </w:r>
      <w:bookmarkEnd w:id="12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800"/>
        <w:gridCol w:w="6000"/>
      </w:tblGrid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字段</w:t>
            </w:r>
          </w:p>
        </w:tc>
        <w:tc>
          <w:tcPr>
            <w:tcW w:w="6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内容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层级</w:t>
            </w:r>
          </w:p>
        </w:tc>
        <w:tc>
          <w:tcPr>
            <w:tcW w:w="6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战术级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治理门槛</w:t>
            </w:r>
          </w:p>
        </w:tc>
        <w:tc>
          <w:tcPr>
            <w:tcW w:w="6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≥51%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建议批次</w:t>
            </w:r>
          </w:p>
        </w:tc>
        <w:tc>
          <w:tcPr>
            <w:tcW w:w="6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第一批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背景</w:t>
      </w:r>
      <w:r>
        <w:rPr>
          <w:rFonts w:eastAsia="等线" w:ascii="Arial" w:cs="Arial" w:hAnsi="Arial"/>
          <w:sz w:val="22"/>
        </w:rPr>
        <w:t>：流通交易闭环需要市场数据反馈至估值引擎，但目前交易所无义务报告。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必要性</w:t>
      </w:r>
      <w:r>
        <w:rPr>
          <w:rFonts w:eastAsia="等线" w:ascii="Arial" w:cs="Arial" w:hAnsi="Arial"/>
          <w:sz w:val="22"/>
        </w:rPr>
        <w:t>：要求集成CSNP的交易所（或OTC平台）定期提交交易数据，以隐私保护方式。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具体内容</w:t>
      </w:r>
      <w:r>
        <w:rPr>
          <w:rFonts w:eastAsia="等线" w:ascii="Arial" w:cs="Arial" w:hAnsi="Arial"/>
          <w:sz w:val="22"/>
        </w:rPr>
        <w:t>：提交交易对、价格、成交量，但用户地址脱敏；数据仅用于宏观分析，不得公开原始订单簿。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预期影响</w:t>
      </w:r>
      <w:r>
        <w:rPr>
          <w:rFonts w:eastAsia="等线" w:ascii="Arial" w:cs="Arial" w:hAnsi="Arial"/>
          <w:sz w:val="22"/>
        </w:rPr>
        <w:t>：提升AI估值模型准确性。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3" w:id="13"/>
      <w:r>
        <w:rPr>
          <w:rFonts w:eastAsia="等线" w:ascii="Arial" w:cs="Arial" w:hAnsi="Arial"/>
          <w:b w:val="true"/>
          <w:sz w:val="30"/>
        </w:rPr>
        <w:t>12. 条款 PRICE_DISCOVERY_FEEDBACK</w:t>
      </w:r>
      <w:bookmarkEnd w:id="13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800"/>
        <w:gridCol w:w="6000"/>
      </w:tblGrid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字段</w:t>
            </w:r>
          </w:p>
        </w:tc>
        <w:tc>
          <w:tcPr>
            <w:tcW w:w="6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内容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层级</w:t>
            </w:r>
          </w:p>
        </w:tc>
        <w:tc>
          <w:tcPr>
            <w:tcW w:w="6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战术级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治理门槛</w:t>
            </w:r>
          </w:p>
        </w:tc>
        <w:tc>
          <w:tcPr>
            <w:tcW w:w="6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≥51%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建议批次</w:t>
            </w:r>
          </w:p>
        </w:tc>
        <w:tc>
          <w:tcPr>
            <w:tcW w:w="6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第一批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背景</w:t>
      </w:r>
      <w:r>
        <w:rPr>
          <w:rFonts w:eastAsia="等线" w:ascii="Arial" w:cs="Arial" w:hAnsi="Arial"/>
          <w:sz w:val="22"/>
        </w:rPr>
        <w:t>：市场价格与资产估值本应联动，但当前缺乏自动触发机制。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必要性</w:t>
      </w:r>
      <w:r>
        <w:rPr>
          <w:rFonts w:eastAsia="等线" w:ascii="Arial" w:cs="Arial" w:hAnsi="Arial"/>
          <w:sz w:val="22"/>
        </w:rPr>
        <w:t>：当二级市场价格偏离链上估值超过±20%且持续24小时，自动触发重估流程。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具体内容</w:t>
      </w:r>
      <w:r>
        <w:rPr>
          <w:rFonts w:eastAsia="等线" w:ascii="Arial" w:cs="Arial" w:hAnsi="Arial"/>
          <w:sz w:val="22"/>
        </w:rPr>
        <w:t>：由预言机监控偏离度，触发CEE重新估值，结果上链公示。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预期影响</w:t>
      </w:r>
      <w:r>
        <w:rPr>
          <w:rFonts w:eastAsia="等线" w:ascii="Arial" w:cs="Arial" w:hAnsi="Arial"/>
          <w:sz w:val="22"/>
        </w:rPr>
        <w:t>：增强估值体系的市场敏感性。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4" w:id="14"/>
      <w:r>
        <w:rPr>
          <w:rFonts w:eastAsia="等线" w:ascii="Arial" w:cs="Arial" w:hAnsi="Arial"/>
          <w:b w:val="true"/>
          <w:sz w:val="32"/>
        </w:rPr>
        <w:t>五、治理与宪法法院自身（5条）</w:t>
      </w:r>
      <w:bookmarkEnd w:id="14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5" w:id="15"/>
      <w:r>
        <w:rPr>
          <w:rFonts w:eastAsia="等线" w:ascii="Arial" w:cs="Arial" w:hAnsi="Arial"/>
          <w:b w:val="true"/>
          <w:sz w:val="30"/>
        </w:rPr>
        <w:t>38. 条款 JUSTICE_APPOINTMENT_PROCESS</w:t>
      </w:r>
      <w:bookmarkEnd w:id="15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800"/>
        <w:gridCol w:w="6000"/>
      </w:tblGrid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字段</w:t>
            </w:r>
          </w:p>
        </w:tc>
        <w:tc>
          <w:tcPr>
            <w:tcW w:w="6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内容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层级</w:t>
            </w:r>
          </w:p>
        </w:tc>
        <w:tc>
          <w:tcPr>
            <w:tcW w:w="6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永恒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治理门槛</w:t>
            </w:r>
          </w:p>
        </w:tc>
        <w:tc>
          <w:tcPr>
            <w:tcW w:w="6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≥90%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建议批次</w:t>
            </w:r>
          </w:p>
        </w:tc>
        <w:tc>
          <w:tcPr>
            <w:tcW w:w="6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第一批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背景</w:t>
      </w:r>
      <w:r>
        <w:rPr>
          <w:rFonts w:eastAsia="等线" w:ascii="Arial" w:cs="Arial" w:hAnsi="Arial"/>
          <w:sz w:val="22"/>
        </w:rPr>
        <w:t>：宪法法院是最高司法权力机构，但其自身组建规则尚未宪法化。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必要性</w:t>
      </w:r>
      <w:r>
        <w:rPr>
          <w:rFonts w:eastAsia="等线" w:ascii="Arial" w:cs="Arial" w:hAnsi="Arial"/>
          <w:sz w:val="22"/>
        </w:rPr>
        <w:t>：防止法官任命沦为派系斗争，确保司法独立。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具体内容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1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提名期30天，任何XIC持有者可提名，需缴纳10万XIC保证金。</w:t>
      </w:r>
    </w:p>
    <w:p>
      <w:pPr>
        <w:numPr>
          <w:numId w:val="1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审查期15天，现任法官可一票否决（需书面理由）。</w:t>
      </w:r>
    </w:p>
    <w:p>
      <w:pPr>
        <w:numPr>
          <w:numId w:val="1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投票期14天，二次方投票，得票前9名当选。</w:t>
      </w:r>
    </w:p>
    <w:p>
      <w:pPr>
        <w:numPr>
          <w:numId w:val="1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任期7年，交错换届，每年改选1-2席。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法律意见摘要</w:t>
      </w:r>
      <w:r>
        <w:rPr>
          <w:rFonts w:eastAsia="等线" w:ascii="Arial" w:cs="Arial" w:hAnsi="Arial"/>
          <w:sz w:val="22"/>
        </w:rPr>
        <w:t>：该流程参考国际法院法官选举及部分DAO治理最佳实践，兼顾民主与专业性。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6" w:id="16"/>
      <w:r>
        <w:rPr>
          <w:rFonts w:eastAsia="等线" w:ascii="Arial" w:cs="Arial" w:hAnsi="Arial"/>
          <w:b w:val="true"/>
          <w:sz w:val="30"/>
        </w:rPr>
        <w:t>39. 条款 JUSTICE_TERM_LIMIT</w:t>
      </w:r>
      <w:bookmarkEnd w:id="16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800"/>
        <w:gridCol w:w="6000"/>
      </w:tblGrid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字段</w:t>
            </w:r>
          </w:p>
        </w:tc>
        <w:tc>
          <w:tcPr>
            <w:tcW w:w="6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内容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层级</w:t>
            </w:r>
          </w:p>
        </w:tc>
        <w:tc>
          <w:tcPr>
            <w:tcW w:w="6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战略级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治理门槛</w:t>
            </w:r>
          </w:p>
        </w:tc>
        <w:tc>
          <w:tcPr>
            <w:tcW w:w="6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≥75%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建议批次</w:t>
            </w:r>
          </w:p>
        </w:tc>
        <w:tc>
          <w:tcPr>
            <w:tcW w:w="6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第一批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背景</w:t>
      </w:r>
      <w:r>
        <w:rPr>
          <w:rFonts w:eastAsia="等线" w:ascii="Arial" w:cs="Arial" w:hAnsi="Arial"/>
          <w:sz w:val="22"/>
        </w:rPr>
        <w:t>：终身任职易导致权力固化。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必要性</w:t>
      </w:r>
      <w:r>
        <w:rPr>
          <w:rFonts w:eastAsia="等线" w:ascii="Arial" w:cs="Arial" w:hAnsi="Arial"/>
          <w:sz w:val="22"/>
        </w:rPr>
        <w:t>：规定最长连任限制（建议最多2届，共14年）。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具体内容</w:t>
      </w:r>
      <w:r>
        <w:rPr>
          <w:rFonts w:eastAsia="等线" w:ascii="Arial" w:cs="Arial" w:hAnsi="Arial"/>
          <w:sz w:val="22"/>
        </w:rPr>
        <w:t>：法官任期7年，可连任一次；间隔至少1届方可再次参选。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预期影响</w:t>
      </w:r>
      <w:r>
        <w:rPr>
          <w:rFonts w:eastAsia="等线" w:ascii="Arial" w:cs="Arial" w:hAnsi="Arial"/>
          <w:sz w:val="22"/>
        </w:rPr>
        <w:t>：保证司法活力。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7" w:id="17"/>
      <w:r>
        <w:rPr>
          <w:rFonts w:eastAsia="等线" w:ascii="Arial" w:cs="Arial" w:hAnsi="Arial"/>
          <w:b w:val="true"/>
          <w:sz w:val="30"/>
        </w:rPr>
        <w:t>40. 条款 CONSTITUTION_AMENDMENT_COOLDOWN</w:t>
      </w:r>
      <w:bookmarkEnd w:id="17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800"/>
        <w:gridCol w:w="6000"/>
      </w:tblGrid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字段</w:t>
            </w:r>
          </w:p>
        </w:tc>
        <w:tc>
          <w:tcPr>
            <w:tcW w:w="6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内容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层级</w:t>
            </w:r>
          </w:p>
        </w:tc>
        <w:tc>
          <w:tcPr>
            <w:tcW w:w="6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战术级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治理门槛</w:t>
            </w:r>
          </w:p>
        </w:tc>
        <w:tc>
          <w:tcPr>
            <w:tcW w:w="6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≥51%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建议批次</w:t>
            </w:r>
          </w:p>
        </w:tc>
        <w:tc>
          <w:tcPr>
            <w:tcW w:w="6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第一批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背景</w:t>
      </w:r>
      <w:r>
        <w:rPr>
          <w:rFonts w:eastAsia="等线" w:ascii="Arial" w:cs="Arial" w:hAnsi="Arial"/>
          <w:sz w:val="22"/>
        </w:rPr>
        <w:t>：同一宪法修正案被否决后可反复提交，浪费治理资源。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必要性</w:t>
      </w:r>
      <w:r>
        <w:rPr>
          <w:rFonts w:eastAsia="等线" w:ascii="Arial" w:cs="Arial" w:hAnsi="Arial"/>
          <w:sz w:val="22"/>
        </w:rPr>
        <w:t>：设定冷却期（建议6个月）。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具体内容</w:t>
      </w:r>
      <w:r>
        <w:rPr>
          <w:rFonts w:eastAsia="等线" w:ascii="Arial" w:cs="Arial" w:hAnsi="Arial"/>
          <w:sz w:val="22"/>
        </w:rPr>
        <w:t>：被否决的提案，6个月内不得以实质相同内容重新提交。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8" w:id="18"/>
      <w:r>
        <w:rPr>
          <w:rFonts w:eastAsia="等线" w:ascii="Arial" w:cs="Arial" w:hAnsi="Arial"/>
          <w:b w:val="true"/>
          <w:sz w:val="30"/>
        </w:rPr>
        <w:t>41. 条款 EMERGENCY_PROPOSAL_THRESHOLD</w:t>
      </w:r>
      <w:bookmarkEnd w:id="18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800"/>
        <w:gridCol w:w="6000"/>
      </w:tblGrid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字段</w:t>
            </w:r>
          </w:p>
        </w:tc>
        <w:tc>
          <w:tcPr>
            <w:tcW w:w="6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内容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层级</w:t>
            </w:r>
          </w:p>
        </w:tc>
        <w:tc>
          <w:tcPr>
            <w:tcW w:w="6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战略级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治理门槛</w:t>
            </w:r>
          </w:p>
        </w:tc>
        <w:tc>
          <w:tcPr>
            <w:tcW w:w="6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≥75%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建议批次</w:t>
            </w:r>
          </w:p>
        </w:tc>
        <w:tc>
          <w:tcPr>
            <w:tcW w:w="6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第一批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背景</w:t>
      </w:r>
      <w:r>
        <w:rPr>
          <w:rFonts w:eastAsia="等线" w:ascii="Arial" w:cs="Arial" w:hAnsi="Arial"/>
          <w:sz w:val="22"/>
        </w:rPr>
        <w:t>：紧急提案可绕过常规投票周期，但门槛需明确。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必要性</w:t>
      </w:r>
      <w:r>
        <w:rPr>
          <w:rFonts w:eastAsia="等线" w:ascii="Arial" w:cs="Arial" w:hAnsi="Arial"/>
          <w:sz w:val="22"/>
        </w:rPr>
        <w:t>：需宪法法院绝对多数同意（建议7/9）方可启用紧急通道。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具体内容</w:t>
      </w:r>
      <w:r>
        <w:rPr>
          <w:rFonts w:eastAsia="等线" w:ascii="Arial" w:cs="Arial" w:hAnsi="Arial"/>
          <w:sz w:val="22"/>
        </w:rPr>
        <w:t>：紧急提案需由≥7名法官签署紧急令状，投票期缩短至24小时，执行时间锁≤1小时。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9" w:id="19"/>
      <w:r>
        <w:rPr>
          <w:rFonts w:eastAsia="等线" w:ascii="Arial" w:cs="Arial" w:hAnsi="Arial"/>
          <w:b w:val="true"/>
          <w:sz w:val="30"/>
        </w:rPr>
        <w:t>42. 条款 CONSTITUTIONAL_HASH_SYNC</w:t>
      </w:r>
      <w:bookmarkEnd w:id="19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800"/>
        <w:gridCol w:w="6000"/>
      </w:tblGrid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字段</w:t>
            </w:r>
          </w:p>
        </w:tc>
        <w:tc>
          <w:tcPr>
            <w:tcW w:w="6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内容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层级</w:t>
            </w:r>
          </w:p>
        </w:tc>
        <w:tc>
          <w:tcPr>
            <w:tcW w:w="6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战术级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治理门槛</w:t>
            </w:r>
          </w:p>
        </w:tc>
        <w:tc>
          <w:tcPr>
            <w:tcW w:w="6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≥51%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建议批次</w:t>
            </w:r>
          </w:p>
        </w:tc>
        <w:tc>
          <w:tcPr>
            <w:tcW w:w="6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第一批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背景</w:t>
      </w:r>
      <w:r>
        <w:rPr>
          <w:rFonts w:eastAsia="等线" w:ascii="Arial" w:cs="Arial" w:hAnsi="Arial"/>
          <w:sz w:val="22"/>
        </w:rPr>
        <w:t>：CBPP要求节点必须同步宪法哈希，但未明文写入宪法。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必要性</w:t>
      </w:r>
      <w:r>
        <w:rPr>
          <w:rFonts w:eastAsia="等线" w:ascii="Arial" w:cs="Arial" w:hAnsi="Arial"/>
          <w:sz w:val="22"/>
        </w:rPr>
        <w:t>：将技术规范上升为宪法义务，防止节点故意运行旧版本。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具体内容</w:t>
      </w:r>
      <w:r>
        <w:rPr>
          <w:rFonts w:eastAsia="等线" w:ascii="Arial" w:cs="Arial" w:hAnsi="Arial"/>
          <w:sz w:val="22"/>
        </w:rPr>
        <w:t>：全节点必须每纪元同步宪法状态根；拒绝与当前宪法哈希不符的区块。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0" w:id="20"/>
      <w:r>
        <w:rPr>
          <w:rFonts w:eastAsia="等线" w:ascii="Arial" w:cs="Arial" w:hAnsi="Arial"/>
          <w:b w:val="true"/>
          <w:sz w:val="36"/>
        </w:rPr>
        <w:t>第二批次提案（16条）</w:t>
      </w:r>
      <w:bookmarkEnd w:id="20"/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1" w:id="21"/>
      <w:r>
        <w:rPr>
          <w:rFonts w:eastAsia="等线" w:ascii="Arial" w:cs="Arial" w:hAnsi="Arial"/>
          <w:b w:val="true"/>
          <w:sz w:val="32"/>
        </w:rPr>
        <w:t>二、共识层CBPP（6条）</w:t>
      </w:r>
      <w:bookmarkEnd w:id="21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22" w:id="22"/>
      <w:r>
        <w:rPr>
          <w:rFonts w:eastAsia="等线" w:ascii="Arial" w:cs="Arial" w:hAnsi="Arial"/>
          <w:b w:val="true"/>
          <w:sz w:val="30"/>
        </w:rPr>
        <w:t>13. CBP_HARDWARE_MIN</w:t>
      </w:r>
      <w:bookmarkEnd w:id="22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800"/>
        <w:gridCol w:w="6000"/>
      </w:tblGrid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字段</w:t>
            </w:r>
          </w:p>
        </w:tc>
        <w:tc>
          <w:tcPr>
            <w:tcW w:w="6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内容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层级</w:t>
            </w:r>
          </w:p>
        </w:tc>
        <w:tc>
          <w:tcPr>
            <w:tcW w:w="6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战术级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治理门槛</w:t>
            </w:r>
          </w:p>
        </w:tc>
        <w:tc>
          <w:tcPr>
            <w:tcW w:w="6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≥51%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建议批次</w:t>
            </w:r>
          </w:p>
        </w:tc>
        <w:tc>
          <w:tcPr>
            <w:tcW w:w="6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第二批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背景</w:t>
      </w:r>
      <w:r>
        <w:rPr>
          <w:rFonts w:eastAsia="等线" w:ascii="Arial" w:cs="Arial" w:hAnsi="Arial"/>
          <w:sz w:val="22"/>
        </w:rPr>
        <w:t>：CBP节点仅需通过链上答题注册，无硬件最低要求，低性能节点可能拖慢区块传播。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必要性</w:t>
      </w:r>
      <w:r>
        <w:rPr>
          <w:rFonts w:eastAsia="等线" w:ascii="Arial" w:cs="Arial" w:hAnsi="Arial"/>
          <w:sz w:val="22"/>
        </w:rPr>
        <w:t>：设定基准硬件（如4核CPU、16GB RAM、500Mbps带宽），保障网络基本性能。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具体内容</w:t>
      </w:r>
      <w:r>
        <w:rPr>
          <w:rFonts w:eastAsia="等线" w:ascii="Arial" w:cs="Arial" w:hAnsi="Arial"/>
          <w:sz w:val="22"/>
        </w:rPr>
        <w:t>：注册CBP时必须提交硬件证明（第三方测试签名），不达标者无法激活。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风险与缓解</w:t>
      </w:r>
      <w:r>
        <w:rPr>
          <w:rFonts w:eastAsia="等线" w:ascii="Arial" w:cs="Arial" w:hAnsi="Arial"/>
          <w:sz w:val="22"/>
        </w:rPr>
        <w:t>：硬件标准随时代提升，条款应授权技术委员会每两年评估一次，并可通过战术级提案调整。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23" w:id="23"/>
      <w:r>
        <w:rPr>
          <w:rFonts w:eastAsia="等线" w:ascii="Arial" w:cs="Arial" w:hAnsi="Arial"/>
          <w:b w:val="true"/>
          <w:sz w:val="30"/>
        </w:rPr>
        <w:t>14. CBP_GEO_DIVERSITY</w:t>
      </w:r>
      <w:bookmarkEnd w:id="23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800"/>
        <w:gridCol w:w="6000"/>
      </w:tblGrid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字段</w:t>
            </w:r>
          </w:p>
        </w:tc>
        <w:tc>
          <w:tcPr>
            <w:tcW w:w="6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内容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层级</w:t>
            </w:r>
          </w:p>
        </w:tc>
        <w:tc>
          <w:tcPr>
            <w:tcW w:w="6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战略级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治理门槛</w:t>
            </w:r>
          </w:p>
        </w:tc>
        <w:tc>
          <w:tcPr>
            <w:tcW w:w="6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≥66%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建议批次</w:t>
            </w:r>
          </w:p>
        </w:tc>
        <w:tc>
          <w:tcPr>
            <w:tcW w:w="6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第二批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背景</w:t>
      </w:r>
      <w:r>
        <w:rPr>
          <w:rFonts w:eastAsia="等线" w:ascii="Arial" w:cs="Arial" w:hAnsi="Arial"/>
          <w:sz w:val="22"/>
        </w:rPr>
        <w:t>：CBP节点可能过度集中于同一地区，造成单点灾难风险。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必要性</w:t>
      </w:r>
      <w:r>
        <w:rPr>
          <w:rFonts w:eastAsia="等线" w:ascii="Arial" w:cs="Arial" w:hAnsi="Arial"/>
          <w:sz w:val="22"/>
        </w:rPr>
        <w:t>：强制活跃CBP列表在各大洲的分布比例（如亚洲≤40%、北美≤40%、欧洲≥20%）。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具体内容</w:t>
      </w:r>
      <w:r>
        <w:rPr>
          <w:rFonts w:eastAsia="等线" w:ascii="Arial" w:cs="Arial" w:hAnsi="Arial"/>
          <w:sz w:val="22"/>
        </w:rPr>
        <w:t>：GIDS记录节点地理位置；治理委员会每季度审查，对过度集中的节点动态调整出块权重。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24" w:id="24"/>
      <w:r>
        <w:rPr>
          <w:rFonts w:eastAsia="等线" w:ascii="Arial" w:cs="Arial" w:hAnsi="Arial"/>
          <w:b w:val="true"/>
          <w:sz w:val="30"/>
        </w:rPr>
        <w:t>15. RECEIPT_WEIGHT_FORMULA</w:t>
      </w:r>
      <w:bookmarkEnd w:id="24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800"/>
        <w:gridCol w:w="6000"/>
      </w:tblGrid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字段</w:t>
            </w:r>
          </w:p>
        </w:tc>
        <w:tc>
          <w:tcPr>
            <w:tcW w:w="6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内容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层级</w:t>
            </w:r>
          </w:p>
        </w:tc>
        <w:tc>
          <w:tcPr>
            <w:tcW w:w="6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战略级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治理门槛</w:t>
            </w:r>
          </w:p>
        </w:tc>
        <w:tc>
          <w:tcPr>
            <w:tcW w:w="6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≥66%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建议批次</w:t>
            </w:r>
          </w:p>
        </w:tc>
        <w:tc>
          <w:tcPr>
            <w:tcW w:w="6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第二批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背景</w:t>
      </w:r>
      <w:r>
        <w:rPr>
          <w:rFonts w:eastAsia="等线" w:ascii="Arial" w:cs="Arial" w:hAnsi="Arial"/>
          <w:sz w:val="22"/>
        </w:rPr>
        <w:t>：收据权重是分叉选择的核心，目前仅描述性定义，无精确公式。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必要性</w:t>
      </w:r>
      <w:r>
        <w:rPr>
          <w:rFonts w:eastAsia="等线" w:ascii="Arial" w:cs="Arial" w:hAnsi="Arial"/>
          <w:sz w:val="22"/>
        </w:rPr>
        <w:t>：将权重计算公式宪法化，防止未来通过调整系数隐性改变共识。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具体内容</w:t>
      </w:r>
      <w:r>
        <w:rPr>
          <w:rFonts w:eastAsia="等线" w:ascii="Arial" w:cs="Arial" w:hAnsi="Arial"/>
          <w:sz w:val="22"/>
        </w:rPr>
        <w:t>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ncl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weight = base(1000) + tx.fee + type_weight(method_id) + compliance_weight(clause_index)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各系数值由宪法附录B定期更新（战术级）。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25" w:id="25"/>
      <w:r>
        <w:rPr>
          <w:rFonts w:eastAsia="等线" w:ascii="Arial" w:cs="Arial" w:hAnsi="Arial"/>
          <w:b w:val="true"/>
          <w:sz w:val="30"/>
        </w:rPr>
        <w:t>16. BLOCK_PROPAGATION_TIMEOUT</w:t>
      </w:r>
      <w:bookmarkEnd w:id="25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800"/>
        <w:gridCol w:w="6000"/>
      </w:tblGrid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字段</w:t>
            </w:r>
          </w:p>
        </w:tc>
        <w:tc>
          <w:tcPr>
            <w:tcW w:w="6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内容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层级</w:t>
            </w:r>
          </w:p>
        </w:tc>
        <w:tc>
          <w:tcPr>
            <w:tcW w:w="6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战术级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治理门槛</w:t>
            </w:r>
          </w:p>
        </w:tc>
        <w:tc>
          <w:tcPr>
            <w:tcW w:w="6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≥51%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建议批次</w:t>
            </w:r>
          </w:p>
        </w:tc>
        <w:tc>
          <w:tcPr>
            <w:tcW w:w="6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第二批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背景</w:t>
      </w:r>
      <w:r>
        <w:rPr>
          <w:rFonts w:eastAsia="等线" w:ascii="Arial" w:cs="Arial" w:hAnsi="Arial"/>
          <w:sz w:val="22"/>
        </w:rPr>
        <w:t>：网络延迟可能导致同一轮次出现大量无效分叉，浪费算力。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必要性</w:t>
      </w:r>
      <w:r>
        <w:rPr>
          <w:rFonts w:eastAsia="等线" w:ascii="Arial" w:cs="Arial" w:hAnsi="Arial"/>
          <w:sz w:val="22"/>
        </w:rPr>
        <w:t>：节点在收到某区块后，若在`PROP_TIMEOUT`内未收到其他竞争区块，则不再接受该轮次的其他分支。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具体内容</w:t>
      </w:r>
      <w:r>
        <w:rPr>
          <w:rFonts w:eastAsia="等线" w:ascii="Arial" w:cs="Arial" w:hAnsi="Arial"/>
          <w:sz w:val="22"/>
        </w:rPr>
        <w:t>：</w:t>
      </w:r>
      <w:r>
        <w:rPr>
          <w:rFonts w:eastAsia="Consolas" w:ascii="Consolas" w:cs="Consolas" w:hAnsi="Consolas"/>
          <w:sz w:val="22"/>
          <w:shd w:fill="EFF0F1"/>
        </w:rPr>
        <w:t>PROP_TIMEOUT = 2 × Δt_max</w:t>
      </w:r>
      <w:r>
        <w:rPr>
          <w:rFonts w:eastAsia="等线" w:ascii="Arial" w:cs="Arial" w:hAnsi="Arial"/>
          <w:sz w:val="22"/>
        </w:rPr>
        <w:t>，默认4秒。</w:t>
      </w:r>
    </w:p>
    <w:p>
      <w:pPr>
        <w:spacing w:before="120" w:after="120" w:line="288" w:lineRule="auto"/>
        <w:ind w:left="0"/>
        <w:jc w:val="left"/>
      </w:pP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spacing w:before="120" w:after="120" w:line="288" w:lineRule="auto"/>
        <w:ind w:left="0"/>
        <w:jc w:val="left"/>
      </w:pPr>
    </w:p>
    <w:p>
      <w:pPr>
        <w:pStyle w:val="4"/>
        <w:spacing w:before="260" w:after="120" w:line="288" w:lineRule="auto"/>
        <w:ind w:left="0"/>
        <w:jc w:val="left"/>
        <w:outlineLvl w:val="3"/>
      </w:pPr>
      <w:bookmarkStart w:name="heading_26" w:id="26"/>
      <w:r>
        <w:rPr>
          <w:rFonts w:eastAsia="等线" w:ascii="Arial" w:cs="Arial" w:hAnsi="Arial"/>
          <w:b w:val="true"/>
          <w:sz w:val="28"/>
        </w:rPr>
        <w:t xml:space="preserve">17. </w:t>
      </w:r>
      <w:r>
        <w:rPr>
          <w:rFonts w:eastAsia="Consolas" w:ascii="Consolas" w:cs="Consolas" w:hAnsi="Consolas"/>
          <w:b w:val="true"/>
          <w:sz w:val="28"/>
          <w:shd w:fill="EFF0F1"/>
        </w:rPr>
        <w:t>EMERGENCY_BLOCK_STOP</w:t>
      </w:r>
      <w:bookmarkEnd w:id="26"/>
    </w:p>
    <w:p>
      <w:pPr>
        <w:spacing w:before="120" w:after="120" w:line="288" w:lineRule="auto"/>
        <w:ind w:left="0"/>
        <w:jc w:val="left"/>
      </w:pP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3000"/>
        <w:gridCol w:w="3000"/>
      </w:tblGrid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字段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内容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层级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战略级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治理门槛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≥75%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建议批次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第二批</w:t>
            </w:r>
          </w:p>
        </w:tc>
      </w:tr>
    </w:tbl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背景</w:t>
      </w:r>
      <w:r>
        <w:rPr>
          <w:rFonts w:eastAsia="等线" w:ascii="Arial" w:cs="Arial" w:hAnsi="Arial"/>
          <w:sz w:val="22"/>
        </w:rPr>
        <w:t>：重大漏洞或攻击时，需要立即停止区块生产。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必要性</w:t>
      </w:r>
      <w:r>
        <w:rPr>
          <w:rFonts w:eastAsia="等线" w:ascii="Arial" w:cs="Arial" w:hAnsi="Arial"/>
          <w:sz w:val="22"/>
        </w:rPr>
        <w:t>：授权宪法法院发布**区块暂停令**，全网节点必须在30秒内停止出块。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具体内容</w:t>
      </w:r>
      <w:r>
        <w:rPr>
          <w:rFonts w:eastAsia="等线" w:ascii="Arial" w:cs="Arial" w:hAnsi="Arial"/>
          <w:sz w:val="22"/>
        </w:rPr>
        <w:t>：暂停令需7/9法官签署，广播至全网；最长持续72小时，每次续期需重新签署。</w:t>
      </w:r>
    </w:p>
    <w:p>
      <w:pPr>
        <w:spacing w:before="120" w:after="120" w:line="288" w:lineRule="auto"/>
        <w:ind w:left="0"/>
        <w:jc w:val="left"/>
      </w:pP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spacing w:before="120" w:after="120" w:line="288" w:lineRule="auto"/>
        <w:ind w:left="0"/>
        <w:jc w:val="left"/>
      </w:pPr>
    </w:p>
    <w:p>
      <w:pPr>
        <w:pStyle w:val="4"/>
        <w:spacing w:before="260" w:after="120" w:line="288" w:lineRule="auto"/>
        <w:ind w:left="0"/>
        <w:jc w:val="left"/>
        <w:outlineLvl w:val="3"/>
      </w:pPr>
      <w:bookmarkStart w:name="heading_27" w:id="27"/>
      <w:r>
        <w:rPr>
          <w:rFonts w:eastAsia="等线" w:ascii="Arial" w:cs="Arial" w:hAnsi="Arial"/>
          <w:b w:val="true"/>
          <w:sz w:val="28"/>
        </w:rPr>
        <w:t xml:space="preserve">18. </w:t>
      </w:r>
      <w:r>
        <w:rPr>
          <w:rFonts w:eastAsia="Consolas" w:ascii="Consolas" w:cs="Consolas" w:hAnsi="Consolas"/>
          <w:b w:val="true"/>
          <w:sz w:val="28"/>
          <w:shd w:fill="EFF0F1"/>
        </w:rPr>
        <w:t>CBPP_UPGRADE_COORDINATION</w:t>
      </w:r>
      <w:bookmarkEnd w:id="27"/>
    </w:p>
    <w:p>
      <w:pPr>
        <w:spacing w:before="120" w:after="120" w:line="288" w:lineRule="auto"/>
        <w:ind w:left="0"/>
        <w:jc w:val="left"/>
      </w:pP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3000"/>
        <w:gridCol w:w="3000"/>
      </w:tblGrid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字段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内容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层级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战术级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治理门槛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≥51%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建议批次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第二批</w:t>
            </w:r>
          </w:p>
        </w:tc>
      </w:tr>
    </w:tbl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背景</w:t>
      </w:r>
      <w:r>
        <w:rPr>
          <w:rFonts w:eastAsia="等线" w:ascii="Arial" w:cs="Arial" w:hAnsi="Arial"/>
          <w:sz w:val="22"/>
        </w:rPr>
        <w:t>：CBPP协议升级通过UDM热加载，但节点可能因版本不同步产生临时分叉。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必要性</w:t>
      </w:r>
      <w:r>
        <w:rPr>
          <w:rFonts w:eastAsia="等线" w:ascii="Arial" w:cs="Arial" w:hAnsi="Arial"/>
          <w:sz w:val="22"/>
        </w:rPr>
        <w:t>：规定升级激活高度需≥85%节点就绪；未升级节点自动降级为只读全节点。</w:t>
      </w:r>
    </w:p>
    <w:p>
      <w:pPr>
        <w:spacing w:before="120" w:after="120" w:line="288" w:lineRule="auto"/>
        <w:ind w:left="0"/>
        <w:jc w:val="left"/>
      </w:pP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spacing w:before="120" w:after="120" w:line="288" w:lineRule="auto"/>
        <w:ind w:left="0"/>
        <w:jc w:val="left"/>
      </w:pP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28" w:id="28"/>
      <w:r>
        <w:rPr>
          <w:rFonts w:eastAsia="等线" w:ascii="Arial" w:cs="Arial" w:hAnsi="Arial"/>
          <w:b w:val="true"/>
          <w:sz w:val="30"/>
        </w:rPr>
        <w:t>三、网络层CSNP（5条）</w:t>
      </w:r>
      <w:bookmarkEnd w:id="28"/>
    </w:p>
    <w:p>
      <w:pPr>
        <w:spacing w:before="120" w:after="120" w:line="288" w:lineRule="auto"/>
        <w:ind w:left="0"/>
        <w:jc w:val="left"/>
      </w:pPr>
    </w:p>
    <w:p>
      <w:pPr>
        <w:pStyle w:val="4"/>
        <w:spacing w:before="260" w:after="120" w:line="288" w:lineRule="auto"/>
        <w:ind w:left="0"/>
        <w:jc w:val="left"/>
        <w:outlineLvl w:val="3"/>
      </w:pPr>
      <w:bookmarkStart w:name="heading_29" w:id="29"/>
      <w:r>
        <w:rPr>
          <w:rFonts w:eastAsia="等线" w:ascii="Arial" w:cs="Arial" w:hAnsi="Arial"/>
          <w:b w:val="true"/>
          <w:sz w:val="28"/>
        </w:rPr>
        <w:t xml:space="preserve">19. </w:t>
      </w:r>
      <w:r>
        <w:rPr>
          <w:rFonts w:eastAsia="Consolas" w:ascii="Consolas" w:cs="Consolas" w:hAnsi="Consolas"/>
          <w:b w:val="true"/>
          <w:sz w:val="28"/>
          <w:shd w:fill="EFF0F1"/>
        </w:rPr>
        <w:t>GNACS_STRATEGY_OVERRIDE</w:t>
      </w:r>
      <w:bookmarkEnd w:id="29"/>
    </w:p>
    <w:p>
      <w:pPr>
        <w:spacing w:before="120" w:after="120" w:line="288" w:lineRule="auto"/>
        <w:ind w:left="0"/>
        <w:jc w:val="left"/>
      </w:pP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3000"/>
        <w:gridCol w:w="3000"/>
      </w:tblGrid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字段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内容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层级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战略级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治理门槛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≥66%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建议批次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第二批</w:t>
            </w:r>
          </w:p>
        </w:tc>
      </w:tr>
    </w:tbl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背景</w:t>
      </w:r>
      <w:r>
        <w:rPr>
          <w:rFonts w:eastAsia="等线" w:ascii="Arial" w:cs="Arial" w:hAnsi="Arial"/>
          <w:sz w:val="22"/>
        </w:rPr>
        <w:t>：GNACS传播策略矩阵由宪法附录定义，但紧急情况下需快速修改（如资产被制裁）。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必要性</w:t>
      </w:r>
      <w:r>
        <w:rPr>
          <w:rFonts w:eastAsia="等线" w:ascii="Arial" w:cs="Arial" w:hAnsi="Arial"/>
          <w:sz w:val="22"/>
        </w:rPr>
        <w:t>：授权风险委员会与宪法法院联合签发**临时策略覆盖令**，有效期≤7天。</w:t>
      </w:r>
    </w:p>
    <w:p>
      <w:pPr>
        <w:spacing w:before="120" w:after="120" w:line="288" w:lineRule="auto"/>
        <w:ind w:left="0"/>
        <w:jc w:val="left"/>
      </w:pP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spacing w:before="120" w:after="120" w:line="288" w:lineRule="auto"/>
        <w:ind w:left="0"/>
        <w:jc w:val="left"/>
      </w:pPr>
    </w:p>
    <w:p>
      <w:pPr>
        <w:pStyle w:val="4"/>
        <w:spacing w:before="260" w:after="120" w:line="288" w:lineRule="auto"/>
        <w:ind w:left="0"/>
        <w:jc w:val="left"/>
        <w:outlineLvl w:val="3"/>
      </w:pPr>
      <w:bookmarkStart w:name="heading_30" w:id="30"/>
      <w:r>
        <w:rPr>
          <w:rFonts w:eastAsia="等线" w:ascii="Arial" w:cs="Arial" w:hAnsi="Arial"/>
          <w:b w:val="true"/>
          <w:sz w:val="28"/>
        </w:rPr>
        <w:t xml:space="preserve">20. </w:t>
      </w:r>
      <w:r>
        <w:rPr>
          <w:rFonts w:eastAsia="Consolas" w:ascii="Consolas" w:cs="Consolas" w:hAnsi="Consolas"/>
          <w:b w:val="true"/>
          <w:sz w:val="28"/>
          <w:shd w:fill="EFF0F1"/>
        </w:rPr>
        <w:t>CROSS_CHAIN_RELAY_BOND</w:t>
      </w:r>
      <w:bookmarkEnd w:id="30"/>
    </w:p>
    <w:p>
      <w:pPr>
        <w:spacing w:before="120" w:after="120" w:line="288" w:lineRule="auto"/>
        <w:ind w:left="0"/>
        <w:jc w:val="left"/>
      </w:pP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3000"/>
        <w:gridCol w:w="3000"/>
      </w:tblGrid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字段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内容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层级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战略级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治理门槛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≥66%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建议批次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第二批</w:t>
            </w:r>
          </w:p>
        </w:tc>
      </w:tr>
    </w:tbl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背景</w:t>
      </w:r>
      <w:r>
        <w:rPr>
          <w:rFonts w:eastAsia="等线" w:ascii="Arial" w:cs="Arial" w:hAnsi="Arial"/>
          <w:sz w:val="22"/>
        </w:rPr>
        <w:t>：跨链中继节点目前仅需注册DID，无经济惩罚机制。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必要性</w:t>
      </w:r>
      <w:r>
        <w:rPr>
          <w:rFonts w:eastAsia="等线" w:ascii="Arial" w:cs="Arial" w:hAnsi="Arial"/>
          <w:sz w:val="22"/>
        </w:rPr>
        <w:t>：最低质押50万XIC，作恶罚没30%并暂停资格。</w:t>
      </w:r>
    </w:p>
    <w:p>
      <w:pPr>
        <w:spacing w:before="120" w:after="120" w:line="288" w:lineRule="auto"/>
        <w:ind w:left="0"/>
        <w:jc w:val="left"/>
      </w:pP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spacing w:before="120" w:after="120" w:line="288" w:lineRule="auto"/>
        <w:ind w:left="0"/>
        <w:jc w:val="left"/>
      </w:pPr>
    </w:p>
    <w:p>
      <w:pPr>
        <w:pStyle w:val="4"/>
        <w:spacing w:before="260" w:after="120" w:line="288" w:lineRule="auto"/>
        <w:ind w:left="0"/>
        <w:jc w:val="left"/>
        <w:outlineLvl w:val="3"/>
      </w:pPr>
      <w:bookmarkStart w:name="heading_31" w:id="31"/>
      <w:r>
        <w:rPr>
          <w:rFonts w:eastAsia="等线" w:ascii="Arial" w:cs="Arial" w:hAnsi="Arial"/>
          <w:b w:val="true"/>
          <w:sz w:val="28"/>
        </w:rPr>
        <w:t xml:space="preserve">21. </w:t>
      </w:r>
      <w:r>
        <w:rPr>
          <w:rFonts w:eastAsia="Consolas" w:ascii="Consolas" w:cs="Consolas" w:hAnsi="Consolas"/>
          <w:b w:val="true"/>
          <w:sz w:val="28"/>
          <w:shd w:fill="EFF0F1"/>
        </w:rPr>
        <w:t>UCA_DATA_RETENTION</w:t>
      </w:r>
      <w:bookmarkEnd w:id="31"/>
    </w:p>
    <w:p>
      <w:pPr>
        <w:spacing w:before="120" w:after="120" w:line="288" w:lineRule="auto"/>
        <w:ind w:left="0"/>
        <w:jc w:val="left"/>
      </w:pP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3000"/>
        <w:gridCol w:w="3000"/>
      </w:tblGrid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字段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内容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层级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战术级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治理门槛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≥51%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建议批次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第二批</w:t>
            </w:r>
          </w:p>
        </w:tc>
      </w:tr>
    </w:tbl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背景</w:t>
      </w:r>
      <w:r>
        <w:rPr>
          <w:rFonts w:eastAsia="等线" w:ascii="Arial" w:cs="Arial" w:hAnsi="Arial"/>
          <w:sz w:val="22"/>
        </w:rPr>
        <w:t>：网络行为收据永久存储成本高昂。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必要性</w:t>
      </w:r>
      <w:r>
        <w:rPr>
          <w:rFonts w:eastAsia="等线" w:ascii="Arial" w:cs="Arial" w:hAnsi="Arial"/>
          <w:sz w:val="22"/>
        </w:rPr>
        <w:t>：收据哈希仅需保存1年，原始证据数据可归档至IPFS/Arweave。</w:t>
      </w:r>
    </w:p>
    <w:p>
      <w:pPr>
        <w:spacing w:before="120" w:after="120" w:line="288" w:lineRule="auto"/>
        <w:ind w:left="0"/>
        <w:jc w:val="left"/>
      </w:pP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spacing w:before="120" w:after="120" w:line="288" w:lineRule="auto"/>
        <w:ind w:left="0"/>
        <w:jc w:val="left"/>
      </w:pPr>
    </w:p>
    <w:p>
      <w:pPr>
        <w:pStyle w:val="4"/>
        <w:spacing w:before="260" w:after="120" w:line="288" w:lineRule="auto"/>
        <w:ind w:left="0"/>
        <w:jc w:val="left"/>
        <w:outlineLvl w:val="3"/>
      </w:pPr>
      <w:bookmarkStart w:name="heading_32" w:id="32"/>
      <w:r>
        <w:rPr>
          <w:rFonts w:eastAsia="等线" w:ascii="Arial" w:cs="Arial" w:hAnsi="Arial"/>
          <w:b w:val="true"/>
          <w:sz w:val="28"/>
        </w:rPr>
        <w:t xml:space="preserve">22. </w:t>
      </w:r>
      <w:r>
        <w:rPr>
          <w:rFonts w:eastAsia="Consolas" w:ascii="Consolas" w:cs="Consolas" w:hAnsi="Consolas"/>
          <w:b w:val="true"/>
          <w:sz w:val="28"/>
          <w:shd w:fill="EFF0F1"/>
        </w:rPr>
        <w:t>NETWORK_PARTITION_RECOVERY</w:t>
      </w:r>
      <w:bookmarkEnd w:id="32"/>
    </w:p>
    <w:p>
      <w:pPr>
        <w:spacing w:before="120" w:after="120" w:line="288" w:lineRule="auto"/>
        <w:ind w:left="0"/>
        <w:jc w:val="left"/>
      </w:pP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3000"/>
        <w:gridCol w:w="3000"/>
      </w:tblGrid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字段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内容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层级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战略级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治理门槛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≥66%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建议批次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第二批</w:t>
            </w:r>
          </w:p>
        </w:tc>
      </w:tr>
    </w:tbl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背景</w:t>
      </w:r>
      <w:r>
        <w:rPr>
          <w:rFonts w:eastAsia="等线" w:ascii="Arial" w:cs="Arial" w:hAnsi="Arial"/>
          <w:sz w:val="22"/>
        </w:rPr>
        <w:t>：网络分区后，两边的链均合法，但合并时需明确分叉选择规则。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必要性</w:t>
      </w:r>
      <w:r>
        <w:rPr>
          <w:rFonts w:eastAsia="等线" w:ascii="Arial" w:cs="Arial" w:hAnsi="Arial"/>
          <w:sz w:val="22"/>
        </w:rPr>
        <w:t>：强制节点在重连后**选择收据权重累计更高的链**，并丢弃另一分支。</w:t>
      </w:r>
    </w:p>
    <w:p>
      <w:pPr>
        <w:spacing w:before="120" w:after="120" w:line="288" w:lineRule="auto"/>
        <w:ind w:left="0"/>
        <w:jc w:val="left"/>
      </w:pP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spacing w:before="120" w:after="120" w:line="288" w:lineRule="auto"/>
        <w:ind w:left="0"/>
        <w:jc w:val="left"/>
      </w:pPr>
    </w:p>
    <w:p>
      <w:pPr>
        <w:pStyle w:val="4"/>
        <w:spacing w:before="260" w:after="120" w:line="288" w:lineRule="auto"/>
        <w:ind w:left="0"/>
        <w:jc w:val="left"/>
        <w:outlineLvl w:val="3"/>
      </w:pPr>
      <w:bookmarkStart w:name="heading_33" w:id="33"/>
      <w:r>
        <w:rPr>
          <w:rFonts w:eastAsia="等线" w:ascii="Arial" w:cs="Arial" w:hAnsi="Arial"/>
          <w:b w:val="true"/>
          <w:sz w:val="28"/>
        </w:rPr>
        <w:t xml:space="preserve">23. </w:t>
      </w:r>
      <w:r>
        <w:rPr>
          <w:rFonts w:eastAsia="Consolas" w:ascii="Consolas" w:cs="Consolas" w:hAnsi="Consolas"/>
          <w:b w:val="true"/>
          <w:sz w:val="28"/>
          <w:shd w:fill="EFF0F1"/>
        </w:rPr>
        <w:t>FTAN_AGGREGATOR_ELIGIBILITY</w:t>
      </w:r>
      <w:bookmarkEnd w:id="33"/>
    </w:p>
    <w:p>
      <w:pPr>
        <w:spacing w:before="120" w:after="120" w:line="288" w:lineRule="auto"/>
        <w:ind w:left="0"/>
        <w:jc w:val="left"/>
      </w:pP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3000"/>
        <w:gridCol w:w="3000"/>
      </w:tblGrid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字段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内容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层级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战术级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治理门槛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≥51%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建议批次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第二批</w:t>
            </w:r>
          </w:p>
        </w:tc>
      </w:tr>
    </w:tbl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背景</w:t>
      </w:r>
      <w:r>
        <w:rPr>
          <w:rFonts w:eastAsia="等线" w:ascii="Arial" w:cs="Arial" w:hAnsi="Arial"/>
          <w:sz w:val="22"/>
        </w:rPr>
        <w:t>：任何节点均可宣称成为聚合节点，可能导致垃圾聚合包。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必要性</w:t>
      </w:r>
      <w:r>
        <w:rPr>
          <w:rFonts w:eastAsia="等线" w:ascii="Arial" w:cs="Arial" w:hAnsi="Arial"/>
          <w:sz w:val="22"/>
        </w:rPr>
        <w:t>：聚合节点需质押10万XIC，且连续7天有效聚合率≥90%。</w:t>
      </w:r>
    </w:p>
    <w:p>
      <w:pPr>
        <w:spacing w:before="120" w:after="120" w:line="288" w:lineRule="auto"/>
        <w:ind w:left="0"/>
        <w:jc w:val="left"/>
      </w:pP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spacing w:before="120" w:after="120" w:line="288" w:lineRule="auto"/>
        <w:ind w:left="0"/>
        <w:jc w:val="left"/>
      </w:pP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34" w:id="34"/>
      <w:r>
        <w:rPr>
          <w:rFonts w:eastAsia="等线" w:ascii="Arial" w:cs="Arial" w:hAnsi="Arial"/>
          <w:b w:val="true"/>
          <w:sz w:val="30"/>
        </w:rPr>
        <w:t>四、稳定币与储备（5条）</w:t>
      </w:r>
      <w:bookmarkEnd w:id="34"/>
    </w:p>
    <w:p>
      <w:pPr>
        <w:spacing w:before="120" w:after="120" w:line="288" w:lineRule="auto"/>
        <w:ind w:left="0"/>
        <w:jc w:val="left"/>
      </w:pPr>
    </w:p>
    <w:p>
      <w:pPr>
        <w:pStyle w:val="4"/>
        <w:spacing w:before="260" w:after="120" w:line="288" w:lineRule="auto"/>
        <w:ind w:left="0"/>
        <w:jc w:val="left"/>
        <w:outlineLvl w:val="3"/>
      </w:pPr>
      <w:bookmarkStart w:name="heading_35" w:id="35"/>
      <w:r>
        <w:rPr>
          <w:rFonts w:eastAsia="等线" w:ascii="Arial" w:cs="Arial" w:hAnsi="Arial"/>
          <w:b w:val="true"/>
          <w:sz w:val="28"/>
        </w:rPr>
        <w:t xml:space="preserve">24. </w:t>
      </w:r>
      <w:r>
        <w:rPr>
          <w:rFonts w:eastAsia="Consolas" w:ascii="Consolas" w:cs="Consolas" w:hAnsi="Consolas"/>
          <w:b w:val="true"/>
          <w:sz w:val="28"/>
          <w:shd w:fill="EFF0F1"/>
        </w:rPr>
        <w:t>GOLD_RESERVE_AUDIT_FREQ</w:t>
      </w:r>
      <w:bookmarkEnd w:id="35"/>
    </w:p>
    <w:p>
      <w:pPr>
        <w:spacing w:before="120" w:after="120" w:line="288" w:lineRule="auto"/>
        <w:ind w:left="0"/>
        <w:jc w:val="left"/>
      </w:pP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3000"/>
        <w:gridCol w:w="3000"/>
      </w:tblGrid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字段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内容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层级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战略级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治理门槛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≥66%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建议批次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第二批</w:t>
            </w:r>
          </w:p>
        </w:tc>
      </w:tr>
    </w:tbl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背景</w:t>
      </w:r>
      <w:r>
        <w:rPr>
          <w:rFonts w:eastAsia="等线" w:ascii="Arial" w:cs="Arial" w:hAnsi="Arial"/>
          <w:sz w:val="22"/>
        </w:rPr>
        <w:t>：黄金储备已实现每日链上自审计，但第三方审计频率未固化。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必要性</w:t>
      </w:r>
      <w:r>
        <w:rPr>
          <w:rFonts w:eastAsia="等线" w:ascii="Arial" w:cs="Arial" w:hAnsi="Arial"/>
          <w:sz w:val="22"/>
        </w:rPr>
        <w:t>：每季度至少一次四大会计师事务所全面审计，报告公开。</w:t>
      </w:r>
    </w:p>
    <w:p>
      <w:pPr>
        <w:spacing w:before="120" w:after="120" w:line="288" w:lineRule="auto"/>
        <w:ind w:left="0"/>
        <w:jc w:val="left"/>
      </w:pP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spacing w:before="120" w:after="120" w:line="288" w:lineRule="auto"/>
        <w:ind w:left="0"/>
        <w:jc w:val="left"/>
      </w:pPr>
    </w:p>
    <w:p>
      <w:pPr>
        <w:pStyle w:val="4"/>
        <w:spacing w:before="260" w:after="120" w:line="288" w:lineRule="auto"/>
        <w:ind w:left="0"/>
        <w:jc w:val="left"/>
        <w:outlineLvl w:val="3"/>
      </w:pPr>
      <w:bookmarkStart w:name="heading_36" w:id="36"/>
      <w:r>
        <w:rPr>
          <w:rFonts w:eastAsia="等线" w:ascii="Arial" w:cs="Arial" w:hAnsi="Arial"/>
          <w:b w:val="true"/>
          <w:sz w:val="28"/>
        </w:rPr>
        <w:t xml:space="preserve">25. </w:t>
      </w:r>
      <w:r>
        <w:rPr>
          <w:rFonts w:eastAsia="Consolas" w:ascii="Consolas" w:cs="Consolas" w:hAnsi="Consolas"/>
          <w:b w:val="true"/>
          <w:sz w:val="28"/>
          <w:shd w:fill="EFF0F1"/>
        </w:rPr>
        <w:t>EXCHANGE_DEFAULT_INSURANCE</w:t>
      </w:r>
      <w:bookmarkEnd w:id="36"/>
    </w:p>
    <w:p>
      <w:pPr>
        <w:spacing w:before="120" w:after="120" w:line="288" w:lineRule="auto"/>
        <w:ind w:left="0"/>
        <w:jc w:val="left"/>
      </w:pP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3000"/>
        <w:gridCol w:w="3000"/>
      </w:tblGrid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字段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内容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层级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战略级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治理门槛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≥66%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建议批次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第二批</w:t>
            </w:r>
          </w:p>
        </w:tc>
      </w:tr>
    </w:tbl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背景</w:t>
      </w:r>
      <w:r>
        <w:rPr>
          <w:rFonts w:eastAsia="等线" w:ascii="Arial" w:cs="Arial" w:hAnsi="Arial"/>
          <w:sz w:val="22"/>
        </w:rPr>
        <w:t>：交易所违约风险是XTZH的最大威胁之一。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必要性</w:t>
      </w:r>
      <w:r>
        <w:rPr>
          <w:rFonts w:eastAsia="等线" w:ascii="Arial" w:cs="Arial" w:hAnsi="Arial"/>
          <w:sz w:val="22"/>
        </w:rPr>
        <w:t>：保险覆盖不得低于潜在损失的80%；若无法获得保险，单交易所持仓上限降至20%。</w:t>
      </w:r>
    </w:p>
    <w:p>
      <w:pPr>
        <w:spacing w:before="120" w:after="120" w:line="288" w:lineRule="auto"/>
        <w:ind w:left="0"/>
        <w:jc w:val="left"/>
      </w:pP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spacing w:before="120" w:after="120" w:line="288" w:lineRule="auto"/>
        <w:ind w:left="0"/>
        <w:jc w:val="left"/>
      </w:pPr>
    </w:p>
    <w:p>
      <w:pPr>
        <w:pStyle w:val="4"/>
        <w:spacing w:before="260" w:after="120" w:line="288" w:lineRule="auto"/>
        <w:ind w:left="0"/>
        <w:jc w:val="left"/>
        <w:outlineLvl w:val="3"/>
      </w:pPr>
      <w:bookmarkStart w:name="heading_37" w:id="37"/>
      <w:r>
        <w:rPr>
          <w:rFonts w:eastAsia="等线" w:ascii="Arial" w:cs="Arial" w:hAnsi="Arial"/>
          <w:b w:val="true"/>
          <w:sz w:val="28"/>
        </w:rPr>
        <w:t xml:space="preserve">26. </w:t>
      </w:r>
      <w:r>
        <w:rPr>
          <w:rFonts w:eastAsia="Consolas" w:ascii="Consolas" w:cs="Consolas" w:hAnsi="Consolas"/>
          <w:b w:val="true"/>
          <w:sz w:val="28"/>
          <w:shd w:fill="EFF0F1"/>
        </w:rPr>
        <w:t>XTZH_REDEMPTION_QUEUE_MAX_WAIT</w:t>
      </w:r>
      <w:bookmarkEnd w:id="37"/>
    </w:p>
    <w:p>
      <w:pPr>
        <w:spacing w:before="120" w:after="120" w:line="288" w:lineRule="auto"/>
        <w:ind w:left="0"/>
        <w:jc w:val="left"/>
      </w:pP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3000"/>
        <w:gridCol w:w="3000"/>
      </w:tblGrid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字段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内容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层级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战略级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治理门槛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≥66%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建议批次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第二批</w:t>
            </w:r>
          </w:p>
        </w:tc>
      </w:tr>
    </w:tbl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背景</w:t>
      </w:r>
      <w:r>
        <w:rPr>
          <w:rFonts w:eastAsia="等线" w:ascii="Arial" w:cs="Arial" w:hAnsi="Arial"/>
          <w:sz w:val="22"/>
        </w:rPr>
        <w:t>：宪法0.4条已规定赎回不可拒绝，但未量化最长等待时间。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必要性</w:t>
      </w:r>
      <w:r>
        <w:rPr>
          <w:rFonts w:eastAsia="等线" w:ascii="Arial" w:cs="Arial" w:hAnsi="Arial"/>
          <w:sz w:val="22"/>
        </w:rPr>
        <w:t>：宪法强制等待时间≤30天，且每日需公示队列长度。</w:t>
      </w:r>
    </w:p>
    <w:p>
      <w:pPr>
        <w:spacing w:before="120" w:after="120" w:line="288" w:lineRule="auto"/>
        <w:ind w:left="0"/>
        <w:jc w:val="left"/>
      </w:pP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spacing w:before="120" w:after="120" w:line="288" w:lineRule="auto"/>
        <w:ind w:left="0"/>
        <w:jc w:val="left"/>
      </w:pPr>
    </w:p>
    <w:p>
      <w:pPr>
        <w:pStyle w:val="4"/>
        <w:spacing w:before="260" w:after="120" w:line="288" w:lineRule="auto"/>
        <w:ind w:left="0"/>
        <w:jc w:val="left"/>
        <w:outlineLvl w:val="3"/>
      </w:pPr>
      <w:bookmarkStart w:name="heading_38" w:id="38"/>
      <w:r>
        <w:rPr>
          <w:rFonts w:eastAsia="等线" w:ascii="Arial" w:cs="Arial" w:hAnsi="Arial"/>
          <w:b w:val="true"/>
          <w:sz w:val="28"/>
        </w:rPr>
        <w:t xml:space="preserve">27. </w:t>
      </w:r>
      <w:r>
        <w:rPr>
          <w:rFonts w:eastAsia="Consolas" w:ascii="Consolas" w:cs="Consolas" w:hAnsi="Consolas"/>
          <w:b w:val="true"/>
          <w:sz w:val="28"/>
          <w:shd w:fill="EFF0F1"/>
        </w:rPr>
        <w:t>DYNAMIC_LEVERAGE_COEFFICIENT</w:t>
      </w:r>
      <w:bookmarkEnd w:id="38"/>
    </w:p>
    <w:p>
      <w:pPr>
        <w:spacing w:before="120" w:after="120" w:line="288" w:lineRule="auto"/>
        <w:ind w:left="0"/>
        <w:jc w:val="left"/>
      </w:pP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3000"/>
        <w:gridCol w:w="3000"/>
      </w:tblGrid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字段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内容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层级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战术级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治理门槛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≥51%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建议批次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第二批</w:t>
            </w:r>
          </w:p>
        </w:tc>
      </w:tr>
    </w:tbl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背景</w:t>
      </w:r>
      <w:r>
        <w:rPr>
          <w:rFonts w:eastAsia="等线" w:ascii="Arial" w:cs="Arial" w:hAnsi="Arial"/>
          <w:sz w:val="22"/>
        </w:rPr>
        <w:t>：波动率自适应杠杆公式中的基准参数（如基准波动率15%、调整系数0.6）需定期校准。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必要性</w:t>
      </w:r>
      <w:r>
        <w:rPr>
          <w:rFonts w:eastAsia="等线" w:ascii="Arial" w:cs="Arial" w:hAnsi="Arial"/>
          <w:sz w:val="22"/>
        </w:rPr>
        <w:t>：授权风险委员会每年校准一次，校准结果需治理备案。</w:t>
      </w:r>
    </w:p>
    <w:p>
      <w:pPr>
        <w:spacing w:before="120" w:after="120" w:line="288" w:lineRule="auto"/>
        <w:ind w:left="0"/>
        <w:jc w:val="left"/>
      </w:pP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spacing w:before="120" w:after="120" w:line="288" w:lineRule="auto"/>
        <w:ind w:left="0"/>
        <w:jc w:val="left"/>
      </w:pPr>
    </w:p>
    <w:p>
      <w:pPr>
        <w:pStyle w:val="4"/>
        <w:spacing w:before="260" w:after="120" w:line="288" w:lineRule="auto"/>
        <w:ind w:left="0"/>
        <w:jc w:val="left"/>
        <w:outlineLvl w:val="3"/>
      </w:pPr>
      <w:bookmarkStart w:name="heading_39" w:id="39"/>
      <w:r>
        <w:rPr>
          <w:rFonts w:eastAsia="等线" w:ascii="Arial" w:cs="Arial" w:hAnsi="Arial"/>
          <w:b w:val="true"/>
          <w:sz w:val="28"/>
        </w:rPr>
        <w:t xml:space="preserve">28. </w:t>
      </w:r>
      <w:r>
        <w:rPr>
          <w:rFonts w:eastAsia="Consolas" w:ascii="Consolas" w:cs="Consolas" w:hAnsi="Consolas"/>
          <w:b w:val="true"/>
          <w:sz w:val="28"/>
          <w:shd w:fill="EFF0F1"/>
        </w:rPr>
        <w:t>RESERVE_BUFFER_REPLENISH</w:t>
      </w:r>
      <w:bookmarkEnd w:id="39"/>
    </w:p>
    <w:p>
      <w:pPr>
        <w:spacing w:before="120" w:after="120" w:line="288" w:lineRule="auto"/>
        <w:ind w:left="0"/>
        <w:jc w:val="left"/>
      </w:pP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3000"/>
        <w:gridCol w:w="3000"/>
      </w:tblGrid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字段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内容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层级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战略级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治理门槛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≥66%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建议批次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第二批</w:t>
            </w:r>
          </w:p>
        </w:tc>
      </w:tr>
    </w:tbl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背景</w:t>
      </w:r>
      <w:r>
        <w:rPr>
          <w:rFonts w:eastAsia="等线" w:ascii="Arial" w:cs="Arial" w:hAnsi="Arial"/>
          <w:sz w:val="22"/>
        </w:rPr>
        <w:t>：L1/L2缓冲池可能因持续亏损而耗尽。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必要性</w:t>
      </w:r>
      <w:r>
        <w:rPr>
          <w:rFonts w:eastAsia="等线" w:ascii="Arial" w:cs="Arial" w:hAnsi="Arial"/>
          <w:sz w:val="22"/>
        </w:rPr>
        <w:t>：当缓冲池低于目标规模50%时，强制将未来30%的铸造费注入该池，直至恢复。</w:t>
      </w:r>
    </w:p>
    <w:p>
      <w:pPr>
        <w:spacing w:before="120" w:after="120" w:line="288" w:lineRule="auto"/>
        <w:ind w:left="0"/>
        <w:jc w:val="left"/>
      </w:pP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spacing w:before="120" w:after="120" w:line="288" w:lineRule="auto"/>
        <w:ind w:left="0"/>
        <w:jc w:val="left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40" w:id="40"/>
      <w:r>
        <w:rPr>
          <w:rFonts w:eastAsia="等线" w:ascii="Arial" w:cs="Arial" w:hAnsi="Arial"/>
          <w:b w:val="true"/>
          <w:sz w:val="32"/>
        </w:rPr>
        <w:t>第三批次提案（10条）</w:t>
      </w:r>
      <w:bookmarkEnd w:id="40"/>
    </w:p>
    <w:p>
      <w:pPr>
        <w:spacing w:before="120" w:after="120" w:line="288" w:lineRule="auto"/>
        <w:ind w:left="0"/>
        <w:jc w:val="left"/>
      </w:pP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spacing w:before="120" w:after="120" w:line="288" w:lineRule="auto"/>
        <w:ind w:left="0"/>
        <w:jc w:val="left"/>
      </w:pP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41" w:id="41"/>
      <w:r>
        <w:rPr>
          <w:rFonts w:eastAsia="等线" w:ascii="Arial" w:cs="Arial" w:hAnsi="Arial"/>
          <w:b w:val="true"/>
          <w:sz w:val="30"/>
        </w:rPr>
        <w:t>六、预言机与数据源（4条）</w:t>
      </w:r>
      <w:bookmarkEnd w:id="41"/>
    </w:p>
    <w:p>
      <w:pPr>
        <w:spacing w:before="120" w:after="120" w:line="288" w:lineRule="auto"/>
        <w:ind w:left="0"/>
        <w:jc w:val="left"/>
      </w:pPr>
    </w:p>
    <w:p>
      <w:pPr>
        <w:pStyle w:val="4"/>
        <w:spacing w:before="260" w:after="120" w:line="288" w:lineRule="auto"/>
        <w:ind w:left="0"/>
        <w:jc w:val="left"/>
        <w:outlineLvl w:val="3"/>
      </w:pPr>
      <w:bookmarkStart w:name="heading_42" w:id="42"/>
      <w:r>
        <w:rPr>
          <w:rFonts w:eastAsia="等线" w:ascii="Arial" w:cs="Arial" w:hAnsi="Arial"/>
          <w:b w:val="true"/>
          <w:sz w:val="28"/>
        </w:rPr>
        <w:t xml:space="preserve">29. </w:t>
      </w:r>
      <w:r>
        <w:rPr>
          <w:rFonts w:eastAsia="Consolas" w:ascii="Consolas" w:cs="Consolas" w:hAnsi="Consolas"/>
          <w:b w:val="true"/>
          <w:sz w:val="28"/>
          <w:shd w:fill="EFF0F1"/>
        </w:rPr>
        <w:t>ORACLE_NODE_ACCREDITATION</w:t>
      </w:r>
      <w:bookmarkEnd w:id="42"/>
    </w:p>
    <w:p>
      <w:pPr>
        <w:spacing w:before="120" w:after="120" w:line="288" w:lineRule="auto"/>
        <w:ind w:left="0"/>
        <w:jc w:val="left"/>
      </w:pP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3000"/>
        <w:gridCol w:w="3000"/>
      </w:tblGrid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字段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内容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层级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战略级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治理门槛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≥66%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建议批次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第三批</w:t>
            </w:r>
          </w:p>
        </w:tc>
      </w:tr>
    </w:tbl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背景</w:t>
      </w:r>
      <w:r>
        <w:rPr>
          <w:rFonts w:eastAsia="等线" w:ascii="Arial" w:cs="Arial" w:hAnsi="Arial"/>
          <w:sz w:val="22"/>
        </w:rPr>
        <w:t>：ZK、TEE、乐观节点目前仅通过技术测试准入，无宪法级标准。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必要性</w:t>
      </w:r>
      <w:r>
        <w:rPr>
          <w:rFonts w:eastAsia="等线" w:ascii="Arial" w:cs="Arial" w:hAnsi="Arial"/>
          <w:sz w:val="22"/>
        </w:rPr>
        <w:t>：要求节点法人实体注册、关键人员背景调查、硬件安全认证。</w:t>
      </w:r>
    </w:p>
    <w:p>
      <w:pPr>
        <w:spacing w:before="120" w:after="120" w:line="288" w:lineRule="auto"/>
        <w:ind w:left="0"/>
        <w:jc w:val="left"/>
      </w:pP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spacing w:before="120" w:after="120" w:line="288" w:lineRule="auto"/>
        <w:ind w:left="0"/>
        <w:jc w:val="left"/>
      </w:pPr>
    </w:p>
    <w:p>
      <w:pPr>
        <w:pStyle w:val="4"/>
        <w:spacing w:before="260" w:after="120" w:line="288" w:lineRule="auto"/>
        <w:ind w:left="0"/>
        <w:jc w:val="left"/>
        <w:outlineLvl w:val="3"/>
      </w:pPr>
      <w:bookmarkStart w:name="heading_43" w:id="43"/>
      <w:r>
        <w:rPr>
          <w:rFonts w:eastAsia="等线" w:ascii="Arial" w:cs="Arial" w:hAnsi="Arial"/>
          <w:b w:val="true"/>
          <w:sz w:val="28"/>
        </w:rPr>
        <w:t xml:space="preserve">30. </w:t>
      </w:r>
      <w:r>
        <w:rPr>
          <w:rFonts w:eastAsia="Consolas" w:ascii="Consolas" w:cs="Consolas" w:hAnsi="Consolas"/>
          <w:b w:val="true"/>
          <w:sz w:val="28"/>
          <w:shd w:fill="EFF0F1"/>
        </w:rPr>
        <w:t>MACRO_DATA_SOURCE_WHITELIST</w:t>
      </w:r>
      <w:bookmarkEnd w:id="43"/>
    </w:p>
    <w:p>
      <w:pPr>
        <w:spacing w:before="120" w:after="120" w:line="288" w:lineRule="auto"/>
        <w:ind w:left="0"/>
        <w:jc w:val="left"/>
      </w:pP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3000"/>
        <w:gridCol w:w="3000"/>
      </w:tblGrid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字段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内容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层级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战略级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治理门槛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≥66%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建议批次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第三批</w:t>
            </w:r>
          </w:p>
        </w:tc>
      </w:tr>
    </w:tbl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背景</w:t>
      </w:r>
      <w:r>
        <w:rPr>
          <w:rFonts w:eastAsia="等线" w:ascii="Arial" w:cs="Arial" w:hAnsi="Arial"/>
          <w:sz w:val="22"/>
        </w:rPr>
        <w:t>：50维宏观特征的数据源需权威稳定。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必要性</w:t>
      </w:r>
      <w:r>
        <w:rPr>
          <w:rFonts w:eastAsia="等线" w:ascii="Arial" w:cs="Arial" w:hAnsi="Arial"/>
          <w:sz w:val="22"/>
        </w:rPr>
        <w:t>：白名单由治理委员会管理，每年复审；数据源变更需提前30天公示。</w:t>
      </w:r>
    </w:p>
    <w:p>
      <w:pPr>
        <w:spacing w:before="120" w:after="120" w:line="288" w:lineRule="auto"/>
        <w:ind w:left="0"/>
        <w:jc w:val="left"/>
      </w:pP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spacing w:before="120" w:after="120" w:line="288" w:lineRule="auto"/>
        <w:ind w:left="0"/>
        <w:jc w:val="left"/>
      </w:pPr>
    </w:p>
    <w:p>
      <w:pPr>
        <w:pStyle w:val="4"/>
        <w:spacing w:before="260" w:after="120" w:line="288" w:lineRule="auto"/>
        <w:ind w:left="0"/>
        <w:jc w:val="left"/>
        <w:outlineLvl w:val="3"/>
      </w:pPr>
      <w:bookmarkStart w:name="heading_44" w:id="44"/>
      <w:r>
        <w:rPr>
          <w:rFonts w:eastAsia="等线" w:ascii="Arial" w:cs="Arial" w:hAnsi="Arial"/>
          <w:b w:val="true"/>
          <w:sz w:val="28"/>
        </w:rPr>
        <w:t xml:space="preserve">31. </w:t>
      </w:r>
      <w:r>
        <w:rPr>
          <w:rFonts w:eastAsia="Consolas" w:ascii="Consolas" w:cs="Consolas" w:hAnsi="Consolas"/>
          <w:b w:val="true"/>
          <w:sz w:val="28"/>
          <w:shd w:fill="EFF0F1"/>
        </w:rPr>
        <w:t>AI_MODEL_FROZEN_PERIOD</w:t>
      </w:r>
      <w:bookmarkEnd w:id="44"/>
    </w:p>
    <w:p>
      <w:pPr>
        <w:spacing w:before="120" w:after="120" w:line="288" w:lineRule="auto"/>
        <w:ind w:left="0"/>
        <w:jc w:val="left"/>
      </w:pP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3000"/>
        <w:gridCol w:w="3000"/>
      </w:tblGrid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字段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内容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层级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战术级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治理门槛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≥51%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建议批次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第三批</w:t>
            </w:r>
          </w:p>
        </w:tc>
      </w:tr>
    </w:tbl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背景</w:t>
      </w:r>
      <w:r>
        <w:rPr>
          <w:rFonts w:eastAsia="等线" w:ascii="Arial" w:cs="Arial" w:hAnsi="Arial"/>
          <w:sz w:val="22"/>
        </w:rPr>
        <w:t>：XTZH汇率模型升级前需影子运行，但未规定最短时长。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必要性</w:t>
      </w:r>
      <w:r>
        <w:rPr>
          <w:rFonts w:eastAsia="等线" w:ascii="Arial" w:cs="Arial" w:hAnsi="Arial"/>
          <w:sz w:val="22"/>
        </w:rPr>
        <w:t>：强制≥30天影子运行，且A/B测试指标需优于生产模型。</w:t>
      </w:r>
    </w:p>
    <w:p>
      <w:pPr>
        <w:spacing w:before="120" w:after="120" w:line="288" w:lineRule="auto"/>
        <w:ind w:left="0"/>
        <w:jc w:val="left"/>
      </w:pP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spacing w:before="120" w:after="120" w:line="288" w:lineRule="auto"/>
        <w:ind w:left="0"/>
        <w:jc w:val="left"/>
      </w:pPr>
    </w:p>
    <w:p>
      <w:pPr>
        <w:pStyle w:val="4"/>
        <w:spacing w:before="260" w:after="120" w:line="288" w:lineRule="auto"/>
        <w:ind w:left="0"/>
        <w:jc w:val="left"/>
        <w:outlineLvl w:val="3"/>
      </w:pPr>
      <w:bookmarkStart w:name="heading_45" w:id="45"/>
      <w:r>
        <w:rPr>
          <w:rFonts w:eastAsia="等线" w:ascii="Arial" w:cs="Arial" w:hAnsi="Arial"/>
          <w:b w:val="true"/>
          <w:sz w:val="28"/>
        </w:rPr>
        <w:t xml:space="preserve">32. </w:t>
      </w:r>
      <w:r>
        <w:rPr>
          <w:rFonts w:eastAsia="Consolas" w:ascii="Consolas" w:cs="Consolas" w:hAnsi="Consolas"/>
          <w:b w:val="true"/>
          <w:sz w:val="28"/>
          <w:shd w:fill="EFF0F1"/>
        </w:rPr>
        <w:t>ORACLE_REPORTING_PENALTY</w:t>
      </w:r>
      <w:bookmarkEnd w:id="45"/>
    </w:p>
    <w:p>
      <w:pPr>
        <w:spacing w:before="120" w:after="120" w:line="288" w:lineRule="auto"/>
        <w:ind w:left="0"/>
        <w:jc w:val="left"/>
      </w:pP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3000"/>
        <w:gridCol w:w="3000"/>
      </w:tblGrid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字段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内容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层级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战术级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治理门槛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≥51%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建议批次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第三批</w:t>
            </w:r>
          </w:p>
        </w:tc>
      </w:tr>
    </w:tbl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背景</w:t>
      </w:r>
      <w:r>
        <w:rPr>
          <w:rFonts w:eastAsia="等线" w:ascii="Arial" w:cs="Arial" w:hAnsi="Arial"/>
          <w:sz w:val="22"/>
        </w:rPr>
        <w:t>：预言机提交错误数据目前仅影响信誉分，无直接经济惩罚。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必要性</w:t>
      </w:r>
      <w:r>
        <w:rPr>
          <w:rFonts w:eastAsia="等线" w:ascii="Arial" w:cs="Arial" w:hAnsi="Arial"/>
          <w:sz w:val="22"/>
        </w:rPr>
        <w:t>：单次错误罚没1万XIC，连续3次错误暂停资格并列入观察名单。</w:t>
      </w:r>
    </w:p>
    <w:p>
      <w:pPr>
        <w:spacing w:before="120" w:after="120" w:line="288" w:lineRule="auto"/>
        <w:ind w:left="0"/>
        <w:jc w:val="left"/>
      </w:pP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spacing w:before="120" w:after="120" w:line="288" w:lineRule="auto"/>
        <w:ind w:left="0"/>
        <w:jc w:val="left"/>
      </w:pP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46" w:id="46"/>
      <w:r>
        <w:rPr>
          <w:rFonts w:eastAsia="等线" w:ascii="Arial" w:cs="Arial" w:hAnsi="Arial"/>
          <w:b w:val="true"/>
          <w:sz w:val="30"/>
        </w:rPr>
        <w:t>七、跨链与生态扩展（3条）</w:t>
      </w:r>
      <w:bookmarkEnd w:id="46"/>
    </w:p>
    <w:p>
      <w:pPr>
        <w:spacing w:before="120" w:after="120" w:line="288" w:lineRule="auto"/>
        <w:ind w:left="0"/>
        <w:jc w:val="left"/>
      </w:pPr>
    </w:p>
    <w:p>
      <w:pPr>
        <w:pStyle w:val="4"/>
        <w:spacing w:before="260" w:after="120" w:line="288" w:lineRule="auto"/>
        <w:ind w:left="0"/>
        <w:jc w:val="left"/>
        <w:outlineLvl w:val="3"/>
      </w:pPr>
      <w:bookmarkStart w:name="heading_47" w:id="47"/>
      <w:r>
        <w:rPr>
          <w:rFonts w:eastAsia="等线" w:ascii="Arial" w:cs="Arial" w:hAnsi="Arial"/>
          <w:b w:val="true"/>
          <w:sz w:val="28"/>
        </w:rPr>
        <w:t xml:space="preserve">33. </w:t>
      </w:r>
      <w:r>
        <w:rPr>
          <w:rFonts w:eastAsia="Consolas" w:ascii="Consolas" w:cs="Consolas" w:hAnsi="Consolas"/>
          <w:b w:val="true"/>
          <w:sz w:val="28"/>
          <w:shd w:fill="EFF0F1"/>
        </w:rPr>
        <w:t>FOREIGN_CHAIN_ADMISSION</w:t>
      </w:r>
      <w:bookmarkEnd w:id="47"/>
    </w:p>
    <w:p>
      <w:pPr>
        <w:spacing w:before="120" w:after="120" w:line="288" w:lineRule="auto"/>
        <w:ind w:left="0"/>
        <w:jc w:val="left"/>
      </w:pP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3000"/>
        <w:gridCol w:w="3000"/>
      </w:tblGrid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字段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内容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层级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战略级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治理门槛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≥75%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建议批次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第三批</w:t>
            </w:r>
          </w:p>
        </w:tc>
      </w:tr>
    </w:tbl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背景</w:t>
      </w:r>
      <w:r>
        <w:rPr>
          <w:rFonts w:eastAsia="等线" w:ascii="Arial" w:cs="Arial" w:hAnsi="Arial"/>
          <w:sz w:val="22"/>
        </w:rPr>
        <w:t>：外部公链接入NAC跨链生态影响资产安全。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必要性</w:t>
      </w:r>
      <w:r>
        <w:rPr>
          <w:rFonts w:eastAsia="等线" w:ascii="Arial" w:cs="Arial" w:hAnsi="Arial"/>
          <w:sz w:val="22"/>
        </w:rPr>
        <w:t>：每条外部链的准入需经过安全审计+超级多数投票（≥75%）。</w:t>
      </w:r>
    </w:p>
    <w:p>
      <w:pPr>
        <w:spacing w:before="120" w:after="120" w:line="288" w:lineRule="auto"/>
        <w:ind w:left="0"/>
        <w:jc w:val="left"/>
      </w:pP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spacing w:before="120" w:after="120" w:line="288" w:lineRule="auto"/>
        <w:ind w:left="0"/>
        <w:jc w:val="left"/>
      </w:pPr>
    </w:p>
    <w:p>
      <w:pPr>
        <w:pStyle w:val="4"/>
        <w:spacing w:before="260" w:after="120" w:line="288" w:lineRule="auto"/>
        <w:ind w:left="0"/>
        <w:jc w:val="left"/>
        <w:outlineLvl w:val="3"/>
      </w:pPr>
      <w:bookmarkStart w:name="heading_48" w:id="48"/>
      <w:r>
        <w:rPr>
          <w:rFonts w:eastAsia="等线" w:ascii="Arial" w:cs="Arial" w:hAnsi="Arial"/>
          <w:b w:val="true"/>
          <w:sz w:val="28"/>
        </w:rPr>
        <w:t xml:space="preserve">34. </w:t>
      </w:r>
      <w:r>
        <w:rPr>
          <w:rFonts w:eastAsia="Consolas" w:ascii="Consolas" w:cs="Consolas" w:hAnsi="Consolas"/>
          <w:b w:val="true"/>
          <w:sz w:val="28"/>
          <w:shd w:fill="EFF0F1"/>
        </w:rPr>
        <w:t>CROSS_CHAIN_ASSET_LIMIT</w:t>
      </w:r>
      <w:bookmarkEnd w:id="48"/>
    </w:p>
    <w:p>
      <w:pPr>
        <w:spacing w:before="120" w:after="120" w:line="288" w:lineRule="auto"/>
        <w:ind w:left="0"/>
        <w:jc w:val="left"/>
      </w:pP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3000"/>
        <w:gridCol w:w="3000"/>
      </w:tblGrid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字段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内容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层级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战略级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治理门槛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≥66%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建议批次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第三批</w:t>
            </w:r>
          </w:p>
        </w:tc>
      </w:tr>
    </w:tbl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背景</w:t>
      </w:r>
      <w:r>
        <w:rPr>
          <w:rFonts w:eastAsia="等线" w:ascii="Arial" w:cs="Arial" w:hAnsi="Arial"/>
          <w:sz w:val="22"/>
        </w:rPr>
        <w:t>：防止单一外部链积累过多XTZH，其安全漏洞威胁整体储备。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必要性</w:t>
      </w:r>
      <w:r>
        <w:rPr>
          <w:rFonts w:eastAsia="等线" w:ascii="Arial" w:cs="Arial" w:hAnsi="Arial"/>
          <w:sz w:val="22"/>
        </w:rPr>
        <w:t>：单条外部链的XTZH跨链总量不得超过总流通量的10%。</w:t>
      </w:r>
    </w:p>
    <w:p>
      <w:pPr>
        <w:spacing w:before="120" w:after="120" w:line="288" w:lineRule="auto"/>
        <w:ind w:left="0"/>
        <w:jc w:val="left"/>
      </w:pP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spacing w:before="120" w:after="120" w:line="288" w:lineRule="auto"/>
        <w:ind w:left="0"/>
        <w:jc w:val="left"/>
      </w:pPr>
    </w:p>
    <w:p>
      <w:pPr>
        <w:pStyle w:val="4"/>
        <w:spacing w:before="260" w:after="120" w:line="288" w:lineRule="auto"/>
        <w:ind w:left="0"/>
        <w:jc w:val="left"/>
        <w:outlineLvl w:val="3"/>
      </w:pPr>
      <w:bookmarkStart w:name="heading_49" w:id="49"/>
      <w:r>
        <w:rPr>
          <w:rFonts w:eastAsia="等线" w:ascii="Arial" w:cs="Arial" w:hAnsi="Arial"/>
          <w:b w:val="true"/>
          <w:sz w:val="28"/>
        </w:rPr>
        <w:t xml:space="preserve">35. </w:t>
      </w:r>
      <w:r>
        <w:rPr>
          <w:rFonts w:eastAsia="Consolas" w:ascii="Consolas" w:cs="Consolas" w:hAnsi="Consolas"/>
          <w:b w:val="true"/>
          <w:sz w:val="28"/>
          <w:shd w:fill="EFF0F1"/>
        </w:rPr>
        <w:t>MULTI_CHAIN_GOVERNANCE_COORDINATION</w:t>
      </w:r>
      <w:bookmarkEnd w:id="49"/>
    </w:p>
    <w:p>
      <w:pPr>
        <w:spacing w:before="120" w:after="120" w:line="288" w:lineRule="auto"/>
        <w:ind w:left="0"/>
        <w:jc w:val="left"/>
      </w:pP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3000"/>
        <w:gridCol w:w="3000"/>
      </w:tblGrid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字段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内容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层级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战略级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治理门槛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≥75%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建议批次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第三批</w:t>
            </w:r>
          </w:p>
        </w:tc>
      </w:tr>
    </w:tbl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背景</w:t>
      </w:r>
      <w:r>
        <w:rPr>
          <w:rFonts w:eastAsia="等线" w:ascii="Arial" w:cs="Arial" w:hAnsi="Arial"/>
          <w:sz w:val="22"/>
        </w:rPr>
        <w:t>：未来NAC将运行多条平行链，各链宪法可能出现冲突。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必要性</w:t>
      </w:r>
      <w:r>
        <w:rPr>
          <w:rFonts w:eastAsia="等线" w:ascii="Arial" w:cs="Arial" w:hAnsi="Arial"/>
          <w:sz w:val="22"/>
        </w:rPr>
        <w:t>：确立**根链宪法最高原则**，冲突时以根链为准；跨链宪法争议由宪法法院联席会议裁决。</w:t>
      </w:r>
    </w:p>
    <w:p>
      <w:pPr>
        <w:spacing w:before="120" w:after="120" w:line="288" w:lineRule="auto"/>
        <w:ind w:left="0"/>
        <w:jc w:val="left"/>
      </w:pP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spacing w:before="120" w:after="120" w:line="288" w:lineRule="auto"/>
        <w:ind w:left="0"/>
        <w:jc w:val="left"/>
      </w:pP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50" w:id="50"/>
      <w:r>
        <w:rPr>
          <w:rFonts w:eastAsia="等线" w:ascii="Arial" w:cs="Arial" w:hAnsi="Arial"/>
          <w:b w:val="true"/>
          <w:sz w:val="30"/>
        </w:rPr>
        <w:t>八、安全与紧急事件（3条）</w:t>
      </w:r>
      <w:bookmarkEnd w:id="50"/>
    </w:p>
    <w:p>
      <w:pPr>
        <w:spacing w:before="120" w:after="120" w:line="288" w:lineRule="auto"/>
        <w:ind w:left="0"/>
        <w:jc w:val="left"/>
      </w:pPr>
    </w:p>
    <w:p>
      <w:pPr>
        <w:pStyle w:val="4"/>
        <w:spacing w:before="260" w:after="120" w:line="288" w:lineRule="auto"/>
        <w:ind w:left="0"/>
        <w:jc w:val="left"/>
        <w:outlineLvl w:val="3"/>
      </w:pPr>
      <w:bookmarkStart w:name="heading_51" w:id="51"/>
      <w:r>
        <w:rPr>
          <w:rFonts w:eastAsia="等线" w:ascii="Arial" w:cs="Arial" w:hAnsi="Arial"/>
          <w:b w:val="true"/>
          <w:sz w:val="28"/>
        </w:rPr>
        <w:t xml:space="preserve">36. </w:t>
      </w:r>
      <w:r>
        <w:rPr>
          <w:rFonts w:eastAsia="Consolas" w:ascii="Consolas" w:cs="Consolas" w:hAnsi="Consolas"/>
          <w:b w:val="true"/>
          <w:sz w:val="28"/>
          <w:shd w:fill="EFF0F1"/>
        </w:rPr>
        <w:t>SECURITY_BUG_BOUNTY</w:t>
      </w:r>
      <w:bookmarkEnd w:id="51"/>
    </w:p>
    <w:p>
      <w:pPr>
        <w:spacing w:before="120" w:after="120" w:line="288" w:lineRule="auto"/>
        <w:ind w:left="0"/>
        <w:jc w:val="left"/>
      </w:pP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3000"/>
        <w:gridCol w:w="3000"/>
      </w:tblGrid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字段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内容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层级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战术级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治理门槛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≥51%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建议批次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第三批</w:t>
            </w:r>
          </w:p>
        </w:tc>
      </w:tr>
    </w:tbl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背景</w:t>
      </w:r>
      <w:r>
        <w:rPr>
          <w:rFonts w:eastAsia="等线" w:ascii="Arial" w:cs="Arial" w:hAnsi="Arial"/>
          <w:sz w:val="22"/>
        </w:rPr>
        <w:t>：漏洞赏金计划已实施，但奖金范围、发放时限未制度化。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必要性</w:t>
      </w:r>
      <w:r>
        <w:rPr>
          <w:rFonts w:eastAsia="等线" w:ascii="Arial" w:cs="Arial" w:hAnsi="Arial"/>
          <w:sz w:val="22"/>
        </w:rPr>
        <w:t>：最低奖金≥10万XIC，高危漏洞≥100万XIC；确认后7日内发放。</w:t>
      </w:r>
    </w:p>
    <w:p>
      <w:pPr>
        <w:spacing w:before="120" w:after="120" w:line="288" w:lineRule="auto"/>
        <w:ind w:left="0"/>
        <w:jc w:val="left"/>
      </w:pP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spacing w:before="120" w:after="120" w:line="288" w:lineRule="auto"/>
        <w:ind w:left="0"/>
        <w:jc w:val="left"/>
      </w:pPr>
    </w:p>
    <w:p>
      <w:pPr>
        <w:pStyle w:val="4"/>
        <w:spacing w:before="260" w:after="120" w:line="288" w:lineRule="auto"/>
        <w:ind w:left="0"/>
        <w:jc w:val="left"/>
        <w:outlineLvl w:val="3"/>
      </w:pPr>
      <w:bookmarkStart w:name="heading_52" w:id="52"/>
      <w:r>
        <w:rPr>
          <w:rFonts w:eastAsia="等线" w:ascii="Arial" w:cs="Arial" w:hAnsi="Arial"/>
          <w:b w:val="true"/>
          <w:sz w:val="28"/>
        </w:rPr>
        <w:t xml:space="preserve">37. </w:t>
      </w:r>
      <w:r>
        <w:rPr>
          <w:rFonts w:eastAsia="Consolas" w:ascii="Consolas" w:cs="Consolas" w:hAnsi="Consolas"/>
          <w:b w:val="true"/>
          <w:sz w:val="28"/>
          <w:shd w:fill="EFF0F1"/>
        </w:rPr>
        <w:t>CATASTROPHE_FUND_TRIGGER</w:t>
      </w:r>
      <w:bookmarkEnd w:id="52"/>
    </w:p>
    <w:p>
      <w:pPr>
        <w:spacing w:before="120" w:after="120" w:line="288" w:lineRule="auto"/>
        <w:ind w:left="0"/>
        <w:jc w:val="left"/>
      </w:pP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3000"/>
        <w:gridCol w:w="3000"/>
      </w:tblGrid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字段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内容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层级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战略级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治理门槛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≥75%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建议批次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第三批</w:t>
            </w:r>
          </w:p>
        </w:tc>
      </w:tr>
    </w:tbl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背景</w:t>
      </w:r>
      <w:r>
        <w:rPr>
          <w:rFonts w:eastAsia="等线" w:ascii="Arial" w:cs="Arial" w:hAnsi="Arial"/>
          <w:sz w:val="22"/>
        </w:rPr>
        <w:t>：L3灾难基金（5% XTZH市值）使用门槛不明。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必要性</w:t>
      </w:r>
      <w:r>
        <w:rPr>
          <w:rFonts w:eastAsia="等线" w:ascii="Arial" w:cs="Arial" w:hAnsi="Arial"/>
          <w:sz w:val="22"/>
        </w:rPr>
        <w:t>：仅当覆盖率&lt;115%且L1/L2池耗尽时，由宪法法院7/9法官批准动用，单次≤基金总额30%。</w:t>
      </w:r>
    </w:p>
    <w:p>
      <w:pPr>
        <w:spacing w:before="120" w:after="120" w:line="288" w:lineRule="auto"/>
        <w:ind w:left="0"/>
        <w:jc w:val="left"/>
      </w:pP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spacing w:before="120" w:after="120" w:line="288" w:lineRule="auto"/>
        <w:ind w:left="0"/>
        <w:jc w:val="left"/>
      </w:pPr>
    </w:p>
    <w:p>
      <w:pPr>
        <w:pStyle w:val="4"/>
        <w:spacing w:before="260" w:after="120" w:line="288" w:lineRule="auto"/>
        <w:ind w:left="0"/>
        <w:jc w:val="left"/>
        <w:outlineLvl w:val="3"/>
      </w:pPr>
      <w:bookmarkStart w:name="heading_53" w:id="53"/>
      <w:r>
        <w:rPr>
          <w:rFonts w:eastAsia="等线" w:ascii="Arial" w:cs="Arial" w:hAnsi="Arial"/>
          <w:b w:val="true"/>
          <w:sz w:val="28"/>
        </w:rPr>
        <w:t xml:space="preserve">38. </w:t>
      </w:r>
      <w:r>
        <w:rPr>
          <w:rFonts w:eastAsia="Consolas" w:ascii="Consolas" w:cs="Consolas" w:hAnsi="Consolas"/>
          <w:b w:val="true"/>
          <w:sz w:val="28"/>
          <w:shd w:fill="EFF0F1"/>
        </w:rPr>
        <w:t>POST_MORTEM_PUBLICATION</w:t>
      </w:r>
      <w:r>
        <w:rPr>
          <w:rFonts w:eastAsia="等线" w:ascii="Arial" w:cs="Arial" w:hAnsi="Arial"/>
          <w:b w:val="true"/>
          <w:sz w:val="28"/>
        </w:rPr>
        <w:t>（原序号43）</w:t>
      </w:r>
      <w:bookmarkEnd w:id="53"/>
    </w:p>
    <w:p>
      <w:pPr>
        <w:spacing w:before="120" w:after="120" w:line="288" w:lineRule="auto"/>
        <w:ind w:left="0"/>
        <w:jc w:val="left"/>
      </w:pP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3000"/>
        <w:gridCol w:w="3000"/>
      </w:tblGrid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字段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内容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层级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战术级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治理门槛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≥51%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建议批次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第三批</w:t>
            </w:r>
          </w:p>
        </w:tc>
      </w:tr>
    </w:tbl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背景</w:t>
      </w:r>
      <w:r>
        <w:rPr>
          <w:rFonts w:eastAsia="等线" w:ascii="Arial" w:cs="Arial" w:hAnsi="Arial"/>
          <w:sz w:val="22"/>
        </w:rPr>
        <w:t>：重大安全事故后，社区需要透明复盘。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必要性</w:t>
      </w:r>
      <w:r>
        <w:rPr>
          <w:rFonts w:eastAsia="等线" w:ascii="Arial" w:cs="Arial" w:hAnsi="Arial"/>
          <w:sz w:val="22"/>
        </w:rPr>
        <w:t>：强制48小时内发布初步报告，14天内发布完整复盘，永久公开。</w:t>
      </w:r>
    </w:p>
    <w:p>
      <w:pPr>
        <w:spacing w:before="120" w:after="120" w:line="288" w:lineRule="auto"/>
        <w:ind w:left="0"/>
        <w:jc w:val="left"/>
      </w:pP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spacing w:before="120" w:after="120" w:line="288" w:lineRule="auto"/>
        <w:ind w:left="0"/>
        <w:jc w:val="left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54" w:id="54"/>
      <w:r>
        <w:rPr>
          <w:rFonts w:eastAsia="等线" w:ascii="Arial" w:cs="Arial" w:hAnsi="Arial"/>
          <w:b w:val="true"/>
          <w:sz w:val="32"/>
        </w:rPr>
        <w:t>附录：条款编号映射表</w:t>
      </w:r>
      <w:bookmarkEnd w:id="54"/>
    </w:p>
    <w:p>
      <w:pPr>
        <w:spacing w:before="120" w:after="120" w:line="288" w:lineRule="auto"/>
        <w:ind w:left="0"/>
        <w:jc w:val="left"/>
      </w:pP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760"/>
        <w:gridCol w:w="2760"/>
        <w:gridCol w:w="2760"/>
      </w:tblGrid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原清单编号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条款名称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批次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ASSET_COMPLIANCE_MIN_STANDARD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ASSET_VALUATION_AUTHORITY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3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ASSET_APPROVAL_PROCESS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4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GNACS_GENERATION_RULE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5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DNA_INTEGRITY_ENFORCEMENT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6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CUSTODY_INSTITUTION_ACCREDITATION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7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CUSTODY_ASSET_SEGREGATION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8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XTZH_MINT_COLLATERAL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9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EQUITY_DERIVATION_LIMIT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10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EQUITY_RIGHTS_DEFINITION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11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SECONDARY_MARKET_REPORTING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12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PRICE_DISCOVERY_FEEDBACK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13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CBP_HARDWARE_MIN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14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CBP_GEO_DIVERSITY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15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RECEIPT_WEIGHT_FORMULA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16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BLOCK_PROPAGATION_TIMEOUT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17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EMERGENCY_BLOCK_STOP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18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CBPP_UPGRADE_COORDINATION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19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GNACS_STRATEGY_OVERRIDE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CROSS_CHAIN_RELAY_BOND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21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UCA_DATA_RETENTION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22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NETWORK_PARTITION_RECOVERY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23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FTAN_AGGREGATOR_ELIGIBILITY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24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GOLD_RESERVE_AUDIT_FREQ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25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EXCHANGE_DEFAULT_INSURANCE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26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XTZH_REDEMPTION_QUEUE_MAX_WAIT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27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DYNAMIC_LEVERAGE_COEFFICIENT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28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RESERVE_BUFFER_REPLENISH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29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ORACLE_NODE_ACCREDITATION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3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30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MACRO_DATA_SOURCE_WHITELIST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3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31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AI_MODEL_FROZEN_PERIOD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3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32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ORACLE_REPORTING_PENALTY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3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33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FOREIGN_CHAIN_ADMISSION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3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34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CROSS_CHAIN_ASSET_LIMIT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3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35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MULTI_CHAIN_GOVERNANCE_COORDINATION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3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36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SECURITY_BUG_BOUNTY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3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37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CATASTROPHE_FUND_TRIGGER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3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38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POST_MORTEM_PUBLICATION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3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39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JUSTICE_APPOINTMENT_PROCESS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40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JUSTICE_TERM_LIMIT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41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CONSTITUTION_AMENDMENT_COOLDOWN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42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EMERGENCY_PROPOSAL_THRESHOLD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43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CONSTITUTIONAL_HASH_SYNC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</w:t>
            </w:r>
          </w:p>
        </w:tc>
      </w:tr>
    </w:tbl>
    <w:p>
      <w:pPr>
        <w:spacing w:before="120" w:after="120" w:line="288" w:lineRule="auto"/>
        <w:ind w:left="0"/>
        <w:jc w:val="left"/>
      </w:pP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报告编制</w:t>
      </w:r>
      <w:r>
        <w:rPr>
          <w:rFonts w:eastAsia="等线" w:ascii="Arial" w:cs="Arial" w:hAnsi="Arial"/>
          <w:sz w:val="22"/>
        </w:rPr>
        <w:t xml:space="preserve">：NAC宪法法院筹备委员会 · 立法工作组  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日期</w:t>
      </w:r>
      <w:r>
        <w:rPr>
          <w:rFonts w:eastAsia="等线" w:ascii="Arial" w:cs="Arial" w:hAnsi="Arial"/>
          <w:sz w:val="22"/>
        </w:rPr>
        <w:t xml:space="preserve">：2026年2月13日  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呈报</w:t>
      </w:r>
      <w:r>
        <w:rPr>
          <w:rFonts w:eastAsia="等线" w:ascii="Arial" w:cs="Arial" w:hAnsi="Arial"/>
          <w:sz w:val="22"/>
        </w:rPr>
        <w:t xml:space="preserve">：宪法法院临时法官会议、XIC治理委员会  </w:t>
      </w:r>
    </w:p>
    <w:p>
      <w:pPr>
        <w:spacing w:before="120" w:after="120" w:line="288" w:lineRule="auto"/>
        <w:ind w:left="0"/>
        <w:jc w:val="left"/>
      </w:pP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（内部文件，未经授权不得外传）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|（注：文档部分内容可能由 AI 生成)</w:t>
      </w:r>
    </w:p>
    <w:sectPr>
      <w:footerReference w:type="default" r:id="rId3"/>
      <w:headerReference w:type="default" r:id="rId5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numbering.xml><?xml version="1.0" encoding="utf-8"?>
<w:numbering xmlns:w="http://schemas.openxmlformats.org/wordprocessingml/2006/main">
  <w:abstractNum w:abstractNumId="2407116">
    <w:lvl>
      <w:numFmt w:val="bullet"/>
      <w:suff w:val="tab"/>
      <w:lvlText w:val="•"/>
      <w:rPr>
        <w:color w:val="3370ff"/>
      </w:rPr>
    </w:lvl>
  </w:abstractNum>
  <w:abstractNum w:abstractNumId="2407117">
    <w:lvl>
      <w:numFmt w:val="bullet"/>
      <w:suff w:val="tab"/>
      <w:lvlText w:val="•"/>
      <w:rPr>
        <w:color w:val="3370ff"/>
      </w:rPr>
    </w:lvl>
  </w:abstractNum>
  <w:abstractNum w:abstractNumId="2407118">
    <w:lvl>
      <w:numFmt w:val="bullet"/>
      <w:suff w:val="tab"/>
      <w:lvlText w:val="•"/>
      <w:rPr>
        <w:color w:val="3370ff"/>
      </w:rPr>
    </w:lvl>
  </w:abstractNum>
  <w:abstractNum w:abstractNumId="2407119">
    <w:lvl>
      <w:numFmt w:val="bullet"/>
      <w:suff w:val="tab"/>
      <w:lvlText w:val="•"/>
      <w:rPr>
        <w:color w:val="3370ff"/>
      </w:rPr>
    </w:lvl>
  </w:abstractNum>
  <w:abstractNum w:abstractNumId="2407120">
    <w:lvl>
      <w:numFmt w:val="bullet"/>
      <w:suff w:val="tab"/>
      <w:lvlText w:val="•"/>
      <w:rPr>
        <w:color w:val="3370ff"/>
      </w:rPr>
    </w:lvl>
  </w:abstractNum>
  <w:abstractNum w:abstractNumId="2407121">
    <w:lvl>
      <w:numFmt w:val="bullet"/>
      <w:suff w:val="tab"/>
      <w:lvlText w:val="•"/>
      <w:rPr>
        <w:color w:val="3370ff"/>
      </w:rPr>
    </w:lvl>
  </w:abstractNum>
  <w:abstractNum w:abstractNumId="2407122">
    <w:lvl>
      <w:numFmt w:val="bullet"/>
      <w:suff w:val="tab"/>
      <w:lvlText w:val="•"/>
      <w:rPr>
        <w:color w:val="3370ff"/>
      </w:rPr>
    </w:lvl>
  </w:abstractNum>
  <w:abstractNum w:abstractNumId="2407123">
    <w:lvl>
      <w:numFmt w:val="bullet"/>
      <w:suff w:val="tab"/>
      <w:lvlText w:val="•"/>
      <w:rPr>
        <w:color w:val="3370ff"/>
      </w:rPr>
    </w:lvl>
  </w:abstractNum>
  <w:abstractNum w:abstractNumId="2407124">
    <w:lvl>
      <w:numFmt w:val="bullet"/>
      <w:suff w:val="tab"/>
      <w:lvlText w:val="•"/>
      <w:rPr>
        <w:color w:val="3370ff"/>
      </w:rPr>
    </w:lvl>
  </w:abstractNum>
  <w:abstractNum w:abstractNumId="2407125">
    <w:lvl>
      <w:numFmt w:val="bullet"/>
      <w:suff w:val="tab"/>
      <w:lvlText w:val="•"/>
      <w:rPr>
        <w:color w:val="3370ff"/>
      </w:rPr>
    </w:lvl>
  </w:abstractNum>
  <w:abstractNum w:abstractNumId="2407126">
    <w:lvl>
      <w:numFmt w:val="bullet"/>
      <w:suff w:val="tab"/>
      <w:lvlText w:val="•"/>
      <w:rPr>
        <w:color w:val="3370ff"/>
      </w:rPr>
    </w:lvl>
  </w:abstractNum>
  <w:abstractNum w:abstractNumId="2407127">
    <w:lvl>
      <w:numFmt w:val="bullet"/>
      <w:suff w:val="tab"/>
      <w:lvlText w:val="•"/>
      <w:rPr>
        <w:color w:val="3370ff"/>
      </w:rPr>
    </w:lvl>
  </w:abstractNum>
  <w:abstractNum w:abstractNumId="2407128">
    <w:lvl>
      <w:numFmt w:val="bullet"/>
      <w:suff w:val="tab"/>
      <w:lvlText w:val="•"/>
      <w:rPr>
        <w:color w:val="3370ff"/>
      </w:rPr>
    </w:lvl>
  </w:abstractNum>
  <w:abstractNum w:abstractNumId="2407129">
    <w:lvl>
      <w:numFmt w:val="bullet"/>
      <w:suff w:val="tab"/>
      <w:lvlText w:val="•"/>
      <w:rPr>
        <w:color w:val="3370ff"/>
      </w:rPr>
    </w:lvl>
  </w:abstractNum>
  <w:abstractNum w:abstractNumId="2407130">
    <w:lvl>
      <w:numFmt w:val="bullet"/>
      <w:suff w:val="tab"/>
      <w:lvlText w:val="•"/>
      <w:rPr>
        <w:color w:val="3370ff"/>
      </w:rPr>
    </w:lvl>
  </w:abstractNum>
  <w:abstractNum w:abstractNumId="2407131">
    <w:lvl>
      <w:numFmt w:val="bullet"/>
      <w:suff w:val="tab"/>
      <w:lvlText w:val="•"/>
      <w:rPr>
        <w:color w:val="3370ff"/>
      </w:rPr>
    </w:lvl>
  </w:abstractNum>
  <w:num w:numId="1">
    <w:abstractNumId w:val="2407116"/>
  </w:num>
  <w:num w:numId="2">
    <w:abstractNumId w:val="2407117"/>
  </w:num>
  <w:num w:numId="3">
    <w:abstractNumId w:val="2407118"/>
  </w:num>
  <w:num w:numId="4">
    <w:abstractNumId w:val="2407119"/>
  </w:num>
  <w:num w:numId="5">
    <w:abstractNumId w:val="2407120"/>
  </w:num>
  <w:num w:numId="6">
    <w:abstractNumId w:val="2407121"/>
  </w:num>
  <w:num w:numId="7">
    <w:abstractNumId w:val="2407122"/>
  </w:num>
  <w:num w:numId="8">
    <w:abstractNumId w:val="2407123"/>
  </w:num>
  <w:num w:numId="9">
    <w:abstractNumId w:val="2407124"/>
  </w:num>
  <w:num w:numId="10">
    <w:abstractNumId w:val="2407125"/>
  </w:num>
  <w:num w:numId="11">
    <w:abstractNumId w:val="2407126"/>
  </w:num>
  <w:num w:numId="12">
    <w:abstractNumId w:val="2407127"/>
  </w:num>
  <w:num w:numId="13">
    <w:abstractNumId w:val="2407128"/>
  </w:num>
  <w:num w:numId="14">
    <w:abstractNumId w:val="2407129"/>
  </w:num>
  <w:num w:numId="15">
    <w:abstractNumId w:val="2407130"/>
  </w:num>
  <w:num w:numId="16">
    <w:abstractNumId w:val="2407131"/>
  </w:num>
</w:numbering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footer1.xml" Type="http://schemas.openxmlformats.org/officeDocument/2006/relationships/footer"/><Relationship Id="rId4" Target="numbering.xml" Type="http://schemas.openxmlformats.org/officeDocument/2006/relationships/numbering"/><Relationship Id="rId5" Target="header1.xml" Type="http://schemas.openxmlformats.org/officeDocument/2006/relationships/header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2026-02-12T21:21:20Z</dcterms:created>
  <dc:creator>Apache POI</dc:creator>
</cp:coreProperties>
</file>