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NAC公链宪法层升级规范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——将AI驱动的汇率锚定、可验证计算与黄金储备纳入数字宪法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  <w:br/>
      </w:r>
      <w:r>
        <w:rPr>
          <w:rFonts w:eastAsia="等线" w:ascii="Arial" w:cs="Arial" w:hAnsi="Arial"/>
          <w:b w:val="true"/>
          <w:sz w:val="22"/>
        </w:rPr>
        <w:t>关联协议</w:t>
      </w:r>
      <w:r>
        <w:rPr>
          <w:rFonts w:eastAsia="等线" w:ascii="Arial" w:cs="Arial" w:hAnsi="Arial"/>
          <w:sz w:val="22"/>
        </w:rPr>
        <w:t>：CBPP v2.0、UDM v2.0、NVM v2.1、XTZH 汇率系统 v1.0</w:t>
        <w:br/>
      </w: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：NAC宪法法院筹备委员会</w:t>
        <w:br/>
      </w:r>
      <w:r>
        <w:rPr>
          <w:rFonts w:eastAsia="等线" w:ascii="Arial" w:cs="Arial" w:hAnsi="Arial"/>
          <w:b w:val="true"/>
          <w:sz w:val="22"/>
        </w:rPr>
        <w:t>生效日期</w:t>
      </w:r>
      <w:r>
        <w:rPr>
          <w:rFonts w:eastAsia="等线" w:ascii="Arial" w:cs="Arial" w:hAnsi="Arial"/>
          <w:sz w:val="22"/>
        </w:rPr>
        <w:t>：2026年Q4（需宪法级治理投票）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宪法层定位重述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NAC公链的七层架构中，</w:t>
      </w:r>
      <w:r>
        <w:rPr>
          <w:rFonts w:eastAsia="等线" w:ascii="Arial" w:cs="Arial" w:hAnsi="Arial"/>
          <w:b w:val="true"/>
          <w:sz w:val="22"/>
        </w:rPr>
        <w:t>宪法层（L7）不是技术组件，而是数字文明的根本大法</w:t>
      </w:r>
      <w:r>
        <w:rPr>
          <w:rFonts w:eastAsia="等线" w:ascii="Arial" w:cs="Arial" w:hAnsi="Arial"/>
          <w:sz w:val="22"/>
        </w:rPr>
        <w:t>。它定义：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哪些规则是不可动摇的</w:t>
      </w:r>
      <w:r>
        <w:rPr>
          <w:rFonts w:eastAsia="等线" w:ascii="Arial" w:cs="Arial" w:hAnsi="Arial"/>
          <w:b w:val="true"/>
          <w:sz w:val="22"/>
        </w:rPr>
        <w:t>宪法条款</w:t>
      </w:r>
      <w:r>
        <w:rPr>
          <w:rFonts w:eastAsia="等线" w:ascii="Arial" w:cs="Arial" w:hAnsi="Arial"/>
          <w:sz w:val="22"/>
        </w:rPr>
        <w:t>（Constitutional Clauses）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如何产生、验证、执行</w:t>
      </w:r>
      <w:r>
        <w:rPr>
          <w:rFonts w:eastAsia="等线" w:ascii="Arial" w:cs="Arial" w:hAnsi="Arial"/>
          <w:b w:val="true"/>
          <w:sz w:val="22"/>
        </w:rPr>
        <w:t>宪法收据</w:t>
      </w:r>
      <w:r>
        <w:rPr>
          <w:rFonts w:eastAsia="等线" w:ascii="Arial" w:cs="Arial" w:hAnsi="Arial"/>
          <w:sz w:val="22"/>
        </w:rPr>
        <w:t>（Constitutional Receipt）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如何设立、运行</w:t>
      </w:r>
      <w:r>
        <w:rPr>
          <w:rFonts w:eastAsia="等线" w:ascii="Arial" w:cs="Arial" w:hAnsi="Arial"/>
          <w:b w:val="true"/>
          <w:sz w:val="22"/>
        </w:rPr>
        <w:t>宪法法院</w:t>
      </w:r>
      <w:r>
        <w:rPr>
          <w:rFonts w:eastAsia="等线" w:ascii="Arial" w:cs="Arial" w:hAnsi="Arial"/>
          <w:sz w:val="22"/>
        </w:rPr>
        <w:t>（Constitutional Court）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如何以</w:t>
      </w:r>
      <w:r>
        <w:rPr>
          <w:rFonts w:eastAsia="等线" w:ascii="Arial" w:cs="Arial" w:hAnsi="Arial"/>
          <w:b w:val="true"/>
          <w:sz w:val="22"/>
        </w:rPr>
        <w:t>超级多数共识</w:t>
      </w:r>
      <w:r>
        <w:rPr>
          <w:rFonts w:eastAsia="等线" w:ascii="Arial" w:cs="Arial" w:hAnsi="Arial"/>
          <w:sz w:val="22"/>
        </w:rPr>
        <w:t>修改宪法本身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本次升级的核心使命</w:t>
      </w:r>
      <w:r>
        <w:rPr>
          <w:rFonts w:eastAsia="等线" w:ascii="Arial" w:cs="Arial" w:hAnsi="Arial"/>
          <w:sz w:val="22"/>
        </w:rPr>
        <w:t>：将XTZH汇率系统的</w:t>
      </w:r>
      <w:r>
        <w:rPr>
          <w:rFonts w:eastAsia="等线" w:ascii="Arial" w:cs="Arial" w:hAnsi="Arial"/>
          <w:b w:val="true"/>
          <w:sz w:val="22"/>
        </w:rPr>
        <w:t>三重锚定原则、AI模型治理、可验证计算标准、黄金永续合约储备规则</w:t>
      </w:r>
      <w:r>
        <w:rPr>
          <w:rFonts w:eastAsia="等线" w:ascii="Arial" w:cs="Arial" w:hAnsi="Arial"/>
          <w:sz w:val="22"/>
        </w:rPr>
        <w:t>写入宪法，使其获得与区块奖励、地址格式同等的最高级别保护。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第一部分：宪法条款的机器可读编码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宪法条款的数据结构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每一条宪法条款都是一个</w:t>
      </w:r>
      <w:r>
        <w:rPr>
          <w:rFonts w:eastAsia="等线" w:ascii="Arial" w:cs="Arial" w:hAnsi="Arial"/>
          <w:b w:val="true"/>
          <w:sz w:val="22"/>
        </w:rPr>
        <w:t>链上智能对象</w:t>
      </w:r>
      <w:r>
        <w:rPr>
          <w:rFonts w:eastAsia="等线" w:ascii="Arial" w:cs="Arial" w:hAnsi="Arial"/>
          <w:sz w:val="22"/>
        </w:rPr>
        <w:t>，由以下字段定义：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/// 宪法条款（链上不可变，仅可通过宪法修正案修改）</w:t>
              <w:br/>
              <w:t>@system</w:t>
              <w:br/>
              <w:t>public struct ConstitutionalClause {</w:t>
              <w:br/>
              <w:t xml:space="preserve">    /// 条款唯一标识（如 "XTZH_ANCHOR_GOLD"）</w:t>
              <w:br/>
              <w:t xml:space="preserve">    id: bytes32,</w:t>
              <w:br/>
              <w:t xml:space="preserve">    </w:t>
              <w:br/>
              <w:t xml:space="preserve">    /// 条款名称（人类可读）</w:t>
              <w:br/>
              <w:t xml:space="preserve">    name: string,</w:t>
              <w:br/>
              <w:t xml:space="preserve">    </w:t>
              <w:br/>
              <w:t xml:space="preserve">    /// 条款层级：0=底层原则，1=战略规则，2=战术参数</w:t>
              <w:br/>
              <w:t xml:space="preserve">    level: uint8,</w:t>
              <w:br/>
              <w:t xml:space="preserve">    </w:t>
              <w:br/>
              <w:t xml:space="preserve">    /// 条款正文（形式化逻辑表达式，一阶谓词）</w:t>
              <w:br/>
              <w:t xml:space="preserve">    /// 使用NAC宪法逻辑语言（NCCL）编写</w:t>
              <w:br/>
              <w:t xml:space="preserve">    predicate: bytes,</w:t>
              <w:br/>
              <w:t xml:space="preserve">    </w:t>
              <w:br/>
              <w:t xml:space="preserve">    /// 依赖的其他条款ID（用于冲突检测）</w:t>
              <w:br/>
              <w:t xml:space="preserve">    dependencies: []bytes32,</w:t>
              <w:br/>
              <w:t xml:space="preserve">    </w:t>
              <w:br/>
              <w:t xml:space="preserve">    /// 生效区块高度</w:t>
              <w:br/>
              <w:t xml:space="preserve">    生效_区块: uint64,</w:t>
              <w:br/>
              <w:t xml:space="preserve">    </w:t>
              <w:br/>
              <w:t xml:space="preserve">    /// 历史版本哈希（指向被替代的旧条款）</w:t>
              <w:br/>
              <w:t xml:space="preserve">    supersedes: Option&lt;bytes32&gt;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NAC宪法逻辑语言（NCCL）</w:t>
      </w:r>
      <w:r>
        <w:rPr>
          <w:rFonts w:eastAsia="等线" w:ascii="Arial" w:cs="Arial" w:hAnsi="Arial"/>
          <w:sz w:val="22"/>
        </w:rPr>
        <w:t>是一种</w:t>
      </w:r>
      <w:r>
        <w:rPr>
          <w:rFonts w:eastAsia="等线" w:ascii="Arial" w:cs="Arial" w:hAnsi="Arial"/>
          <w:b w:val="true"/>
          <w:sz w:val="22"/>
        </w:rPr>
        <w:t>领域特定语言</w:t>
      </w:r>
      <w:r>
        <w:rPr>
          <w:rFonts w:eastAsia="等线" w:ascii="Arial" w:cs="Arial" w:hAnsi="Arial"/>
          <w:sz w:val="22"/>
        </w:rPr>
        <w:t>，用于将自然语言法律条款转化为</w:t>
      </w:r>
      <w:r>
        <w:rPr>
          <w:rFonts w:eastAsia="等线" w:ascii="Arial" w:cs="Arial" w:hAnsi="Arial"/>
          <w:b w:val="true"/>
          <w:sz w:val="22"/>
        </w:rPr>
        <w:t>可被智能合约执行的断言</w:t>
      </w:r>
      <w:r>
        <w:rPr>
          <w:rFonts w:eastAsia="等线" w:ascii="Arial" w:cs="Arial" w:hAnsi="Arial"/>
          <w:sz w:val="22"/>
        </w:rPr>
        <w:t>。编译器将NCCL代码编译为NVM字节码，可嵌入宪法收据验证流程。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1.2 核心宪法条款示例（XTZH相关）</w:t>
      </w:r>
      <w:bookmarkEnd w:id="3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" w:id="4"/>
      <w:r>
        <w:rPr>
          <w:rFonts w:eastAsia="等线" w:ascii="Arial" w:cs="Arial" w:hAnsi="Arial"/>
          <w:b w:val="true"/>
          <w:sz w:val="30"/>
        </w:rPr>
        <w:t>条款0.1：XTZH价值锚定原则</w:t>
      </w:r>
      <w:bookmarkEnd w:id="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ncl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文件：constitution/clause_0.1.nccl</w:t>
              <w:br/>
              <w:t>clause XTZH_ANCHOR_PRINCIPLE:</w:t>
              <w:br/>
              <w:t xml:space="preserve">    level = 0  // 底层原则，不可妥协</w:t>
              <w:br/>
              <w:t xml:space="preserve">    </w:t>
              <w:br/>
              <w:t xml:space="preserve">    // XTZH的价值必须由货币、黄金、商品三重锚定</w:t>
              <w:br/>
              <w:t xml:space="preserve">    forall t: Timestamp:</w:t>
              <w:br/>
              <w:t xml:space="preserve">        exists w_fx: Weight, w_au: Weight, w_com: Weight:</w:t>
              <w:br/>
              <w:t xml:space="preserve">            XTZH.weight_fx(t) = w_fx and</w:t>
              <w:br/>
              <w:t xml:space="preserve">            XTZH.weight_au(t) = w_au and</w:t>
              <w:br/>
              <w:t xml:space="preserve">            XTZH.weight_com(t) = w_com and</w:t>
              <w:br/>
              <w:t xml:space="preserve">            w_fx + w_au + w_com = 10000 and</w:t>
              <w:br/>
              <w:t xml:space="preserve">            w_fx in [3500, 4500] and  // 货币层35-45%</w:t>
              <w:br/>
              <w:t xml:space="preserve">            w_au in [500, 2000] and   // 黄金层5-20%</w:t>
              <w:br/>
              <w:t xml:space="preserve">            w_com in [4000, 6000]</w:t>
            </w:r>
            <w:r>
              <w:rPr>
                <w:rFonts w:eastAsia="Consolas" w:ascii="Consolas" w:cs="Consolas" w:hAnsi="Consolas"/>
                <w:sz w:val="22"/>
              </w:rPr>
              <w:t xml:space="preserve">     // 商品层40-60%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条款1.2：黄金永续合约储备覆盖率</w:t>
      </w:r>
      <w:bookmarkEnd w:id="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ncl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clause XTZH_GOLD_COVERAGE:</w:t>
              <w:br/>
              <w:t xml:space="preserve">    level = 1</w:t>
              <w:br/>
              <w:t xml:space="preserve">    depends_on = [XTZH_ANCHOR_PRINCIPLE]</w:t>
              <w:br/>
              <w:t xml:space="preserve">    </w:t>
              <w:br/>
              <w:t xml:space="preserve">    // 黄金合约名义价值必须≥黄金层目标市值的125%</w:t>
              <w:br/>
              <w:t xml:space="preserve">    forall t: Timestamp:</w:t>
              <w:br/>
              <w:t xml:space="preserve">        let gold_target = XTZH.total_supply(t) * XTZH.price(t) * XTZH.weight_au(t) / 10000</w:t>
              <w:br/>
              <w:t xml:space="preserve">        let gold_holding = GOLD_CONTRACT.total_value(t)</w:t>
              <w:br/>
              <w:t xml:space="preserve">        gold_holding &gt;= gold_target *</w:t>
            </w:r>
            <w:r>
              <w:rPr>
                <w:rFonts w:eastAsia="Consolas" w:ascii="Consolas" w:cs="Consolas" w:hAnsi="Consolas"/>
                <w:sz w:val="22"/>
              </w:rPr>
              <w:t xml:space="preserve"> 125 / 100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条款2.3：XTZH汇率模型治理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ncl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clause XTZH_MODEL_GOVERNANCE:</w:t>
              <w:br/>
              <w:t xml:space="preserve">    level = 1</w:t>
              <w:br/>
              <w:t xml:space="preserve">    </w:t>
              <w:br/>
              <w:t xml:space="preserve">    // AI汇率模型的参数更新必须经过XIC治理投票</w:t>
              <w:br/>
              <w:t xml:space="preserve">    forall v: ModelVersion:</w:t>
              <w:br/>
              <w:t xml:space="preserve">        if Model.is_active(v) then</w:t>
              <w:br/>
              <w:t xml:space="preserve">            exists p: Proposal:</w:t>
              <w:br/>
              <w:t xml:space="preserve">                p.type = MODEL_UPGRADE and</w:t>
              <w:br/>
              <w:t xml:space="preserve">                p.target = v and</w:t>
              <w:br/>
              <w:t xml:space="preserve">                p.approval_rate &gt;= 0.66 and  // 66%超级多数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        p.voting_period &gt;= 14 days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条款3.5：宪法收据强制验证</w:t>
      </w:r>
      <w:bookmarkEnd w:id="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ncl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clause CONSTITUTIONAL_RECEIPT_MANDATORY:</w:t>
              <w:br/>
              <w:t xml:space="preserve">    level = 0</w:t>
              <w:br/>
              <w:t xml:space="preserve">    </w:t>
              <w:br/>
              <w:t xml:space="preserve">    // 任何修改系统状态的操作必须附带有效宪法收据</w:t>
              <w:br/>
              <w:t xml:space="preserve">    forall tx: Transaction:</w:t>
              <w:br/>
              <w:t xml:space="preserve">        if tx.modifies_system_state() then</w:t>
              <w:br/>
              <w:t xml:space="preserve">            exists cr: ConstitutionalReceipt:</w:t>
              <w:br/>
              <w:t xml:space="preserve">                cr.tx_hash = tx.hash and</w:t>
              <w:br/>
              <w:t xml:space="preserve">                cr.is_valid() and</w:t>
              <w:br/>
              <w:t xml:space="preserve">                cr.constitutional_hash =</w:t>
            </w:r>
            <w:r>
              <w:rPr>
                <w:rFonts w:eastAsia="Consolas" w:ascii="Consolas" w:cs="Consolas" w:hAnsi="Consolas"/>
                <w:sz w:val="22"/>
              </w:rPr>
              <w:t xml:space="preserve"> CURRENT_CONSTITUTION_HASH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8" w:id="8"/>
      <w:r>
        <w:rPr>
          <w:rFonts w:eastAsia="等线" w:ascii="Arial" w:cs="Arial" w:hAnsi="Arial"/>
          <w:b w:val="true"/>
          <w:sz w:val="36"/>
        </w:rPr>
        <w:t>第二部分：宪法收据（CR）标准化</w:t>
      </w:r>
      <w:bookmarkEnd w:id="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2.1 宪法收据的使命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宪法收据是</w:t>
      </w:r>
      <w:r>
        <w:rPr>
          <w:rFonts w:eastAsia="等线" w:ascii="Arial" w:cs="Arial" w:hAnsi="Arial"/>
          <w:b w:val="true"/>
          <w:sz w:val="22"/>
        </w:rPr>
        <w:t>连接下层协议执行与上层宪法验证的纽带</w:t>
      </w:r>
      <w:r>
        <w:rPr>
          <w:rFonts w:eastAsia="等线" w:ascii="Arial" w:cs="Arial" w:hAnsi="Arial"/>
          <w:sz w:val="22"/>
        </w:rPr>
        <w:t>。任何需要修改系统状态的操作（如XTZH汇率提交、黄金合约再平衡、治理参数变更）都</w:t>
      </w:r>
      <w:r>
        <w:rPr>
          <w:rFonts w:eastAsia="等线" w:ascii="Arial" w:cs="Arial" w:hAnsi="Arial"/>
          <w:b w:val="true"/>
          <w:sz w:val="22"/>
        </w:rPr>
        <w:t>必须</w:t>
      </w:r>
      <w:r>
        <w:rPr>
          <w:rFonts w:eastAsia="等线" w:ascii="Arial" w:cs="Arial" w:hAnsi="Arial"/>
          <w:sz w:val="22"/>
        </w:rPr>
        <w:t>附带一份由</w:t>
      </w:r>
      <w:r>
        <w:rPr>
          <w:rFonts w:eastAsia="等线" w:ascii="Arial" w:cs="Arial" w:hAnsi="Arial"/>
          <w:b w:val="true"/>
          <w:sz w:val="22"/>
        </w:rPr>
        <w:t>宪法执行引擎（CEE）</w:t>
      </w:r>
      <w:r>
        <w:rPr>
          <w:rFonts w:eastAsia="等线" w:ascii="Arial" w:cs="Arial" w:hAnsi="Arial"/>
          <w:sz w:val="22"/>
        </w:rPr>
        <w:t xml:space="preserve"> 签发的收据，证明该操作</w:t>
      </w:r>
      <w:r>
        <w:rPr>
          <w:rFonts w:eastAsia="等线" w:ascii="Arial" w:cs="Arial" w:hAnsi="Arial"/>
          <w:b w:val="true"/>
          <w:sz w:val="22"/>
        </w:rPr>
        <w:t>符合当前生效宪法的所有相关条款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2.2 宪法收据数据结构（UDM扩展）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在现有`XTZHRateReceipt`基础上，增加宪法收据通用头部：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message ConstitutionalReceipt {</w:t>
              <w:br/>
              <w:t xml:space="preserve">    // ========= 宪法元数据 =========</w:t>
              <w:br/>
              <w:t xml:space="preserve">    bytes32 constitutional_hash = 1;   // 当前宪法版本根哈希</w:t>
              <w:br/>
              <w:t xml:space="preserve">    uint64 block_height = 2;          // 签发时的区块高度</w:t>
              <w:br/>
              <w:t xml:space="preserve">    uint64 expiry_block = 3;         // 过期区块高度（通常=签发+120）</w:t>
              <w:br/>
              <w:t xml:space="preserve">    </w:t>
              <w:br/>
              <w:t xml:space="preserve">    // ========= 操作绑定 =========</w:t>
              <w:br/>
              <w:t xml:space="preserve">    bytes32 tx_hash = 4;            // 受此收据保护的交易哈希</w:t>
              <w:br/>
              <w:t xml:space="preserve">    uint32 clause_mask = 5;        // 位图，标记已验证的条款索引</w:t>
              <w:br/>
              <w:t xml:space="preserve">    </w:t>
              <w:br/>
              <w:t xml:space="preserve">    // ========= 合规证明 =========</w:t>
              <w:br/>
              <w:t xml:space="preserve">    repeated ClauseProof clause_proofs = 6;  // 每条条款的验证证明</w:t>
              <w:br/>
              <w:t xml:space="preserve">    </w:t>
              <w:br/>
              <w:t xml:space="preserve">    // ========= 签发机构 =========</w:t>
              <w:br/>
              <w:t xml:space="preserve">    oneof authority {</w:t>
              <w:br/>
              <w:t xml:space="preserve">        CEESignature cee = 7;       // 宪法执行引擎签名</w:t>
              <w:br/>
              <w:t xml:space="preserve">        CourtRuling court = 8;      // 宪法法院裁决</w:t>
              <w:br/>
              <w:t xml:space="preserve">    }</w:t>
              <w:br/>
              <w:t xml:space="preserve">    </w:t>
              <w:br/>
              <w:t xml:space="preserve">    // ========= 收据指纹 =========</w:t>
              <w:br/>
              <w:t xml:space="preserve">    bytes32 receipt_id = 9;        // hash(constitutional_hash, tx_hash, ...)</w:t>
              <w:br/>
              <w:t>}</w:t>
              <w:br/>
              <w:br/>
              <w:t>message ClauseProof {</w:t>
              <w:br/>
              <w:t xml:space="preserve">    uint32 clause_index = 1;</w:t>
              <w:br/>
              <w:t xml:space="preserve">    bytes32 clause_hash = 2;       // 条款内容的哈希（用于验证未被篡改）</w:t>
              <w:br/>
              <w:t xml:space="preserve">    </w:t>
              <w:br/>
              <w:t xml:space="preserve">    // 条款特定的验证证据（如ZK证明、TEE认证、签名）</w:t>
              <w:br/>
              <w:t xml:space="preserve">    bytes evidence = 3;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2.3 宪法执行引擎（CEE）的职责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宪法执行引擎是一个</w:t>
      </w:r>
      <w:r>
        <w:rPr>
          <w:rFonts w:eastAsia="等线" w:ascii="Arial" w:cs="Arial" w:hAnsi="Arial"/>
          <w:b w:val="true"/>
          <w:sz w:val="22"/>
        </w:rPr>
        <w:t>分布式可信计算集群</w:t>
      </w:r>
      <w:r>
        <w:rPr>
          <w:rFonts w:eastAsia="等线" w:ascii="Arial" w:cs="Arial" w:hAnsi="Arial"/>
          <w:sz w:val="22"/>
        </w:rPr>
        <w:t>，负责：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条款验证</w:t>
      </w:r>
      <w:r>
        <w:rPr>
          <w:rFonts w:eastAsia="等线" w:ascii="Arial" w:cs="Arial" w:hAnsi="Arial"/>
          <w:sz w:val="22"/>
        </w:rPr>
        <w:t>：对于给定交易，检查其是否满足所有相关宪法条款。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收据签发</w:t>
      </w:r>
      <w:r>
        <w:rPr>
          <w:rFonts w:eastAsia="等线" w:ascii="Arial" w:cs="Arial" w:hAnsi="Arial"/>
          <w:sz w:val="22"/>
        </w:rPr>
        <w:t>：对通过验证的交易签发`ConstitutionalReceipt`。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收据存证</w:t>
      </w:r>
      <w:r>
        <w:rPr>
          <w:rFonts w:eastAsia="等线" w:ascii="Arial" w:cs="Arial" w:hAnsi="Arial"/>
          <w:sz w:val="22"/>
        </w:rPr>
        <w:t>：将收据哈希提交到链上，供共识节点验证。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CEE节点准入</w:t>
      </w:r>
      <w:r>
        <w:rPr>
          <w:rFonts w:eastAsia="等线" w:ascii="Arial" w:cs="Arial" w:hAnsi="Arial"/>
          <w:sz w:val="22"/>
        </w:rPr>
        <w:t>：必须通过宪法法院提名，XIC治理投票（75%多数）批准，并质押100万XIC。节点数量为</w:t>
      </w:r>
      <w:r>
        <w:rPr>
          <w:rFonts w:eastAsia="等线" w:ascii="Arial" w:cs="Arial" w:hAnsi="Arial"/>
          <w:b w:val="true"/>
          <w:sz w:val="22"/>
        </w:rPr>
        <w:t>奇数，不少于7个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2.4 CEE的宪法收据签发流程</w:t>
      </w:r>
      <w:bookmarkEnd w:id="1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@system</w:t>
              <w:br/>
              <w:t>@constitutional_court</w:t>
              <w:br/>
              <w:t>contract ConstitutionalExecutionEngine {</w:t>
              <w:br/>
              <w:t xml:space="preserve">    </w:t>
              <w:br/>
              <w:t xml:space="preserve">    /// 签发宪法收据（仅CEE节点可调用）</w:t>
              <w:br/>
              <w:t xml:space="preserve">    @role("CEE")</w:t>
              <w:br/>
              <w:t xml:space="preserve">    func issue_receipt(</w:t>
              <w:br/>
              <w:t xml:space="preserve">        tx_hash: bytes32,</w:t>
              <w:br/>
              <w:t xml:space="preserve">        clause_results: []ClauseResult,</w:t>
              <w:br/>
              <w:t xml:space="preserve">        expiry_delta: uint64</w:t>
              <w:br/>
              <w:t xml:space="preserve">    ) -&gt; ConstitutionalReceipt {</w:t>
              <w:br/>
              <w:t xml:space="preserve">        // 1. 验证调用者是否为授权CEE节点</w:t>
              <w:br/>
              <w:t xml:space="preserve">        require(__is_authorized_cee(msg.sender));</w:t>
              <w:br/>
              <w:t xml:space="preserve">        </w:t>
              <w:br/>
              <w:t xml:space="preserve">        // 2. 验证条款完整性</w:t>
              <w:br/>
              <w:t xml:space="preserve">        let clause_mask = 0;</w:t>
              <w:br/>
              <w:t xml:space="preserve">        for i in 0..clause_results.length {</w:t>
              <w:br/>
              <w:t xml:space="preserve">            let clause = __get_constitutional_clause(clause_results[i].index);</w:t>
              <w:br/>
              <w:t xml:space="preserve">            require(clause_results[i].clause_hash == clause.hash());</w:t>
              <w:br/>
              <w:t xml:space="preserve">            </w:t>
              <w:br/>
              <w:t xml:space="preserve">            // 执行条款谓词（调用NVM指令）</w:t>
              <w:br/>
              <w:t xml:space="preserve">            let passed = __execute_clause_predicate(</w:t>
              <w:br/>
              <w:t xml:space="preserve">                clause.predicate,</w:t>
              <w:br/>
              <w:t xml:space="preserve">                tx_hash,</w:t>
              <w:br/>
              <w:t xml:space="preserve">                clause_results[i].evidence</w:t>
              <w:br/>
              <w:t xml:space="preserve">            );</w:t>
              <w:br/>
              <w:t xml:space="preserve">            require(passed);</w:t>
              <w:br/>
              <w:t xml:space="preserve">            </w:t>
              <w:br/>
              <w:t xml:space="preserve">            clause_mask |= (1 &lt;&lt; clause_results[i].index);</w:t>
              <w:br/>
              <w:t xml:space="preserve">        }</w:t>
              <w:br/>
              <w:t xml:space="preserve">        </w:t>
              <w:br/>
              <w:t xml:space="preserve">        // 3. 验证必需条款是否全部覆盖</w:t>
              <w:br/>
              <w:t xml:space="preserve">        let required_mask = __get_required_clause_mask(tx_hash);</w:t>
              <w:br/>
              <w:t xml:space="preserve">        require((clause_mask &amp; required_mask) == required_mask);</w:t>
              <w:br/>
              <w:t xml:space="preserve">        </w:t>
              <w:br/>
              <w:t xml:space="preserve">        // 4. 构建收据</w:t>
              <w:br/>
              <w:t xml:space="preserve">        let receipt = ConstitutionalReceipt {</w:t>
              <w:br/>
              <w:t xml:space="preserve">            constitutional_hash: __current_constitution_hash(),</w:t>
              <w:br/>
              <w:t xml:space="preserve">            block_height: __block_height(),</w:t>
              <w:br/>
              <w:t xml:space="preserve">            expiry_block: __block_height() + expiry_delta,</w:t>
              <w:br/>
              <w:t xml:space="preserve">            tx_hash: tx_hash,</w:t>
              <w:br/>
              <w:t xml:space="preserve">            clause_mask: clause_mask,</w:t>
              <w:br/>
              <w:t xml:space="preserve">            clause_proofs: __build_proofs(clause_results),</w:t>
              <w:br/>
              <w:t xml:space="preserve">            authority: CEESignature(__sign_receipt(tx_hash)),</w:t>
              <w:br/>
              <w:t xml:space="preserve">            receipt_id: __hash_receipt(tx_hash, clause_mask, __block_height())</w:t>
              <w:br/>
              <w:t xml:space="preserve">        };</w:t>
              <w:br/>
              <w:t xml:space="preserve">        </w:t>
              <w:br/>
              <w:t xml:space="preserve">        // 5. 链上存证（仅存哈希，节省空间）</w:t>
              <w:br/>
              <w:t xml:space="preserve">        __store_receipt_hash(receipt.receipt_id, receipt);</w:t>
              <w:br/>
              <w:t xml:space="preserve">        </w:t>
              <w:br/>
              <w:t xml:space="preserve">        return receipt;</w:t>
              <w:br/>
              <w:t xml:space="preserve">    }</w:t>
              <w:br/>
              <w:t>}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3" w:id="13"/>
      <w:r>
        <w:rPr>
          <w:rFonts w:eastAsia="等线" w:ascii="Arial" w:cs="Arial" w:hAnsi="Arial"/>
          <w:b w:val="true"/>
          <w:sz w:val="36"/>
        </w:rPr>
        <w:t>第三部分：宪法法院的链上实现</w:t>
      </w:r>
      <w:bookmarkEnd w:id="1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3.1 宪法法院的定位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宪法法院是NAC链上</w:t>
      </w:r>
      <w:r>
        <w:rPr>
          <w:rFonts w:eastAsia="等线" w:ascii="Arial" w:cs="Arial" w:hAnsi="Arial"/>
          <w:b w:val="true"/>
          <w:sz w:val="22"/>
        </w:rPr>
        <w:t>最高司法权力机构</w:t>
      </w:r>
      <w:r>
        <w:rPr>
          <w:rFonts w:eastAsia="等线" w:ascii="Arial" w:cs="Arial" w:hAnsi="Arial"/>
          <w:sz w:val="22"/>
        </w:rPr>
        <w:t>，其职能包括：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宪法解释</w:t>
      </w:r>
      <w:r>
        <w:rPr>
          <w:rFonts w:eastAsia="等线" w:ascii="Arial" w:cs="Arial" w:hAnsi="Arial"/>
          <w:sz w:val="22"/>
        </w:rPr>
        <w:t>：当对条款含义产生争议时，出具具有约束力的解释。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违宪审查</w:t>
      </w:r>
      <w:r>
        <w:rPr>
          <w:rFonts w:eastAsia="等线" w:ascii="Arial" w:cs="Arial" w:hAnsi="Arial"/>
          <w:sz w:val="22"/>
        </w:rPr>
        <w:t>：宣布某项治理提案或系统操作违反宪法。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紧急裁决</w:t>
      </w:r>
      <w:r>
        <w:rPr>
          <w:rFonts w:eastAsia="等线" w:ascii="Arial" w:cs="Arial" w:hAnsi="Arial"/>
          <w:sz w:val="22"/>
        </w:rPr>
        <w:t>：在系统危机时授权临时措施（如冻结权重AI模型）。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法官任命</w:t>
      </w:r>
      <w:r>
        <w:rPr>
          <w:rFonts w:eastAsia="等线" w:ascii="Arial" w:cs="Arial" w:hAnsi="Arial"/>
          <w:sz w:val="22"/>
        </w:rPr>
        <w:t>：提名和罢免CEE节点、下级法官。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3.2 法官席位与选举</w:t>
      </w:r>
      <w:bookmarkEnd w:id="1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/// 宪法法院法官</w:t>
              <w:br/>
              <w:t>public struct Justice {</w:t>
              <w:br/>
              <w:t xml:space="preserve">    address: Address,           // 钱包地址</w:t>
              <w:br/>
              <w:t xml:space="preserve">    term_start: uint64,        // 任期开始区块</w:t>
              <w:br/>
              <w:t xml:space="preserve">    term_end: uint64,          // 任期结束区块（7年）</w:t>
              <w:br/>
              <w:t xml:space="preserve">    area: ExpertiseArea,      // 专业领域（密码学/宏观金融/宪法）</w:t>
              <w:br/>
              <w:t xml:space="preserve">    reputation: uint64,       // 声誉积分（影响投票权重）</w:t>
              <w:br/>
              <w:t>}</w:t>
              <w:br/>
              <w:br/>
              <w:t>/// 专业领域</w:t>
              <w:br/>
              <w:t>public enum ExpertiseArea {</w:t>
              <w:br/>
              <w:t xml:space="preserve">    Cryptography,</w:t>
              <w:br/>
              <w:t xml:space="preserve">    Macroeconomics,</w:t>
              <w:br/>
              <w:t xml:space="preserve">    ConstitutionalLaw,</w:t>
              <w:br/>
              <w:t xml:space="preserve">    ComputerScience,</w:t>
              <w:br/>
              <w:t xml:space="preserve">    General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法官产生机制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提名期</w:t>
      </w:r>
      <w:r>
        <w:rPr>
          <w:rFonts w:eastAsia="等线" w:ascii="Arial" w:cs="Arial" w:hAnsi="Arial"/>
          <w:sz w:val="22"/>
        </w:rPr>
        <w:t>（30天）：任何XIC持有者可提名候选人，需缴纳10万XIC保证金。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审查期</w:t>
      </w:r>
      <w:r>
        <w:rPr>
          <w:rFonts w:eastAsia="等线" w:ascii="Arial" w:cs="Arial" w:hAnsi="Arial"/>
          <w:sz w:val="22"/>
        </w:rPr>
        <w:t>（15天）：现任法官审查候选人资质，可一票否决（需说明理由）。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投票期</w:t>
      </w:r>
      <w:r>
        <w:rPr>
          <w:rFonts w:eastAsia="等线" w:ascii="Arial" w:cs="Arial" w:hAnsi="Arial"/>
          <w:sz w:val="22"/>
        </w:rPr>
        <w:t>（14天）：XIC持有者投票，采用</w:t>
      </w:r>
      <w:r>
        <w:rPr>
          <w:rFonts w:eastAsia="等线" w:ascii="Arial" w:cs="Arial" w:hAnsi="Arial"/>
          <w:b w:val="true"/>
          <w:sz w:val="22"/>
        </w:rPr>
        <w:t>二次方投票</w:t>
      </w:r>
      <w:r>
        <w:rPr>
          <w:rFonts w:eastAsia="等线" w:ascii="Arial" w:cs="Arial" w:hAnsi="Arial"/>
          <w:sz w:val="22"/>
        </w:rPr>
        <w:t>，每个地址权重为`sqrt(balance)`。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就职</w:t>
      </w:r>
      <w:r>
        <w:rPr>
          <w:rFonts w:eastAsia="等线" w:ascii="Arial" w:cs="Arial" w:hAnsi="Arial"/>
          <w:sz w:val="22"/>
        </w:rPr>
        <w:t>：得票前9名当选，任期7年，交错换届（每年改选1-2席）。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法官人数</w:t>
      </w:r>
      <w:r>
        <w:rPr>
          <w:rFonts w:eastAsia="等线" w:ascii="Arial" w:cs="Arial" w:hAnsi="Arial"/>
          <w:sz w:val="22"/>
        </w:rPr>
        <w:t>：恒定9人，重大裁决需至少5人同意。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3.3 宪法裁决的链上执行</w:t>
      </w:r>
      <w:bookmarkEnd w:id="1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@system</w:t>
              <w:br/>
              <w:t>@constitutional_court</w:t>
              <w:br/>
              <w:t>contract ConstitutionalCourt {</w:t>
              <w:br/>
              <w:t xml:space="preserve">    </w:t>
              <w:br/>
              <w:t xml:space="preserve">    /// 宪法解释请求</w:t>
              <w:br/>
              <w:t xml:space="preserve">    struct InterpretationRequest {</w:t>
              <w:br/>
              <w:t xml:space="preserve">        requestor: Address,</w:t>
              <w:br/>
              <w:t xml:space="preserve">        clause_id: bytes32,</w:t>
              <w:br/>
              <w:t xml:space="preserve">        question: bytes,           // 具体争议描述</w:t>
              <w:br/>
              <w:t xml:space="preserve">        evidence: bytes,          // 链上证据</w:t>
              <w:br/>
              <w:t xml:space="preserve">        timestamp: uint64</w:t>
              <w:br/>
              <w:t xml:space="preserve">    }</w:t>
              <w:br/>
              <w:t xml:space="preserve">    </w:t>
              <w:br/>
              <w:t xml:space="preserve">    /// 宪法裁决</w:t>
              <w:br/>
              <w:t xml:space="preserve">    struct Ruling {</w:t>
              <w:br/>
              <w:t xml:space="preserve">        ruling_id: bytes32,</w:t>
              <w:br/>
              <w:t xml:space="preserve">        request_hash: bytes32,</w:t>
              <w:br/>
              <w:t xml:space="preserve">        interpretation: bytes,    // 解释文本（哈希存证）</w:t>
              <w:br/>
              <w:t xml:space="preserve">        vote_results: []Vote,    // 法官投票记录</w:t>
              <w:br/>
              <w:t xml:space="preserve">        effective_block: uint64,</w:t>
              <w:br/>
              <w:t xml:space="preserve">        supersedes: Option&lt;bytes32&gt;  // 替代的历史裁决</w:t>
              <w:br/>
              <w:t xml:space="preserve">    }</w:t>
              <w:br/>
              <w:t xml:space="preserve">    </w:t>
              <w:br/>
              <w:t xml:space="preserve">    /// 发布宪法解释（仅法官可调用）</w:t>
              <w:br/>
              <w:t xml:space="preserve">    @role("JUSTICE")</w:t>
              <w:br/>
              <w:t xml:space="preserve">    func issue_interpretation(</w:t>
              <w:br/>
              <w:t xml:space="preserve">        request_hash: bytes32,</w:t>
              <w:br/>
              <w:t xml:space="preserve">        interpretation: bytes,</w:t>
              <w:br/>
              <w:t xml:space="preserve">        effective_delay: uint64</w:t>
              <w:br/>
              <w:t xml:space="preserve">    ) -&gt; Ruling {</w:t>
              <w:br/>
              <w:t xml:space="preserve">        // 1. 收集法官投票（链下签名，链上聚合）</w:t>
              <w:br/>
              <w:t xml:space="preserve">        let votes = __collect_justice_votes(request_hash, interpretation);</w:t>
              <w:br/>
              <w:t xml:space="preserve">        require(votes.length &gt;= 5);  // 至少5票</w:t>
              <w:br/>
              <w:t xml:space="preserve">        </w:t>
              <w:br/>
              <w:t xml:space="preserve">        // 2. 计算加权支持率（按声誉积分）</w:t>
              <w:br/>
              <w:t xml:space="preserve">        let weighted_approval = __calculate_weighted_approval(votes);</w:t>
              <w:br/>
              <w:t xml:space="preserve">        require(weighted_approval &gt;= 0.66);  // 66%多数</w:t>
              <w:br/>
              <w:t xml:space="preserve">        </w:t>
              <w:br/>
              <w:t xml:space="preserve">        // 3. 创建裁决</w:t>
              <w:br/>
              <w:t xml:space="preserve">        let ruling = Ruling {</w:t>
              <w:br/>
              <w:t xml:space="preserve">            ruling_id: __hash_ruling(request_hash, interpretation, __block_height()),</w:t>
              <w:br/>
              <w:t xml:space="preserve">            request_hash: request_hash,</w:t>
              <w:br/>
              <w:t xml:space="preserve">            interpretation: interpretation,</w:t>
              <w:br/>
              <w:t xml:space="preserve">            vote_results: votes,</w:t>
              <w:br/>
              <w:t xml:space="preserve">            effective_block: __block_height() + effective_delay,</w:t>
              <w:br/>
              <w:t xml:space="preserve">            supersedes: None</w:t>
              <w:br/>
              <w:t xml:space="preserve">        };</w:t>
              <w:br/>
              <w:t xml:space="preserve">        </w:t>
              <w:br/>
              <w:t xml:space="preserve">        // 4. 存证</w:t>
              <w:br/>
              <w:t xml:space="preserve">        __store_ruling(ruling);</w:t>
              <w:br/>
              <w:t xml:space="preserve">        </w:t>
              <w:br/>
              <w:t xml:space="preserve">        return ruling;</w:t>
              <w:br/>
              <w:t xml:space="preserve">    }</w:t>
              <w:br/>
              <w:t xml:space="preserve">    </w:t>
              <w:br/>
              <w:t xml:space="preserve">    /// 违宪审查：使某治理提案无效</w:t>
              <w:br/>
              <w:t xml:space="preserve">    @role("JUSTICE")</w:t>
              <w:br/>
              <w:t xml:space="preserve">    func veto_proposal(proposal_id: bytes32, reason: bytes) {</w:t>
              <w:br/>
              <w:t xml:space="preserve">        require(__is_valid_proposal(proposal_id));</w:t>
              <w:br/>
              <w:t xml:space="preserve">        require(__weighted_approval(__collect_veto_votes(proposal_id)) &gt;= 0.75);</w:t>
              <w:br/>
              <w:t xml:space="preserve">        </w:t>
              <w:br/>
              <w:t xml:space="preserve">        __invalidate_proposal(proposal_id);</w:t>
              <w:br/>
              <w:t xml:space="preserve">        __emit_veto(proposal_id, reason);</w:t>
              <w:br/>
              <w:t xml:space="preserve">    }</w:t>
              <w:br/>
              <w:t>}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7" w:id="17"/>
      <w:r>
        <w:rPr>
          <w:rFonts w:eastAsia="等线" w:ascii="Arial" w:cs="Arial" w:hAnsi="Arial"/>
          <w:b w:val="true"/>
          <w:sz w:val="36"/>
        </w:rPr>
        <w:t>第四部分：宪法升级流程</w:t>
      </w:r>
      <w:bookmarkEnd w:id="17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4.1 宪法修正案的生命周期</w:t>
      </w:r>
      <w:bookmarkEnd w:id="1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/// 宪法修正案</w:t>
              <w:br/>
              <w:t>public struct ConstitutionalAmendment {</w:t>
              <w:br/>
              <w:t xml:space="preserve">    id: bytes32,</w:t>
              <w:br/>
              <w:t xml:space="preserve">    title: string,</w:t>
              <w:br/>
              <w:t xml:space="preserve">    description: string,</w:t>
              <w:br/>
              <w:t xml:space="preserve">    </w:t>
              <w:br/>
              <w:t xml:space="preserve">    /// 修改内容：添加、替换、删除条款</w:t>
              <w:br/>
              <w:t xml:space="preserve">    actions: []AmendmentAction,</w:t>
              <w:br/>
              <w:t xml:space="preserve">    </w:t>
              <w:br/>
              <w:t xml:space="preserve">    /// 当前阶段</w:t>
              <w:br/>
              <w:t xml:space="preserve">    phase: AmendmentPhase,</w:t>
              <w:br/>
              <w:t xml:space="preserve">    </w:t>
              <w:br/>
              <w:t xml:space="preserve">    /// 各阶段时间戳</w:t>
              <w:br/>
              <w:t xml:space="preserve">    timestamps: AmendmentTimestamps</w:t>
              <w:br/>
              <w:t>}</w:t>
              <w:br/>
              <w:br/>
              <w:t>public enum AmendmentPhase {</w:t>
              <w:br/>
              <w:t xml:space="preserve">    Drafting,           // 起草期（7天）</w:t>
              <w:br/>
              <w:t xml:space="preserve">    JudicialReview,     // 宪法法院审查（15天）</w:t>
              <w:br/>
              <w:t xml:space="preserve">    LegislativeVote,    // 立法议会投票（14天）</w:t>
              <w:br/>
              <w:t xml:space="preserve">    PublicReferendum,   // 全民公投（21天）</w:t>
              <w:br/>
              <w:t xml:space="preserve">    CoolingOff,         // 冷静期（30天）</w:t>
              <w:br/>
              <w:t xml:space="preserve">    Activated,          // 已生效</w:t>
              <w:br/>
              <w:t xml:space="preserve">    Rejected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4.2 宪法法院的审查权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宪法法院对修正案拥有</w:t>
      </w:r>
      <w:r>
        <w:rPr>
          <w:rFonts w:eastAsia="等线" w:ascii="Arial" w:cs="Arial" w:hAnsi="Arial"/>
          <w:b w:val="true"/>
          <w:sz w:val="22"/>
        </w:rPr>
        <w:t>事前审查权</w:t>
      </w:r>
      <w:r>
        <w:rPr>
          <w:rFonts w:eastAsia="等线" w:ascii="Arial" w:cs="Arial" w:hAnsi="Arial"/>
          <w:sz w:val="22"/>
        </w:rPr>
        <w:t>，可裁决修正案是否</w:t>
      </w:r>
      <w:r>
        <w:rPr>
          <w:rFonts w:eastAsia="等线" w:ascii="Arial" w:cs="Arial" w:hAnsi="Arial"/>
          <w:b w:val="true"/>
          <w:sz w:val="22"/>
        </w:rPr>
        <w:t>与宪法基本原则冲突</w:t>
      </w:r>
      <w:r>
        <w:rPr>
          <w:rFonts w:eastAsia="等线" w:ascii="Arial" w:cs="Arial" w:hAnsi="Arial"/>
          <w:sz w:val="22"/>
        </w:rPr>
        <w:t>。若裁决冲突，修正案终止。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@role("JUSTICE")</w:t>
              <w:br/>
              <w:t>func review_amendment(amendment_id: bytes32) -&gt; ReviewResult {</w:t>
              <w:br/>
              <w:t xml:space="preserve">    let amendment = __get_amendment(amendment_id);</w:t>
              <w:br/>
              <w:t xml:space="preserve">    </w:t>
              <w:br/>
              <w:t xml:space="preserve">    // 检查是否违反不可修改条款（如“储备神圣原则”）</w:t>
              <w:br/>
              <w:t xml:space="preserve">    for clause in amendment.modified_clauses {</w:t>
              <w:br/>
              <w:t xml:space="preserve">        if __is_eternal_clause(clause.id) {</w:t>
              <w:br/>
              <w:t xml:space="preserve">            return ReviewResult::Rejected("Cannot modify eternal clause");</w:t>
              <w:br/>
              <w:t xml:space="preserve">        }</w:t>
              <w:br/>
              <w:t xml:space="preserve">    }</w:t>
              <w:br/>
              <w:t xml:space="preserve">    </w:t>
              <w:br/>
              <w:t xml:space="preserve">    // 形式化验证：使用SMT求解器检查新旧条款是否逻辑一致</w:t>
              <w:br/>
              <w:t xml:space="preserve">    if !__check_consistency(amendment) {</w:t>
              <w:br/>
              <w:t xml:space="preserve">        return ReviewResult::Rejected("Inconsistent with existing constitution");</w:t>
              <w:br/>
              <w:t xml:space="preserve">    }</w:t>
              <w:br/>
              <w:t xml:space="preserve">    </w:t>
              <w:br/>
              <w:t xml:space="preserve">    return ReviewResult::Approved;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4.3 全民公投（链上实现）</w:t>
      </w:r>
      <w:bookmarkEnd w:id="2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/// 全民公投：所有XIC持有者参与，权重为`sqrt(balance)`</w:t>
              <w:br/>
              <w:t>func conduct_referendum(amendment_id: bytes32) {</w:t>
              <w:br/>
              <w:t xml:space="preserve">    let amendment = __get_amendment(amendment_id);</w:t>
              <w:br/>
              <w:t xml:space="preserve">    require(amendment.phase == AmendmentPhase.PublicReferendum);</w:t>
              <w:br/>
              <w:t xml:space="preserve">    </w:t>
              <w:br/>
              <w:t xml:space="preserve">    // 投票期21天</w:t>
              <w:br/>
              <w:t xml:space="preserve">    let end_block = __block_height() + 21 * 86400 / BLOCK_TIME;</w:t>
              <w:br/>
              <w:t xml:space="preserve">    </w:t>
              <w:br/>
              <w:t xml:space="preserve">    // 收集投票（通过链上投票合约）</w:t>
              <w:br/>
              <w:t xml:space="preserve">    let total_weight = 0;</w:t>
              <w:br/>
              <w:t xml:space="preserve">    let approve_weight = 0;</w:t>
              <w:br/>
              <w:t xml:space="preserve">    </w:t>
              <w:br/>
              <w:t xml:space="preserve">    // ... 投票逻辑</w:t>
              <w:br/>
              <w:t xml:space="preserve">    </w:t>
              <w:br/>
              <w:t xml:space="preserve">    // 通过条件：</w:t>
              <w:br/>
              <w:t xml:space="preserve">    // 1. 参与率 ≥ 40% 总投票权重</w:t>
              <w:br/>
              <w:t xml:space="preserve">    // 2. 赞成率 ≥ 66%</w:t>
              <w:br/>
              <w:t xml:space="preserve">    if total_weight &gt;= TOTAL_XIC_WEIGHT * 40 / 100</w:t>
              <w:br/>
              <w:t xml:space="preserve">        &amp;&amp; approve_weight * 100 / total_weight &gt;= 66 {</w:t>
              <w:br/>
              <w:t xml:space="preserve">        amendment.phase = AmendmentPhase.CoolingOff;</w:t>
              <w:br/>
              <w:t xml:space="preserve">        amendment.timestamps.cooling_off_start = __block_height();</w:t>
              <w:br/>
              <w:t xml:space="preserve">    } else {</w:t>
              <w:br/>
              <w:t xml:space="preserve">        amendment.phase = AmendmentPhase.Rejected;</w:t>
              <w:br/>
              <w:t xml:space="preserve">    }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4.4 冷静期与激活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修正案通过公投后，需经过</w:t>
      </w:r>
      <w:r>
        <w:rPr>
          <w:rFonts w:eastAsia="等线" w:ascii="Arial" w:cs="Arial" w:hAnsi="Arial"/>
          <w:b w:val="true"/>
          <w:sz w:val="22"/>
        </w:rPr>
        <w:t>30天冷静期</w:t>
      </w:r>
      <w:r>
        <w:rPr>
          <w:rFonts w:eastAsia="等线" w:ascii="Arial" w:cs="Arial" w:hAnsi="Arial"/>
          <w:sz w:val="22"/>
        </w:rPr>
        <w:t>方可激活。冷静期内：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宪法法院可</w:t>
      </w:r>
      <w:r>
        <w:rPr>
          <w:rFonts w:eastAsia="等线" w:ascii="Arial" w:cs="Arial" w:hAnsi="Arial"/>
          <w:b w:val="true"/>
          <w:sz w:val="22"/>
        </w:rPr>
        <w:t>紧急叫停</w:t>
      </w:r>
      <w:r>
        <w:rPr>
          <w:rFonts w:eastAsia="等线" w:ascii="Arial" w:cs="Arial" w:hAnsi="Arial"/>
          <w:sz w:val="22"/>
        </w:rPr>
        <w:t>（需7/9法官同意）。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社区可提交</w:t>
      </w:r>
      <w:r>
        <w:rPr>
          <w:rFonts w:eastAsia="等线" w:ascii="Arial" w:cs="Arial" w:hAnsi="Arial"/>
          <w:b w:val="true"/>
          <w:sz w:val="22"/>
        </w:rPr>
        <w:t>替代修正案</w:t>
      </w:r>
      <w:r>
        <w:rPr>
          <w:rFonts w:eastAsia="等线" w:ascii="Arial" w:cs="Arial" w:hAnsi="Arial"/>
          <w:sz w:val="22"/>
        </w:rPr>
        <w:t>，若替代案通过，原案自动作废。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激活后，修正案内容被写入</w:t>
      </w:r>
      <w:r>
        <w:rPr>
          <w:rFonts w:eastAsia="等线" w:ascii="Arial" w:cs="Arial" w:hAnsi="Arial"/>
          <w:b w:val="true"/>
          <w:sz w:val="22"/>
        </w:rPr>
        <w:t>宪法状态树</w:t>
      </w:r>
      <w:r>
        <w:rPr>
          <w:rFonts w:eastAsia="等线" w:ascii="Arial" w:cs="Arial" w:hAnsi="Arial"/>
          <w:sz w:val="22"/>
        </w:rPr>
        <w:t>，`current_constitution_hash`更新，旧条款归档。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2" w:id="22"/>
      <w:r>
        <w:rPr>
          <w:rFonts w:eastAsia="等线" w:ascii="Arial" w:cs="Arial" w:hAnsi="Arial"/>
          <w:b w:val="true"/>
          <w:sz w:val="36"/>
        </w:rPr>
        <w:t>第五部分：XTZH系统的宪法级保护</w:t>
      </w:r>
      <w:bookmarkEnd w:id="2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3" w:id="23"/>
      <w:r>
        <w:rPr>
          <w:rFonts w:eastAsia="等线" w:ascii="Arial" w:cs="Arial" w:hAnsi="Arial"/>
          <w:b w:val="true"/>
          <w:sz w:val="32"/>
        </w:rPr>
        <w:t>5.1 不可修改的“永恒条款”</w:t>
      </w:r>
      <w:bookmarkEnd w:id="2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以下条款</w:t>
      </w:r>
      <w:r>
        <w:rPr>
          <w:rFonts w:eastAsia="等线" w:ascii="Arial" w:cs="Arial" w:hAnsi="Arial"/>
          <w:b w:val="true"/>
          <w:sz w:val="22"/>
        </w:rPr>
        <w:t>永不接受修正</w:t>
      </w:r>
      <w:r>
        <w:rPr>
          <w:rFonts w:eastAsia="等线" w:ascii="Arial" w:cs="Arial" w:hAnsi="Arial"/>
          <w:sz w:val="22"/>
        </w:rPr>
        <w:t>，违宪审查将自动否决任何企图修改它们的提案：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三重锚定原则</w:t>
      </w:r>
      <w:r>
        <w:rPr>
          <w:rFonts w:eastAsia="等线" w:ascii="Arial" w:cs="Arial" w:hAnsi="Arial"/>
          <w:sz w:val="22"/>
        </w:rPr>
        <w:t>（条款0.1）：XTZH必须始终由货币、黄金、商品三层锚定。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储备覆盖率底线</w:t>
      </w:r>
      <w:r>
        <w:rPr>
          <w:rFonts w:eastAsia="等线" w:ascii="Arial" w:cs="Arial" w:hAnsi="Arial"/>
          <w:sz w:val="22"/>
        </w:rPr>
        <w:t>（条款1.2）：黄金合约覆盖率≥125%。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宪法收据强制</w:t>
      </w:r>
      <w:r>
        <w:rPr>
          <w:rFonts w:eastAsia="等线" w:ascii="Arial" w:cs="Arial" w:hAnsi="Arial"/>
          <w:sz w:val="22"/>
        </w:rPr>
        <w:t>（条款3.5）：任何系统状态修改必须附带CR。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司法独立</w:t>
      </w:r>
      <w:r>
        <w:rPr>
          <w:rFonts w:eastAsia="等线" w:ascii="Arial" w:cs="Arial" w:hAnsi="Arial"/>
          <w:sz w:val="22"/>
        </w:rPr>
        <w:t>：宪法法院裁决不受XIC治理推翻。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5.2 需宪法法院批准的“战略条款”</w:t>
      </w:r>
      <w:bookmarkEnd w:id="2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以下条款修改需经</w:t>
      </w:r>
      <w:r>
        <w:rPr>
          <w:rFonts w:eastAsia="等线" w:ascii="Arial" w:cs="Arial" w:hAnsi="Arial"/>
          <w:b w:val="true"/>
          <w:sz w:val="22"/>
        </w:rPr>
        <w:t>宪法法院事前批准+全民公投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AI汇率模型的</w:t>
      </w:r>
      <w:r>
        <w:rPr>
          <w:rFonts w:eastAsia="等线" w:ascii="Arial" w:cs="Arial" w:hAnsi="Arial"/>
          <w:b w:val="true"/>
          <w:sz w:val="22"/>
        </w:rPr>
        <w:t>架构变更</w:t>
      </w:r>
      <w:r>
        <w:rPr>
          <w:rFonts w:eastAsia="等线" w:ascii="Arial" w:cs="Arial" w:hAnsi="Arial"/>
          <w:sz w:val="22"/>
        </w:rPr>
        <w:t>（如从Transformer换为其他架构）。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黄金永续合约的</w:t>
      </w:r>
      <w:r>
        <w:rPr>
          <w:rFonts w:eastAsia="等线" w:ascii="Arial" w:cs="Arial" w:hAnsi="Arial"/>
          <w:b w:val="true"/>
          <w:sz w:val="22"/>
        </w:rPr>
        <w:t>交易所准入清单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18种商品的</w:t>
      </w:r>
      <w:r>
        <w:rPr>
          <w:rFonts w:eastAsia="等线" w:ascii="Arial" w:cs="Arial" w:hAnsi="Arial"/>
          <w:b w:val="true"/>
          <w:sz w:val="22"/>
        </w:rPr>
        <w:t>篮子构成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宪法法院自身</w:t>
      </w:r>
      <w:r>
        <w:rPr>
          <w:rFonts w:eastAsia="等线" w:ascii="Arial" w:cs="Arial" w:hAnsi="Arial"/>
          <w:b w:val="true"/>
          <w:sz w:val="22"/>
        </w:rPr>
        <w:t>法官人数</w:t>
      </w:r>
      <w:r>
        <w:rPr>
          <w:rFonts w:eastAsia="等线" w:ascii="Arial" w:cs="Arial" w:hAnsi="Arial"/>
          <w:sz w:val="22"/>
        </w:rPr>
        <w:t>与</w:t>
      </w:r>
      <w:r>
        <w:rPr>
          <w:rFonts w:eastAsia="等线" w:ascii="Arial" w:cs="Arial" w:hAnsi="Arial"/>
          <w:b w:val="true"/>
          <w:sz w:val="22"/>
        </w:rPr>
        <w:t>任期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5" w:id="25"/>
      <w:r>
        <w:rPr>
          <w:rFonts w:eastAsia="等线" w:ascii="Arial" w:cs="Arial" w:hAnsi="Arial"/>
          <w:b w:val="true"/>
          <w:sz w:val="32"/>
        </w:rPr>
        <w:t>5.3 普通治理可调的“战术参数”</w:t>
      </w:r>
      <w:bookmarkEnd w:id="2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以下参数</w:t>
      </w:r>
      <w:r>
        <w:rPr>
          <w:rFonts w:eastAsia="等线" w:ascii="Arial" w:cs="Arial" w:hAnsi="Arial"/>
          <w:b w:val="true"/>
          <w:sz w:val="22"/>
        </w:rPr>
        <w:t>无需宪法修正</w:t>
      </w:r>
      <w:r>
        <w:rPr>
          <w:rFonts w:eastAsia="等线" w:ascii="Arial" w:cs="Arial" w:hAnsi="Arial"/>
          <w:sz w:val="22"/>
        </w:rPr>
        <w:t>，仅需XIC简单多数投票：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商品层内部静态权重`β_j`的年度微调（±20%以内）。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再平衡触发阈值（±2% / ±5% / ±10%）。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预言机节点列表（非CEE节点）。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审计频率与透明度报告格式。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6" w:id="26"/>
      <w:r>
        <w:rPr>
          <w:rFonts w:eastAsia="等线" w:ascii="Arial" w:cs="Arial" w:hAnsi="Arial"/>
          <w:b w:val="true"/>
          <w:sz w:val="36"/>
        </w:rPr>
        <w:t>第六部分：宪法层的技术实现（UDM+NVM）</w:t>
      </w:r>
      <w:bookmarkEnd w:id="26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7" w:id="27"/>
      <w:r>
        <w:rPr>
          <w:rFonts w:eastAsia="等线" w:ascii="Arial" w:cs="Arial" w:hAnsi="Arial"/>
          <w:b w:val="true"/>
          <w:sz w:val="32"/>
        </w:rPr>
        <w:t>6.1 UDM宪法模块</w:t>
      </w:r>
      <w:bookmarkEnd w:id="2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module_id: 0x00000001  // 宪法模块（预留）</w:t>
              <w:br/>
              <w:t>module_name: "ConstitutionalProtocol"</w:t>
              <w:br/>
              <w:t>current_version: 3</w:t>
              <w:br/>
              <w:br/>
              <w:t>// 宪法条款注册表</w:t>
              <w:br/>
              <w:t>message ConstitutionalRegistry {</w:t>
              <w:br/>
              <w:t xml:space="preserve">    repeated ConstitutionalClause clauses = 1;</w:t>
              <w:br/>
              <w:t xml:space="preserve">    bytes32 root_hash = 2;</w:t>
              <w:br/>
              <w:t>}</w:t>
              <w:br/>
              <w:br/>
              <w:t>// 宪法收据验证规则（Wasm）</w:t>
              <w:br/>
              <w:t>// 验证：收据签名、条款哈希、未过期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8" w:id="28"/>
      <w:r>
        <w:rPr>
          <w:rFonts w:eastAsia="等线" w:ascii="Arial" w:cs="Arial" w:hAnsi="Arial"/>
          <w:b w:val="true"/>
          <w:sz w:val="32"/>
        </w:rPr>
        <w:t>6.2 NVM宪法指令扩展</w:t>
      </w:r>
      <w:bookmarkEnd w:id="2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操作码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指令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功能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Gas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0xFB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CONST_GET_CLAUSE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根据ID获取条款</w:t>
            </w:r>
            <w:r>
              <w:rPr>
                <w:rFonts w:eastAsia="等线" w:ascii="Arial" w:cs="Arial" w:hAnsi="Arial"/>
                <w:sz w:val="22"/>
              </w:rPr>
              <w:t>内容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300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0xFC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CONST_EXEC_PREDICATE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执行NCCL谓词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2,000-10,000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0xFD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CONST_VERIFY_RECEIPT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验证宪法收据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8,000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0xFE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CONST_GET_CURRENT_HASH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获取当前宪法根哈希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200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0xFF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Consolas" w:ascii="Consolas" w:cs="Consolas" w:hAnsi="Consolas"/>
                <w:sz w:val="22"/>
                <w:shd w:fill="EFF0F1"/>
              </w:rPr>
              <w:t>CONST_EMIT_RULING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链上发布宪法裁决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15,000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9" w:id="29"/>
      <w:r>
        <w:rPr>
          <w:rFonts w:eastAsia="等线" w:ascii="Arial" w:cs="Arial" w:hAnsi="Arial"/>
          <w:b w:val="true"/>
          <w:sz w:val="32"/>
        </w:rPr>
        <w:t>6.3 Charter语言支持</w:t>
      </w:r>
      <w:bookmarkEnd w:id="2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charter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import "constitution/ConstitutionalCourt.charter";</w:t>
              <w:br/>
              <w:br/>
              <w:t>@constitutional(required = [XTZH_ANCHOR_PRINCIPLE])</w:t>
              <w:br/>
              <w:t>func submit_xtzh_rate(receipt: XTZHRateReceipt) {</w:t>
              <w:br/>
              <w:t xml:space="preserve">    // 编译器自动插入宪法收据验证指令</w:t>
              <w:br/>
              <w:t xml:space="preserve">    // 并在交易开始时检查条款XTZH_ANCHOR_PRINCIPLE</w:t>
              <w:br/>
              <w:t xml:space="preserve">    xtzh::submit_rate(receipt);</w:t>
              <w:br/>
              <w:t>}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0" w:id="30"/>
      <w:r>
        <w:rPr>
          <w:rFonts w:eastAsia="等线" w:ascii="Arial" w:cs="Arial" w:hAnsi="Arial"/>
          <w:b w:val="true"/>
          <w:sz w:val="36"/>
        </w:rPr>
        <w:t>第七部分：宪法层升级的治理程序</w:t>
      </w:r>
      <w:bookmarkEnd w:id="3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本次“宪法层升级”本身也是一次</w:t>
      </w:r>
      <w:r>
        <w:rPr>
          <w:rFonts w:eastAsia="等线" w:ascii="Arial" w:cs="Arial" w:hAnsi="Arial"/>
          <w:b w:val="true"/>
          <w:sz w:val="22"/>
        </w:rPr>
        <w:t>宪法修正</w:t>
      </w:r>
      <w:r>
        <w:rPr>
          <w:rFonts w:eastAsia="等线" w:ascii="Arial" w:cs="Arial" w:hAnsi="Arial"/>
          <w:sz w:val="22"/>
        </w:rPr>
        <w:t>，需遵循以下流程：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起草</w:t>
      </w:r>
      <w:r>
        <w:rPr>
          <w:rFonts w:eastAsia="等线" w:ascii="Arial" w:cs="Arial" w:hAnsi="Arial"/>
          <w:sz w:val="22"/>
        </w:rPr>
        <w:t>（已完成）：NAC宪法法院筹备委员会起草本规范。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宪法法院审查</w:t>
      </w:r>
      <w:r>
        <w:rPr>
          <w:rFonts w:eastAsia="等线" w:ascii="Arial" w:cs="Arial" w:hAnsi="Arial"/>
          <w:sz w:val="22"/>
        </w:rPr>
        <w:t>（预计2026.03）：9名临时大法官（由创始团队提名，社区确认）审查规范与现有宪法的兼容性。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立法议会投票</w:t>
      </w:r>
      <w:r>
        <w:rPr>
          <w:rFonts w:eastAsia="等线" w:ascii="Arial" w:cs="Arial" w:hAnsi="Arial"/>
          <w:sz w:val="22"/>
        </w:rPr>
        <w:t>（2026.04）：XIC持有者通过二次方投票，需66%赞成。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全民公投</w:t>
      </w:r>
      <w:r>
        <w:rPr>
          <w:rFonts w:eastAsia="等线" w:ascii="Arial" w:cs="Arial" w:hAnsi="Arial"/>
          <w:sz w:val="22"/>
        </w:rPr>
        <w:t>（2026.05）：投票率≥40%，赞成率≥66%。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冷静期</w:t>
      </w:r>
      <w:r>
        <w:rPr>
          <w:rFonts w:eastAsia="等线" w:ascii="Arial" w:cs="Arial" w:hAnsi="Arial"/>
          <w:sz w:val="22"/>
        </w:rPr>
        <w:t>（2026.05-06）：社区反馈，最终调整。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激活</w:t>
      </w:r>
      <w:r>
        <w:rPr>
          <w:rFonts w:eastAsia="等线" w:ascii="Arial" w:cs="Arial" w:hAnsi="Arial"/>
          <w:sz w:val="22"/>
        </w:rPr>
        <w:t>（2026.07）：主网区块高度`H_activation`，新宪法生效。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激活后，本规范中的所有条款、数据结构、指令将</w:t>
      </w:r>
      <w:r>
        <w:rPr>
          <w:rFonts w:eastAsia="等线" w:ascii="Arial" w:cs="Arial" w:hAnsi="Arial"/>
          <w:b w:val="true"/>
          <w:sz w:val="22"/>
        </w:rPr>
        <w:t>成为NAC公链不可动摇的基石</w:t>
      </w:r>
      <w:r>
        <w:rPr>
          <w:rFonts w:eastAsia="等线" w:ascii="Arial" w:cs="Arial" w:hAnsi="Arial"/>
          <w:sz w:val="22"/>
        </w:rPr>
        <w:t>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1" w:id="31"/>
      <w:r>
        <w:rPr>
          <w:rFonts w:eastAsia="等线" w:ascii="Arial" w:cs="Arial" w:hAnsi="Arial"/>
          <w:b w:val="true"/>
          <w:sz w:val="36"/>
        </w:rPr>
        <w:t>结语：迈向数字宪政</w:t>
      </w:r>
      <w:bookmarkEnd w:id="3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NAC公链的宪法层升级，不是一次简单的技术迭代，而是</w:t>
      </w:r>
      <w:r>
        <w:rPr>
          <w:rFonts w:eastAsia="等线" w:ascii="Arial" w:cs="Arial" w:hAnsi="Arial"/>
          <w:b w:val="true"/>
          <w:sz w:val="22"/>
        </w:rPr>
        <w:t>将密码学、经济学、法学深度融合的社会实验</w:t>
      </w:r>
      <w:r>
        <w:rPr>
          <w:rFonts w:eastAsia="等线" w:ascii="Arial" w:cs="Arial" w:hAnsi="Arial"/>
          <w:sz w:val="22"/>
        </w:rPr>
        <w:t>。我们正在建造：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用ZK-SNARKs保障的司法裁决</w:t>
      </w:r>
      <w:r>
        <w:rPr>
          <w:rFonts w:eastAsia="等线" w:ascii="Arial" w:cs="Arial" w:hAnsi="Arial"/>
          <w:sz w:val="22"/>
        </w:rPr>
        <w:t>：宪法法院的判决可被任何人验证。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用形式化验证保障的宪法条款</w:t>
      </w:r>
      <w:r>
        <w:rPr>
          <w:rFonts w:eastAsia="等线" w:ascii="Arial" w:cs="Arial" w:hAnsi="Arial"/>
          <w:sz w:val="22"/>
        </w:rPr>
        <w:t>：NCCL使法律条文成为可执行的代码。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用二次方投票保障的民主治理</w:t>
      </w:r>
      <w:r>
        <w:rPr>
          <w:rFonts w:eastAsia="等线" w:ascii="Arial" w:cs="Arial" w:hAnsi="Arial"/>
          <w:sz w:val="22"/>
        </w:rPr>
        <w:t>：防止财阀控制，激励长期贡献。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当代码即法律（Code is Law）进化为法律即代码（Law is Code），当宪法法院的法官签名与区块哈希共同写入Merkle树——我们便真正拥有了数字时代的法治。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：NAC宪法法院筹备委员会</w:t>
        <w:br/>
      </w: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：1.0.0</w:t>
        <w:br/>
      </w: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：2026年2月12日</w:t>
        <w:br/>
      </w: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：提交宪法审查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本规范是对NAC白皮书第18-19章的完整实现。</w:t>
      </w:r>
      <w:r>
        <w:rPr>
          <w:rFonts w:eastAsia="等线" w:ascii="Arial" w:cs="Arial" w:hAnsi="Arial"/>
          <w:sz w:val="22"/>
        </w:rPr>
        <w:br/>
      </w:r>
      <w:r>
        <w:rPr>
          <w:rFonts w:eastAsia="等线" w:ascii="Arial" w:cs="Arial" w:hAnsi="Arial"/>
          <w:b w:val="true"/>
          <w:sz w:val="22"/>
        </w:rPr>
        <w:t>宪法层不再是愿景，而是可部署、可验证、可进化的链上系统。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060713">
    <w:lvl>
      <w:numFmt w:val="bullet"/>
      <w:suff w:val="tab"/>
      <w:lvlText w:val="•"/>
      <w:rPr>
        <w:color w:val="3370ff"/>
      </w:rPr>
    </w:lvl>
  </w:abstractNum>
  <w:abstractNum w:abstractNumId="2060714">
    <w:lvl>
      <w:numFmt w:val="bullet"/>
      <w:suff w:val="tab"/>
      <w:lvlText w:val="•"/>
      <w:rPr>
        <w:color w:val="3370ff"/>
      </w:rPr>
    </w:lvl>
  </w:abstractNum>
  <w:abstractNum w:abstractNumId="2060715">
    <w:lvl>
      <w:numFmt w:val="bullet"/>
      <w:suff w:val="tab"/>
      <w:lvlText w:val="•"/>
      <w:rPr>
        <w:color w:val="3370ff"/>
      </w:rPr>
    </w:lvl>
  </w:abstractNum>
  <w:abstractNum w:abstractNumId="2060716">
    <w:lvl>
      <w:numFmt w:val="bullet"/>
      <w:suff w:val="tab"/>
      <w:lvlText w:val="•"/>
      <w:rPr>
        <w:color w:val="3370ff"/>
      </w:rPr>
    </w:lvl>
  </w:abstractNum>
  <w:abstractNum w:abstractNumId="2060717">
    <w:lvl>
      <w:start w:val="1"/>
      <w:numFmt w:val="decimal"/>
      <w:suff w:val="tab"/>
      <w:lvlText w:val="%1."/>
      <w:rPr>
        <w:color w:val="3370ff"/>
      </w:rPr>
    </w:lvl>
  </w:abstractNum>
  <w:abstractNum w:abstractNumId="2060718">
    <w:lvl>
      <w:start w:val="2"/>
      <w:numFmt w:val="decimal"/>
      <w:suff w:val="tab"/>
      <w:lvlText w:val="%1."/>
      <w:rPr>
        <w:color w:val="3370ff"/>
      </w:rPr>
    </w:lvl>
  </w:abstractNum>
  <w:abstractNum w:abstractNumId="2060719">
    <w:lvl>
      <w:start w:val="3"/>
      <w:numFmt w:val="decimal"/>
      <w:suff w:val="tab"/>
      <w:lvlText w:val="%1."/>
      <w:rPr>
        <w:color w:val="3370ff"/>
      </w:rPr>
    </w:lvl>
  </w:abstractNum>
  <w:abstractNum w:abstractNumId="2060720">
    <w:lvl>
      <w:numFmt w:val="bullet"/>
      <w:suff w:val="tab"/>
      <w:lvlText w:val="•"/>
      <w:rPr>
        <w:color w:val="3370ff"/>
      </w:rPr>
    </w:lvl>
  </w:abstractNum>
  <w:abstractNum w:abstractNumId="2060721">
    <w:lvl>
      <w:numFmt w:val="bullet"/>
      <w:suff w:val="tab"/>
      <w:lvlText w:val="•"/>
      <w:rPr>
        <w:color w:val="3370ff"/>
      </w:rPr>
    </w:lvl>
  </w:abstractNum>
  <w:abstractNum w:abstractNumId="2060722">
    <w:lvl>
      <w:numFmt w:val="bullet"/>
      <w:suff w:val="tab"/>
      <w:lvlText w:val="•"/>
      <w:rPr>
        <w:color w:val="3370ff"/>
      </w:rPr>
    </w:lvl>
  </w:abstractNum>
  <w:abstractNum w:abstractNumId="2060723">
    <w:lvl>
      <w:numFmt w:val="bullet"/>
      <w:suff w:val="tab"/>
      <w:lvlText w:val="•"/>
      <w:rPr>
        <w:color w:val="3370ff"/>
      </w:rPr>
    </w:lvl>
  </w:abstractNum>
  <w:abstractNum w:abstractNumId="2060724">
    <w:lvl>
      <w:start w:val="1"/>
      <w:numFmt w:val="decimal"/>
      <w:suff w:val="tab"/>
      <w:lvlText w:val="%1."/>
      <w:rPr>
        <w:color w:val="3370ff"/>
      </w:rPr>
    </w:lvl>
  </w:abstractNum>
  <w:abstractNum w:abstractNumId="2060725">
    <w:lvl>
      <w:start w:val="2"/>
      <w:numFmt w:val="decimal"/>
      <w:suff w:val="tab"/>
      <w:lvlText w:val="%1."/>
      <w:rPr>
        <w:color w:val="3370ff"/>
      </w:rPr>
    </w:lvl>
  </w:abstractNum>
  <w:abstractNum w:abstractNumId="2060726">
    <w:lvl>
      <w:start w:val="3"/>
      <w:numFmt w:val="decimal"/>
      <w:suff w:val="tab"/>
      <w:lvlText w:val="%1."/>
      <w:rPr>
        <w:color w:val="3370ff"/>
      </w:rPr>
    </w:lvl>
  </w:abstractNum>
  <w:abstractNum w:abstractNumId="2060727">
    <w:lvl>
      <w:start w:val="4"/>
      <w:numFmt w:val="decimal"/>
      <w:suff w:val="tab"/>
      <w:lvlText w:val="%1."/>
      <w:rPr>
        <w:color w:val="3370ff"/>
      </w:rPr>
    </w:lvl>
  </w:abstractNum>
  <w:abstractNum w:abstractNumId="2060728">
    <w:lvl>
      <w:numFmt w:val="bullet"/>
      <w:suff w:val="tab"/>
      <w:lvlText w:val="•"/>
      <w:rPr>
        <w:color w:val="3370ff"/>
      </w:rPr>
    </w:lvl>
  </w:abstractNum>
  <w:abstractNum w:abstractNumId="2060729">
    <w:lvl>
      <w:numFmt w:val="bullet"/>
      <w:suff w:val="tab"/>
      <w:lvlText w:val="•"/>
      <w:rPr>
        <w:color w:val="3370ff"/>
      </w:rPr>
    </w:lvl>
  </w:abstractNum>
  <w:abstractNum w:abstractNumId="2060730">
    <w:lvl>
      <w:start w:val="1"/>
      <w:numFmt w:val="decimal"/>
      <w:suff w:val="tab"/>
      <w:lvlText w:val="%1."/>
      <w:rPr>
        <w:color w:val="3370ff"/>
      </w:rPr>
    </w:lvl>
  </w:abstractNum>
  <w:abstractNum w:abstractNumId="2060731">
    <w:lvl>
      <w:start w:val="2"/>
      <w:numFmt w:val="decimal"/>
      <w:suff w:val="tab"/>
      <w:lvlText w:val="%1."/>
      <w:rPr>
        <w:color w:val="3370ff"/>
      </w:rPr>
    </w:lvl>
  </w:abstractNum>
  <w:abstractNum w:abstractNumId="2060732">
    <w:lvl>
      <w:start w:val="3"/>
      <w:numFmt w:val="decimal"/>
      <w:suff w:val="tab"/>
      <w:lvlText w:val="%1."/>
      <w:rPr>
        <w:color w:val="3370ff"/>
      </w:rPr>
    </w:lvl>
  </w:abstractNum>
  <w:abstractNum w:abstractNumId="2060733">
    <w:lvl>
      <w:start w:val="4"/>
      <w:numFmt w:val="decimal"/>
      <w:suff w:val="tab"/>
      <w:lvlText w:val="%1."/>
      <w:rPr>
        <w:color w:val="3370ff"/>
      </w:rPr>
    </w:lvl>
  </w:abstractNum>
  <w:abstractNum w:abstractNumId="2060734">
    <w:lvl>
      <w:start w:val="1"/>
      <w:numFmt w:val="decimal"/>
      <w:suff w:val="tab"/>
      <w:lvlText w:val="%1."/>
      <w:rPr>
        <w:color w:val="3370ff"/>
      </w:rPr>
    </w:lvl>
  </w:abstractNum>
  <w:abstractNum w:abstractNumId="2060735">
    <w:lvl>
      <w:start w:val="2"/>
      <w:numFmt w:val="decimal"/>
      <w:suff w:val="tab"/>
      <w:lvlText w:val="%1."/>
      <w:rPr>
        <w:color w:val="3370ff"/>
      </w:rPr>
    </w:lvl>
  </w:abstractNum>
  <w:abstractNum w:abstractNumId="2060736">
    <w:lvl>
      <w:start w:val="3"/>
      <w:numFmt w:val="decimal"/>
      <w:suff w:val="tab"/>
      <w:lvlText w:val="%1."/>
      <w:rPr>
        <w:color w:val="3370ff"/>
      </w:rPr>
    </w:lvl>
  </w:abstractNum>
  <w:abstractNum w:abstractNumId="2060737">
    <w:lvl>
      <w:start w:val="4"/>
      <w:numFmt w:val="decimal"/>
      <w:suff w:val="tab"/>
      <w:lvlText w:val="%1."/>
      <w:rPr>
        <w:color w:val="3370ff"/>
      </w:rPr>
    </w:lvl>
  </w:abstractNum>
  <w:abstractNum w:abstractNumId="2060738">
    <w:lvl>
      <w:start w:val="1"/>
      <w:numFmt w:val="decimal"/>
      <w:suff w:val="tab"/>
      <w:lvlText w:val="%1."/>
      <w:rPr>
        <w:color w:val="3370ff"/>
      </w:rPr>
    </w:lvl>
  </w:abstractNum>
  <w:abstractNum w:abstractNumId="2060739">
    <w:lvl>
      <w:start w:val="2"/>
      <w:numFmt w:val="decimal"/>
      <w:suff w:val="tab"/>
      <w:lvlText w:val="%1."/>
      <w:rPr>
        <w:color w:val="3370ff"/>
      </w:rPr>
    </w:lvl>
  </w:abstractNum>
  <w:abstractNum w:abstractNumId="2060740">
    <w:lvl>
      <w:start w:val="3"/>
      <w:numFmt w:val="decimal"/>
      <w:suff w:val="tab"/>
      <w:lvlText w:val="%1."/>
      <w:rPr>
        <w:color w:val="3370ff"/>
      </w:rPr>
    </w:lvl>
  </w:abstractNum>
  <w:abstractNum w:abstractNumId="2060741">
    <w:lvl>
      <w:start w:val="4"/>
      <w:numFmt w:val="decimal"/>
      <w:suff w:val="tab"/>
      <w:lvlText w:val="%1."/>
      <w:rPr>
        <w:color w:val="3370ff"/>
      </w:rPr>
    </w:lvl>
  </w:abstractNum>
  <w:abstractNum w:abstractNumId="2060742">
    <w:lvl>
      <w:start w:val="1"/>
      <w:numFmt w:val="decimal"/>
      <w:suff w:val="tab"/>
      <w:lvlText w:val="%1."/>
      <w:rPr>
        <w:color w:val="3370ff"/>
      </w:rPr>
    </w:lvl>
  </w:abstractNum>
  <w:abstractNum w:abstractNumId="2060743">
    <w:lvl>
      <w:start w:val="2"/>
      <w:numFmt w:val="decimal"/>
      <w:suff w:val="tab"/>
      <w:lvlText w:val="%1."/>
      <w:rPr>
        <w:color w:val="3370ff"/>
      </w:rPr>
    </w:lvl>
  </w:abstractNum>
  <w:abstractNum w:abstractNumId="2060744">
    <w:lvl>
      <w:start w:val="3"/>
      <w:numFmt w:val="decimal"/>
      <w:suff w:val="tab"/>
      <w:lvlText w:val="%1."/>
      <w:rPr>
        <w:color w:val="3370ff"/>
      </w:rPr>
    </w:lvl>
  </w:abstractNum>
  <w:abstractNum w:abstractNumId="2060745">
    <w:lvl>
      <w:start w:val="4"/>
      <w:numFmt w:val="decimal"/>
      <w:suff w:val="tab"/>
      <w:lvlText w:val="%1."/>
      <w:rPr>
        <w:color w:val="3370ff"/>
      </w:rPr>
    </w:lvl>
  </w:abstractNum>
  <w:abstractNum w:abstractNumId="2060746">
    <w:lvl>
      <w:start w:val="5"/>
      <w:numFmt w:val="decimal"/>
      <w:suff w:val="tab"/>
      <w:lvlText w:val="%1."/>
      <w:rPr>
        <w:color w:val="3370ff"/>
      </w:rPr>
    </w:lvl>
  </w:abstractNum>
  <w:abstractNum w:abstractNumId="2060747">
    <w:lvl>
      <w:start w:val="6"/>
      <w:numFmt w:val="decimal"/>
      <w:suff w:val="tab"/>
      <w:lvlText w:val="%1."/>
      <w:rPr>
        <w:color w:val="3370ff"/>
      </w:rPr>
    </w:lvl>
  </w:abstractNum>
  <w:abstractNum w:abstractNumId="2060748">
    <w:lvl>
      <w:numFmt w:val="bullet"/>
      <w:suff w:val="tab"/>
      <w:lvlText w:val="•"/>
      <w:rPr>
        <w:color w:val="3370ff"/>
      </w:rPr>
    </w:lvl>
  </w:abstractNum>
  <w:abstractNum w:abstractNumId="2060749">
    <w:lvl>
      <w:numFmt w:val="bullet"/>
      <w:suff w:val="tab"/>
      <w:lvlText w:val="•"/>
      <w:rPr>
        <w:color w:val="3370ff"/>
      </w:rPr>
    </w:lvl>
  </w:abstractNum>
  <w:abstractNum w:abstractNumId="2060750">
    <w:lvl>
      <w:numFmt w:val="bullet"/>
      <w:suff w:val="tab"/>
      <w:lvlText w:val="•"/>
      <w:rPr>
        <w:color w:val="3370ff"/>
      </w:rPr>
    </w:lvl>
  </w:abstractNum>
  <w:num w:numId="1">
    <w:abstractNumId w:val="2060713"/>
  </w:num>
  <w:num w:numId="2">
    <w:abstractNumId w:val="2060714"/>
  </w:num>
  <w:num w:numId="3">
    <w:abstractNumId w:val="2060715"/>
  </w:num>
  <w:num w:numId="4">
    <w:abstractNumId w:val="2060716"/>
  </w:num>
  <w:num w:numId="5">
    <w:abstractNumId w:val="2060717"/>
  </w:num>
  <w:num w:numId="6">
    <w:abstractNumId w:val="2060718"/>
  </w:num>
  <w:num w:numId="7">
    <w:abstractNumId w:val="2060719"/>
  </w:num>
  <w:num w:numId="8">
    <w:abstractNumId w:val="2060720"/>
  </w:num>
  <w:num w:numId="9">
    <w:abstractNumId w:val="2060721"/>
  </w:num>
  <w:num w:numId="10">
    <w:abstractNumId w:val="2060722"/>
  </w:num>
  <w:num w:numId="11">
    <w:abstractNumId w:val="2060723"/>
  </w:num>
  <w:num w:numId="12">
    <w:abstractNumId w:val="2060724"/>
  </w:num>
  <w:num w:numId="13">
    <w:abstractNumId w:val="2060725"/>
  </w:num>
  <w:num w:numId="14">
    <w:abstractNumId w:val="2060726"/>
  </w:num>
  <w:num w:numId="15">
    <w:abstractNumId w:val="2060727"/>
  </w:num>
  <w:num w:numId="16">
    <w:abstractNumId w:val="2060728"/>
  </w:num>
  <w:num w:numId="17">
    <w:abstractNumId w:val="2060729"/>
  </w:num>
  <w:num w:numId="18">
    <w:abstractNumId w:val="2060730"/>
  </w:num>
  <w:num w:numId="19">
    <w:abstractNumId w:val="2060731"/>
  </w:num>
  <w:num w:numId="20">
    <w:abstractNumId w:val="2060732"/>
  </w:num>
  <w:num w:numId="21">
    <w:abstractNumId w:val="2060733"/>
  </w:num>
  <w:num w:numId="22">
    <w:abstractNumId w:val="2060734"/>
  </w:num>
  <w:num w:numId="23">
    <w:abstractNumId w:val="2060735"/>
  </w:num>
  <w:num w:numId="24">
    <w:abstractNumId w:val="2060736"/>
  </w:num>
  <w:num w:numId="25">
    <w:abstractNumId w:val="2060737"/>
  </w:num>
  <w:num w:numId="26">
    <w:abstractNumId w:val="2060738"/>
  </w:num>
  <w:num w:numId="27">
    <w:abstractNumId w:val="2060739"/>
  </w:num>
  <w:num w:numId="28">
    <w:abstractNumId w:val="2060740"/>
  </w:num>
  <w:num w:numId="29">
    <w:abstractNumId w:val="2060741"/>
  </w:num>
  <w:num w:numId="30">
    <w:abstractNumId w:val="2060742"/>
  </w:num>
  <w:num w:numId="31">
    <w:abstractNumId w:val="2060743"/>
  </w:num>
  <w:num w:numId="32">
    <w:abstractNumId w:val="2060744"/>
  </w:num>
  <w:num w:numId="33">
    <w:abstractNumId w:val="2060745"/>
  </w:num>
  <w:num w:numId="34">
    <w:abstractNumId w:val="2060746"/>
  </w:num>
  <w:num w:numId="35">
    <w:abstractNumId w:val="2060747"/>
  </w:num>
  <w:num w:numId="36">
    <w:abstractNumId w:val="2060748"/>
  </w:num>
  <w:num w:numId="37">
    <w:abstractNumId w:val="2060749"/>
  </w:num>
  <w:num w:numId="38">
    <w:abstractNumId w:val="2060750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2026-02-12T07:45:51Z</dcterms:created>
  <dc:creator>Apache POI</dc:creator>
</cp:coreProperties>
</file>