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wordprocessingml.footer+xml" PartName="/word/footer1.xml"/>
  <Override ContentType="application/vnd.openxmlformats-officedocument.wordprocessingml.header+xml" PartName="/word/header1.xml"/>
  <Override ContentType="application/vnd.openxmlformats-officedocument.wordprocessingml.numbering+xml" PartName="/word/numbering.xml"/>
  <Override ContentType="application/vnd.openxmlformats-officedocument.wordprocessingml.settings+xml" PartName="/word/settings.xml"/>
  <Override ContentType="application/vnd.openxmlformats-officedocument.wordprocessingml.styles+xml" PartName="/word/styles.xml"/>
</Types>
</file>

<file path=_rels/.rels><?xml version="1.0" encoding="UTF-8" standalone="yes"?><Relationships xmlns="http://schemas.openxmlformats.org/package/2006/relationships"><Relationship Id="rId1" Target="word/document.xml" Type="http://schemas.openxmlformats.org/officeDocument/2006/relationships/officeDocument"/><Relationship Id="rId2" Target="docProps/app.xml" Type="http://schemas.openxmlformats.org/officeDocument/2006/relationships/extended-properties"/><Relationship Id="rId3" Target="docProps/core.xml" Type="http://schemas.openxmlformats.org/package/2006/relationships/metadata/core-properties"/></Relationships>
</file>

<file path=word/document.xml><?xml version="1.0" encoding="utf-8"?>
<w:document xmlns:w="http://schemas.openxmlformats.org/wordprocessingml/2006/main" xmlns:r="http://schemas.openxmlformats.org/officeDocument/2006/relationships">
  <w:body>
    <w:p>
      <w:pPr>
        <w:spacing w:before="480" w:after="480" w:line="288" w:lineRule="auto"/>
        <w:ind w:left="0"/>
      </w:pPr>
      <w:r>
        <w:rPr>
          <w:rFonts w:eastAsia="等线" w:ascii="Arial" w:cs="Arial" w:hAnsi="Arial"/>
          <w:b w:val="true"/>
          <w:sz w:val="52"/>
        </w:rPr>
        <w:t>NAC公链层级架构再思考：存储层定位与开发工具整合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制定方</w:t>
      </w:r>
      <w:r>
        <w:rPr>
          <w:rFonts w:eastAsia="等线" w:ascii="Arial" w:cs="Arial" w:hAnsi="Arial"/>
          <w:sz w:val="22"/>
        </w:rPr>
        <w:t>：NAC架构委员会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日期</w:t>
      </w:r>
      <w:r>
        <w:rPr>
          <w:rFonts w:eastAsia="等线" w:ascii="Arial" w:cs="Arial" w:hAnsi="Arial"/>
          <w:sz w:val="22"/>
        </w:rPr>
        <w:t>：2026年2月14日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版本</w:t>
      </w:r>
      <w:r>
        <w:rPr>
          <w:rFonts w:eastAsia="等线" w:ascii="Arial" w:cs="Arial" w:hAnsi="Arial"/>
          <w:sz w:val="22"/>
        </w:rPr>
        <w:t>：1.0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关联文档</w:t>
      </w:r>
      <w:r>
        <w:rPr>
          <w:rFonts w:eastAsia="等线" w:ascii="Arial" w:cs="Arial" w:hAnsi="Arial"/>
          <w:sz w:val="22"/>
        </w:rPr>
        <w:t>：NAC宪法层技术规范、CBPP白皮书、CSNP V2.0白皮书、NVM 2.0规范</w:t>
      </w:r>
    </w:p>
    <w:p>
      <w:pPr>
        <w:pBdr>
          <w:bottom w:val="single" w:color="dee0e3"/>
          <w:between w:val="single" w:color="dee0e3"/>
        </w:pBdr>
        <w:spacing w:before="120" w:after="120" w:line="288" w:lineRule="auto"/>
        <w:ind w:left="0"/>
      </w:pPr>
    </w:p>
    <w:p>
      <w:pPr>
        <w:pStyle w:val="1"/>
        <w:spacing w:before="380" w:after="140" w:line="288" w:lineRule="auto"/>
        <w:ind w:left="0"/>
        <w:jc w:val="left"/>
        <w:outlineLvl w:val="0"/>
      </w:pPr>
      <w:bookmarkStart w:name="heading_0" w:id="0"/>
      <w:r>
        <w:rPr>
          <w:rFonts w:eastAsia="等线" w:ascii="Arial" w:cs="Arial" w:hAnsi="Arial"/>
          <w:b w:val="true"/>
          <w:sz w:val="36"/>
        </w:rPr>
        <w:t>0. 背景</w:t>
      </w:r>
      <w:bookmarkEnd w:id="0"/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NAC公链现有层级定义为：</w:t>
      </w:r>
    </w:p>
    <w:p>
      <w:pPr>
        <w:numPr>
          <w:numId w:val="1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L0 基础设施层</w:t>
      </w:r>
      <w:r>
        <w:rPr>
          <w:rFonts w:eastAsia="等线" w:ascii="Arial" w:cs="Arial" w:hAnsi="Arial"/>
          <w:sz w:val="22"/>
        </w:rPr>
        <w:t>：密码学原语、地址/哈希类型、网络传输、序列化（</w:t>
      </w:r>
      <w:r>
        <w:rPr>
          <w:rFonts w:eastAsia="Consolas" w:ascii="Consolas" w:cs="Consolas" w:hAnsi="Consolas"/>
          <w:sz w:val="22"/>
          <w:shd w:fill="EFF0F1"/>
        </w:rPr>
        <w:t>nac-primitives</w:t>
      </w:r>
      <w:r>
        <w:rPr>
          <w:rFonts w:eastAsia="等线" w:ascii="Arial" w:cs="Arial" w:hAnsi="Arial"/>
          <w:sz w:val="22"/>
        </w:rPr>
        <w:t>、</w:t>
      </w:r>
      <w:r>
        <w:rPr>
          <w:rFonts w:eastAsia="Consolas" w:ascii="Consolas" w:cs="Consolas" w:hAnsi="Consolas"/>
          <w:sz w:val="22"/>
          <w:shd w:fill="EFF0F1"/>
        </w:rPr>
        <w:t>nac_serde</w:t>
      </w:r>
      <w:r>
        <w:rPr>
          <w:rFonts w:eastAsia="等线" w:ascii="Arial" w:cs="Arial" w:hAnsi="Arial"/>
          <w:sz w:val="22"/>
        </w:rPr>
        <w:t>、P2P）。</w:t>
      </w:r>
    </w:p>
    <w:p>
      <w:pPr>
        <w:numPr>
          <w:numId w:val="2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L1 协议层</w:t>
      </w:r>
      <w:r>
        <w:rPr>
          <w:rFonts w:eastAsia="等线" w:ascii="Arial" w:cs="Arial" w:hAnsi="Arial"/>
          <w:sz w:val="22"/>
        </w:rPr>
        <w:t>：共识（CBPP）、网络协议（CSNP）、虚拟机（NVM）、资产协议（ACC家族）。</w:t>
      </w:r>
    </w:p>
    <w:p>
      <w:pPr>
        <w:numPr>
          <w:numId w:val="3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L2 宪法治理层</w:t>
      </w:r>
      <w:r>
        <w:rPr>
          <w:rFonts w:eastAsia="等线" w:ascii="Arial" w:cs="Arial" w:hAnsi="Arial"/>
          <w:sz w:val="22"/>
        </w:rPr>
        <w:t>：宪法语言（CNNL）、宪法执行引擎（CEE）、宪法法院、宪法收据（CR）、静态验证工具链。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现计划新增</w:t>
      </w:r>
      <w:r>
        <w:rPr>
          <w:rFonts w:eastAsia="等线" w:ascii="Arial" w:cs="Arial" w:hAnsi="Arial"/>
          <w:b w:val="true"/>
          <w:sz w:val="22"/>
        </w:rPr>
        <w:t>存储层（Storage Layer）</w:t>
      </w:r>
      <w:r>
        <w:rPr>
          <w:rFonts w:eastAsia="等线" w:ascii="Arial" w:cs="Arial" w:hAnsi="Arial"/>
          <w:sz w:val="22"/>
        </w:rPr>
        <w:t>，并考虑是否将开发工具（三套编译器及库）集中定义为一个层级。核心问题：</w:t>
      </w:r>
    </w:p>
    <w:p>
      <w:pPr>
        <w:numPr>
          <w:numId w:val="4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存储层应置于何处？与L0并列、独立于L0之下、还是作为L3？</w:t>
      </w:r>
    </w:p>
    <w:p>
      <w:pPr>
        <w:numPr>
          <w:numId w:val="5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开发工具（编译器、库）是否应纳入层级体系？</w:t>
      </w:r>
    </w:p>
    <w:p>
      <w:pPr>
        <w:pBdr>
          <w:bottom w:val="single" w:color="dee0e3"/>
          <w:between w:val="single" w:color="dee0e3"/>
        </w:pBdr>
        <w:spacing w:before="120" w:after="120" w:line="288" w:lineRule="auto"/>
        <w:ind w:left="0"/>
      </w:pPr>
    </w:p>
    <w:p>
      <w:pPr>
        <w:pStyle w:val="1"/>
        <w:spacing w:before="380" w:after="140" w:line="288" w:lineRule="auto"/>
        <w:ind w:left="0"/>
        <w:jc w:val="left"/>
        <w:outlineLvl w:val="0"/>
      </w:pPr>
      <w:bookmarkStart w:name="heading_1" w:id="1"/>
      <w:r>
        <w:rPr>
          <w:rFonts w:eastAsia="等线" w:ascii="Arial" w:cs="Arial" w:hAnsi="Arial"/>
          <w:b w:val="true"/>
          <w:sz w:val="36"/>
        </w:rPr>
        <w:t>1. 存储层的定位与职责</w:t>
      </w:r>
      <w:bookmarkEnd w:id="1"/>
    </w:p>
    <w:p>
      <w:pPr>
        <w:pStyle w:val="2"/>
        <w:spacing w:before="320" w:after="120" w:line="288" w:lineRule="auto"/>
        <w:ind w:left="0"/>
        <w:jc w:val="left"/>
        <w:outlineLvl w:val="1"/>
      </w:pPr>
      <w:bookmarkStart w:name="heading_2" w:id="2"/>
      <w:r>
        <w:rPr>
          <w:rFonts w:eastAsia="等线" w:ascii="Arial" w:cs="Arial" w:hAnsi="Arial"/>
          <w:b w:val="true"/>
          <w:sz w:val="32"/>
        </w:rPr>
        <w:t>1.1 存储层的核心职责</w:t>
      </w:r>
      <w:bookmarkEnd w:id="2"/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存储层负责所有持久化数据的</w:t>
      </w:r>
      <w:r>
        <w:rPr>
          <w:rFonts w:eastAsia="等线" w:ascii="Arial" w:cs="Arial" w:hAnsi="Arial"/>
          <w:b w:val="true"/>
          <w:sz w:val="22"/>
        </w:rPr>
        <w:t>存储、检索、证明与归档</w:t>
      </w:r>
      <w:r>
        <w:rPr>
          <w:rFonts w:eastAsia="等线" w:ascii="Arial" w:cs="Arial" w:hAnsi="Arial"/>
          <w:sz w:val="22"/>
        </w:rPr>
        <w:t>，包括但不限于：</w:t>
      </w:r>
    </w:p>
    <w:p>
      <w:pPr>
        <w:numPr>
          <w:numId w:val="6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区块数据</w:t>
      </w:r>
      <w:r>
        <w:rPr>
          <w:rFonts w:eastAsia="等线" w:ascii="Arial" w:cs="Arial" w:hAnsi="Arial"/>
          <w:sz w:val="22"/>
        </w:rPr>
        <w:t>：区块体、区块头、交易收据。</w:t>
      </w:r>
    </w:p>
    <w:p>
      <w:pPr>
        <w:numPr>
          <w:numId w:val="7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状态数据</w:t>
      </w:r>
      <w:r>
        <w:rPr>
          <w:rFonts w:eastAsia="等线" w:ascii="Arial" w:cs="Arial" w:hAnsi="Arial"/>
          <w:sz w:val="22"/>
        </w:rPr>
        <w:t>：账户状态、资产状态、宪法状态（参数、条款谓词）。</w:t>
      </w:r>
    </w:p>
    <w:p>
      <w:pPr>
        <w:numPr>
          <w:numId w:val="8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历史证明</w:t>
      </w:r>
      <w:r>
        <w:rPr>
          <w:rFonts w:eastAsia="等线" w:ascii="Arial" w:cs="Arial" w:hAnsi="Arial"/>
          <w:sz w:val="22"/>
        </w:rPr>
        <w:t>：Merkle树根、收据Merkle树、状态快照。</w:t>
      </w:r>
    </w:p>
    <w:p>
      <w:pPr>
        <w:numPr>
          <w:numId w:val="9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索引数据</w:t>
      </w:r>
      <w:r>
        <w:rPr>
          <w:rFonts w:eastAsia="等线" w:ascii="Arial" w:cs="Arial" w:hAnsi="Arial"/>
          <w:sz w:val="22"/>
        </w:rPr>
        <w:t>：用于快速查询的二级索引（如资产所有者、交易历史）。</w:t>
      </w:r>
    </w:p>
    <w:p>
      <w:pPr>
        <w:numPr>
          <w:numId w:val="10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归档数据</w:t>
      </w:r>
      <w:r>
        <w:rPr>
          <w:rFonts w:eastAsia="等线" w:ascii="Arial" w:cs="Arial" w:hAnsi="Arial"/>
          <w:sz w:val="22"/>
        </w:rPr>
        <w:t>：历史全量数据、证据存证（如UCA行为日志）。</w:t>
      </w:r>
    </w:p>
    <w:p>
      <w:pPr>
        <w:pStyle w:val="2"/>
        <w:spacing w:before="320" w:after="120" w:line="288" w:lineRule="auto"/>
        <w:ind w:left="0"/>
        <w:jc w:val="left"/>
        <w:outlineLvl w:val="1"/>
      </w:pPr>
      <w:bookmarkStart w:name="heading_3" w:id="3"/>
      <w:r>
        <w:rPr>
          <w:rFonts w:eastAsia="等线" w:ascii="Arial" w:cs="Arial" w:hAnsi="Arial"/>
          <w:b w:val="true"/>
          <w:sz w:val="32"/>
        </w:rPr>
        <w:t>1.2 存储层与其他层的关系</w:t>
      </w:r>
      <w:bookmarkEnd w:id="3"/>
    </w:p>
    <w:p>
      <w:pPr>
        <w:numPr>
          <w:numId w:val="11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依赖L0</w:t>
      </w:r>
      <w:r>
        <w:rPr>
          <w:rFonts w:eastAsia="等线" w:ascii="Arial" w:cs="Arial" w:hAnsi="Arial"/>
          <w:sz w:val="22"/>
        </w:rPr>
        <w:t>：存储的键值需基于L0的哈希类型（</w:t>
      </w:r>
      <w:r>
        <w:rPr>
          <w:rFonts w:eastAsia="Consolas" w:ascii="Consolas" w:cs="Consolas" w:hAnsi="Consolas"/>
          <w:sz w:val="22"/>
          <w:shd w:fill="EFF0F1"/>
        </w:rPr>
        <w:t>Hash</w:t>
      </w:r>
      <w:r>
        <w:rPr>
          <w:rFonts w:eastAsia="等线" w:ascii="Arial" w:cs="Arial" w:hAnsi="Arial"/>
          <w:sz w:val="22"/>
        </w:rPr>
        <w:t>）和序列化格式（</w:t>
      </w:r>
      <w:r>
        <w:rPr>
          <w:rFonts w:eastAsia="Consolas" w:ascii="Consolas" w:cs="Consolas" w:hAnsi="Consolas"/>
          <w:sz w:val="22"/>
          <w:shd w:fill="EFF0F1"/>
        </w:rPr>
        <w:t>nac_serde</w:t>
      </w:r>
      <w:r>
        <w:rPr>
          <w:rFonts w:eastAsia="等线" w:ascii="Arial" w:cs="Arial" w:hAnsi="Arial"/>
          <w:sz w:val="22"/>
        </w:rPr>
        <w:t>）；存储的物理网络依赖L0的P2P传输（如数据同步）。</w:t>
      </w:r>
    </w:p>
    <w:p>
      <w:pPr>
        <w:numPr>
          <w:numId w:val="12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被L1使用</w:t>
      </w:r>
      <w:r>
        <w:rPr>
          <w:rFonts w:eastAsia="等线" w:ascii="Arial" w:cs="Arial" w:hAnsi="Arial"/>
          <w:sz w:val="22"/>
        </w:rPr>
        <w:t>：共识层（CBPP）需要存储区块和状态；虚拟机（NVM）需要读写合约状态；网络层（CSNP）需要缓存策略表。</w:t>
      </w:r>
    </w:p>
    <w:p>
      <w:pPr>
        <w:numPr>
          <w:numId w:val="13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被L2使用</w:t>
      </w:r>
      <w:r>
        <w:rPr>
          <w:rFonts w:eastAsia="等线" w:ascii="Arial" w:cs="Arial" w:hAnsi="Arial"/>
          <w:sz w:val="22"/>
        </w:rPr>
        <w:t>：宪法执行引擎（CEE）需要读取宪法状态；宪法法院需要查询历史证据；宪法收据（CR）需存储于区块中。</w:t>
      </w:r>
    </w:p>
    <w:p>
      <w:pPr>
        <w:numPr>
          <w:numId w:val="14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为上层服务</w:t>
      </w:r>
      <w:r>
        <w:rPr>
          <w:rFonts w:eastAsia="等线" w:ascii="Arial" w:cs="Arial" w:hAnsi="Arial"/>
          <w:sz w:val="22"/>
        </w:rPr>
        <w:t>：未来L3（AI层）、L4（应用层）将依赖存储提供数据。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因此，存储层是</w:t>
      </w:r>
      <w:r>
        <w:rPr>
          <w:rFonts w:eastAsia="等线" w:ascii="Arial" w:cs="Arial" w:hAnsi="Arial"/>
          <w:b w:val="true"/>
          <w:sz w:val="22"/>
        </w:rPr>
        <w:t>所有上层组件的基础设施</w:t>
      </w:r>
      <w:r>
        <w:rPr>
          <w:rFonts w:eastAsia="等线" w:ascii="Arial" w:cs="Arial" w:hAnsi="Arial"/>
          <w:sz w:val="22"/>
        </w:rPr>
        <w:t>，应位于L0之上、L1及更高层之下。</w:t>
      </w:r>
    </w:p>
    <w:p>
      <w:pPr>
        <w:pBdr>
          <w:bottom w:val="single" w:color="dee0e3"/>
          <w:between w:val="single" w:color="dee0e3"/>
        </w:pBdr>
        <w:spacing w:before="120" w:after="120" w:line="288" w:lineRule="auto"/>
        <w:ind w:left="0"/>
      </w:pPr>
    </w:p>
    <w:p>
      <w:pPr>
        <w:pStyle w:val="1"/>
        <w:spacing w:before="380" w:after="140" w:line="288" w:lineRule="auto"/>
        <w:ind w:left="0"/>
        <w:jc w:val="left"/>
        <w:outlineLvl w:val="0"/>
      </w:pPr>
      <w:bookmarkStart w:name="heading_4" w:id="4"/>
      <w:r>
        <w:rPr>
          <w:rFonts w:eastAsia="等线" w:ascii="Arial" w:cs="Arial" w:hAnsi="Arial"/>
          <w:b w:val="true"/>
          <w:sz w:val="36"/>
        </w:rPr>
        <w:t>2. 存储层位置方案分析</w:t>
      </w:r>
      <w:bookmarkEnd w:id="4"/>
    </w:p>
    <w:p>
      <w:pPr>
        <w:pStyle w:val="2"/>
        <w:spacing w:before="320" w:after="120" w:line="288" w:lineRule="auto"/>
        <w:ind w:left="0"/>
        <w:jc w:val="left"/>
        <w:outlineLvl w:val="1"/>
      </w:pPr>
      <w:bookmarkStart w:name="heading_5" w:id="5"/>
      <w:r>
        <w:rPr>
          <w:rFonts w:eastAsia="等线" w:ascii="Arial" w:cs="Arial" w:hAnsi="Arial"/>
          <w:b w:val="true"/>
          <w:sz w:val="32"/>
        </w:rPr>
        <w:t>2.1 方案A：存储层并入L0（基础设施层）</w:t>
      </w:r>
      <w:bookmarkEnd w:id="5"/>
    </w:p>
    <w:p>
      <w:pPr>
        <w:numPr>
          <w:numId w:val="15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结构</w:t>
      </w:r>
      <w:r>
        <w:rPr>
          <w:rFonts w:eastAsia="等线" w:ascii="Arial" w:cs="Arial" w:hAnsi="Arial"/>
          <w:sz w:val="22"/>
        </w:rPr>
        <w:t>：L0扩展为包含</w:t>
      </w:r>
      <w:r>
        <w:rPr>
          <w:rFonts w:eastAsia="等线" w:ascii="Arial" w:cs="Arial" w:hAnsi="Arial"/>
          <w:b w:val="true"/>
          <w:sz w:val="22"/>
        </w:rPr>
        <w:t>网络子层</w:t>
      </w:r>
      <w:r>
        <w:rPr>
          <w:rFonts w:eastAsia="等线" w:ascii="Arial" w:cs="Arial" w:hAnsi="Arial"/>
          <w:sz w:val="22"/>
        </w:rPr>
        <w:t>、</w:t>
      </w:r>
      <w:r>
        <w:rPr>
          <w:rFonts w:eastAsia="等线" w:ascii="Arial" w:cs="Arial" w:hAnsi="Arial"/>
          <w:b w:val="true"/>
          <w:sz w:val="22"/>
        </w:rPr>
        <w:t>密码学子层</w:t>
      </w:r>
      <w:r>
        <w:rPr>
          <w:rFonts w:eastAsia="等线" w:ascii="Arial" w:cs="Arial" w:hAnsi="Arial"/>
          <w:sz w:val="22"/>
        </w:rPr>
        <w:t>、</w:t>
      </w:r>
      <w:r>
        <w:rPr>
          <w:rFonts w:eastAsia="等线" w:ascii="Arial" w:cs="Arial" w:hAnsi="Arial"/>
          <w:b w:val="true"/>
          <w:sz w:val="22"/>
        </w:rPr>
        <w:t>存储子层</w:t>
      </w:r>
      <w:r>
        <w:rPr>
          <w:rFonts w:eastAsia="等线" w:ascii="Arial" w:cs="Arial" w:hAnsi="Arial"/>
          <w:sz w:val="22"/>
        </w:rPr>
        <w:t>。</w:t>
      </w:r>
    </w:p>
    <w:p>
      <w:pPr>
        <w:numPr>
          <w:numId w:val="16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优点</w:t>
      </w:r>
      <w:r>
        <w:rPr>
          <w:rFonts w:eastAsia="等线" w:ascii="Arial" w:cs="Arial" w:hAnsi="Arial"/>
          <w:sz w:val="22"/>
        </w:rPr>
        <w:t>：</w:t>
        <w:br/>
        <w:t xml:space="preserve">        </w:t>
      </w:r>
    </w:p>
    <w:p>
      <w:pPr>
        <w:numPr>
          <w:numId w:val="17"/>
        </w:numPr>
        <w:spacing w:before="120" w:after="120" w:line="288" w:lineRule="auto"/>
        <w:ind w:left="453"/>
        <w:jc w:val="left"/>
      </w:pPr>
      <w:r>
        <w:rPr>
          <w:rFonts w:eastAsia="等线" w:ascii="Arial" w:cs="Arial" w:hAnsi="Arial"/>
          <w:sz w:val="22"/>
        </w:rPr>
        <w:t>保持L0作为“基础底座”的语义，所有底层资源统一。</w:t>
      </w:r>
    </w:p>
    <w:p>
      <w:pPr>
        <w:numPr>
          <w:numId w:val="18"/>
        </w:numPr>
        <w:spacing w:before="120" w:after="120" w:line="288" w:lineRule="auto"/>
        <w:ind w:left="453"/>
        <w:jc w:val="left"/>
      </w:pPr>
      <w:r>
        <w:rPr>
          <w:rFonts w:eastAsia="等线" w:ascii="Arial" w:cs="Arial" w:hAnsi="Arial"/>
          <w:sz w:val="22"/>
        </w:rPr>
        <w:t>减少层级数量，简化架构图。</w:t>
      </w:r>
    </w:p>
    <w:p>
      <w:pPr>
        <w:numPr>
          <w:numId w:val="19"/>
        </w:numPr>
        <w:spacing w:before="120" w:after="120" w:line="288" w:lineRule="auto"/>
        <w:ind w:left="453"/>
        <w:jc w:val="left"/>
      </w:pPr>
      <w:r>
        <w:rPr>
          <w:rFonts w:eastAsia="等线" w:ascii="Arial" w:cs="Arial" w:hAnsi="Arial"/>
          <w:sz w:val="22"/>
        </w:rPr>
        <w:t>存储与网络、密码学紧密相关（如数据同步需要网络，键值哈希需要密码学）。</w:t>
      </w:r>
    </w:p>
    <w:p>
      <w:pPr>
        <w:numPr>
          <w:numId w:val="20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缺点</w:t>
      </w:r>
      <w:r>
        <w:rPr>
          <w:rFonts w:eastAsia="等线" w:ascii="Arial" w:cs="Arial" w:hAnsi="Arial"/>
          <w:sz w:val="22"/>
        </w:rPr>
        <w:t>：</w:t>
        <w:br/>
        <w:t xml:space="preserve">        </w:t>
      </w:r>
    </w:p>
    <w:p>
      <w:pPr>
        <w:numPr>
          <w:numId w:val="21"/>
        </w:numPr>
        <w:spacing w:before="120" w:after="120" w:line="288" w:lineRule="auto"/>
        <w:ind w:left="453"/>
        <w:jc w:val="left"/>
      </w:pPr>
      <w:r>
        <w:rPr>
          <w:rFonts w:eastAsia="等线" w:ascii="Arial" w:cs="Arial" w:hAnsi="Arial"/>
          <w:sz w:val="22"/>
        </w:rPr>
        <w:t>L0职责过重，内部耦合可能增加。</w:t>
      </w:r>
    </w:p>
    <w:p>
      <w:pPr>
        <w:numPr>
          <w:numId w:val="22"/>
        </w:numPr>
        <w:spacing w:before="120" w:after="120" w:line="288" w:lineRule="auto"/>
        <w:ind w:left="453"/>
        <w:jc w:val="left"/>
      </w:pPr>
      <w:r>
        <w:rPr>
          <w:rFonts w:eastAsia="等线" w:ascii="Arial" w:cs="Arial" w:hAnsi="Arial"/>
          <w:sz w:val="22"/>
        </w:rPr>
        <w:t>存储层有独立的进化节奏，可能与其他子层冲突。</w:t>
      </w:r>
    </w:p>
    <w:p>
      <w:pPr>
        <w:pStyle w:val="2"/>
        <w:spacing w:before="320" w:after="120" w:line="288" w:lineRule="auto"/>
        <w:ind w:left="0"/>
        <w:jc w:val="left"/>
        <w:outlineLvl w:val="1"/>
      </w:pPr>
      <w:bookmarkStart w:name="heading_6" w:id="6"/>
      <w:r>
        <w:rPr>
          <w:rFonts w:eastAsia="等线" w:ascii="Arial" w:cs="Arial" w:hAnsi="Arial"/>
          <w:b w:val="true"/>
          <w:sz w:val="32"/>
        </w:rPr>
        <w:t>2.2 方案B：存储层作为独立L1a（位于L0与L1之间）</w:t>
      </w:r>
      <w:bookmarkEnd w:id="6"/>
    </w:p>
    <w:p>
      <w:pPr>
        <w:numPr>
          <w:numId w:val="23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结构</w:t>
      </w:r>
      <w:r>
        <w:rPr>
          <w:rFonts w:eastAsia="等线" w:ascii="Arial" w:cs="Arial" w:hAnsi="Arial"/>
          <w:sz w:val="22"/>
        </w:rPr>
        <w:t>：L0 → 存储层（L0.5） → L1协议层。</w:t>
      </w:r>
    </w:p>
    <w:p>
      <w:pPr>
        <w:numPr>
          <w:numId w:val="24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优点</w:t>
      </w:r>
      <w:r>
        <w:rPr>
          <w:rFonts w:eastAsia="等线" w:ascii="Arial" w:cs="Arial" w:hAnsi="Arial"/>
          <w:sz w:val="22"/>
        </w:rPr>
        <w:t>：</w:t>
        <w:br/>
        <w:t xml:space="preserve">        </w:t>
      </w:r>
    </w:p>
    <w:p>
      <w:pPr>
        <w:numPr>
          <w:numId w:val="25"/>
        </w:numPr>
        <w:spacing w:before="120" w:after="120" w:line="288" w:lineRule="auto"/>
        <w:ind w:left="453"/>
        <w:jc w:val="left"/>
      </w:pPr>
      <w:r>
        <w:rPr>
          <w:rFonts w:eastAsia="等线" w:ascii="Arial" w:cs="Arial" w:hAnsi="Arial"/>
          <w:sz w:val="22"/>
        </w:rPr>
        <w:t>明确存储作为独立基础服务，可单独升级、替换。</w:t>
      </w:r>
    </w:p>
    <w:p>
      <w:pPr>
        <w:numPr>
          <w:numId w:val="26"/>
        </w:numPr>
        <w:spacing w:before="120" w:after="120" w:line="288" w:lineRule="auto"/>
        <w:ind w:left="453"/>
        <w:jc w:val="left"/>
      </w:pPr>
      <w:r>
        <w:rPr>
          <w:rFonts w:eastAsia="等线" w:ascii="Arial" w:cs="Arial" w:hAnsi="Arial"/>
          <w:sz w:val="22"/>
        </w:rPr>
        <w:t>符合“分层依赖”原则：存储依赖L0，L1依赖存储。</w:t>
      </w:r>
    </w:p>
    <w:p>
      <w:pPr>
        <w:numPr>
          <w:numId w:val="27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缺点</w:t>
      </w:r>
      <w:r>
        <w:rPr>
          <w:rFonts w:eastAsia="等线" w:ascii="Arial" w:cs="Arial" w:hAnsi="Arial"/>
          <w:sz w:val="22"/>
        </w:rPr>
        <w:t>：</w:t>
        <w:br/>
        <w:t xml:space="preserve">        </w:t>
      </w:r>
    </w:p>
    <w:p>
      <w:pPr>
        <w:numPr>
          <w:numId w:val="28"/>
        </w:numPr>
        <w:spacing w:before="120" w:after="120" w:line="288" w:lineRule="auto"/>
        <w:ind w:left="453"/>
        <w:jc w:val="left"/>
      </w:pPr>
      <w:r>
        <w:rPr>
          <w:rFonts w:eastAsia="等线" w:ascii="Arial" w:cs="Arial" w:hAnsi="Arial"/>
          <w:sz w:val="22"/>
        </w:rPr>
        <w:t>引入半层，编号混乱（L0、L0.5、L1…）。</w:t>
      </w:r>
    </w:p>
    <w:p>
      <w:pPr>
        <w:numPr>
          <w:numId w:val="29"/>
        </w:numPr>
        <w:spacing w:before="120" w:after="120" w:line="288" w:lineRule="auto"/>
        <w:ind w:left="453"/>
        <w:jc w:val="left"/>
      </w:pPr>
      <w:r>
        <w:rPr>
          <w:rFonts w:eastAsia="等线" w:ascii="Arial" w:cs="Arial" w:hAnsi="Arial"/>
          <w:sz w:val="22"/>
        </w:rPr>
        <w:t>可能过度分层，增加理解成本。</w:t>
      </w:r>
    </w:p>
    <w:p>
      <w:pPr>
        <w:pStyle w:val="2"/>
        <w:spacing w:before="320" w:after="120" w:line="288" w:lineRule="auto"/>
        <w:ind w:left="0"/>
        <w:jc w:val="left"/>
        <w:outlineLvl w:val="1"/>
      </w:pPr>
      <w:bookmarkStart w:name="heading_7" w:id="7"/>
      <w:r>
        <w:rPr>
          <w:rFonts w:eastAsia="等线" w:ascii="Arial" w:cs="Arial" w:hAnsi="Arial"/>
          <w:b w:val="true"/>
          <w:sz w:val="32"/>
        </w:rPr>
        <w:t>2.3 方案C：存储层作为L3（位于L2之上）</w:t>
      </w:r>
      <w:bookmarkEnd w:id="7"/>
    </w:p>
    <w:p>
      <w:pPr>
        <w:numPr>
          <w:numId w:val="30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结构</w:t>
      </w:r>
      <w:r>
        <w:rPr>
          <w:rFonts w:eastAsia="等线" w:ascii="Arial" w:cs="Arial" w:hAnsi="Arial"/>
          <w:sz w:val="22"/>
        </w:rPr>
        <w:t>：L0、L1、L2、L3存储层、L4 AI层、L5应用层。</w:t>
      </w:r>
    </w:p>
    <w:p>
      <w:pPr>
        <w:numPr>
          <w:numId w:val="31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优点</w:t>
      </w:r>
      <w:r>
        <w:rPr>
          <w:rFonts w:eastAsia="等线" w:ascii="Arial" w:cs="Arial" w:hAnsi="Arial"/>
          <w:sz w:val="22"/>
        </w:rPr>
        <w:t>：</w:t>
        <w:br/>
        <w:t xml:space="preserve">        </w:t>
      </w:r>
    </w:p>
    <w:p>
      <w:pPr>
        <w:numPr>
          <w:numId w:val="32"/>
        </w:numPr>
        <w:spacing w:before="120" w:after="120" w:line="288" w:lineRule="auto"/>
        <w:ind w:left="453"/>
        <w:jc w:val="left"/>
      </w:pPr>
      <w:r>
        <w:rPr>
          <w:rFonts w:eastAsia="等线" w:ascii="Arial" w:cs="Arial" w:hAnsi="Arial"/>
          <w:sz w:val="22"/>
        </w:rPr>
        <w:t>保持L0-L2不变，新增层不影响原有核心定义。</w:t>
      </w:r>
    </w:p>
    <w:p>
      <w:pPr>
        <w:numPr>
          <w:numId w:val="33"/>
        </w:numPr>
        <w:spacing w:before="120" w:after="120" w:line="288" w:lineRule="auto"/>
        <w:ind w:left="453"/>
        <w:jc w:val="left"/>
      </w:pPr>
      <w:r>
        <w:rPr>
          <w:rFonts w:eastAsia="等线" w:ascii="Arial" w:cs="Arial" w:hAnsi="Arial"/>
          <w:sz w:val="22"/>
        </w:rPr>
        <w:t>存储层服务于AI层和应用层，符合“上层使用下层”直觉。</w:t>
      </w:r>
    </w:p>
    <w:p>
      <w:pPr>
        <w:numPr>
          <w:numId w:val="34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缺点</w:t>
      </w:r>
      <w:r>
        <w:rPr>
          <w:rFonts w:eastAsia="等线" w:ascii="Arial" w:cs="Arial" w:hAnsi="Arial"/>
          <w:sz w:val="22"/>
        </w:rPr>
        <w:t>：</w:t>
        <w:br/>
        <w:t xml:space="preserve">        </w:t>
      </w:r>
    </w:p>
    <w:p>
      <w:pPr>
        <w:numPr>
          <w:numId w:val="35"/>
        </w:numPr>
        <w:spacing w:before="120" w:after="120" w:line="288" w:lineRule="auto"/>
        <w:ind w:left="453"/>
        <w:jc w:val="left"/>
      </w:pPr>
      <w:r>
        <w:rPr>
          <w:rFonts w:eastAsia="等线" w:ascii="Arial" w:cs="Arial" w:hAnsi="Arial"/>
          <w:b w:val="true"/>
          <w:sz w:val="22"/>
        </w:rPr>
        <w:t>逻辑错误</w:t>
      </w:r>
      <w:r>
        <w:rPr>
          <w:rFonts w:eastAsia="等线" w:ascii="Arial" w:cs="Arial" w:hAnsi="Arial"/>
          <w:sz w:val="22"/>
        </w:rPr>
        <w:t>：L1和L2需要存储数据，但存储层却在它们之上，导致依赖倒置。</w:t>
      </w:r>
    </w:p>
    <w:p>
      <w:pPr>
        <w:numPr>
          <w:numId w:val="36"/>
        </w:numPr>
        <w:spacing w:before="120" w:after="120" w:line="288" w:lineRule="auto"/>
        <w:ind w:left="453"/>
        <w:jc w:val="left"/>
      </w:pPr>
      <w:r>
        <w:rPr>
          <w:rFonts w:eastAsia="等线" w:ascii="Arial" w:cs="Arial" w:hAnsi="Arial"/>
          <w:sz w:val="22"/>
        </w:rPr>
        <w:t>若L1要写区块到存储，必须“向下调用”，但存储在上层，违背分层原则。</w:t>
      </w:r>
    </w:p>
    <w:p>
      <w:pPr>
        <w:pStyle w:val="2"/>
        <w:spacing w:before="320" w:after="120" w:line="288" w:lineRule="auto"/>
        <w:ind w:left="0"/>
        <w:jc w:val="left"/>
        <w:outlineLvl w:val="1"/>
      </w:pPr>
      <w:bookmarkStart w:name="heading_8" w:id="8"/>
      <w:r>
        <w:rPr>
          <w:rFonts w:eastAsia="等线" w:ascii="Arial" w:cs="Arial" w:hAnsi="Arial"/>
          <w:b w:val="true"/>
          <w:sz w:val="32"/>
        </w:rPr>
        <w:t>2.4 方案D：存储层与L0并列（作为独立基础层）</w:t>
      </w:r>
      <w:bookmarkEnd w:id="8"/>
    </w:p>
    <w:p>
      <w:pPr>
        <w:numPr>
          <w:numId w:val="37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结构</w:t>
      </w:r>
      <w:r>
        <w:rPr>
          <w:rFonts w:eastAsia="等线" w:ascii="Arial" w:cs="Arial" w:hAnsi="Arial"/>
          <w:sz w:val="22"/>
        </w:rPr>
        <w:t>：两个平行基础层：L0a密码学与网络，L0b存储。上层统称L1+。</w:t>
      </w:r>
    </w:p>
    <w:p>
      <w:pPr>
        <w:numPr>
          <w:numId w:val="38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优点</w:t>
      </w:r>
      <w:r>
        <w:rPr>
          <w:rFonts w:eastAsia="等线" w:ascii="Arial" w:cs="Arial" w:hAnsi="Arial"/>
          <w:sz w:val="22"/>
        </w:rPr>
        <w:t>：</w:t>
        <w:br/>
        <w:t xml:space="preserve">        </w:t>
      </w:r>
    </w:p>
    <w:p>
      <w:pPr>
        <w:numPr>
          <w:numId w:val="39"/>
        </w:numPr>
        <w:spacing w:before="120" w:after="120" w:line="288" w:lineRule="auto"/>
        <w:ind w:left="453"/>
        <w:jc w:val="left"/>
      </w:pPr>
      <w:r>
        <w:rPr>
          <w:rFonts w:eastAsia="等线" w:ascii="Arial" w:cs="Arial" w:hAnsi="Arial"/>
          <w:sz w:val="22"/>
        </w:rPr>
        <w:t>存储与网络、密码学平级，各自独立进化。</w:t>
      </w:r>
    </w:p>
    <w:p>
      <w:pPr>
        <w:numPr>
          <w:numId w:val="40"/>
        </w:numPr>
        <w:spacing w:before="120" w:after="120" w:line="288" w:lineRule="auto"/>
        <w:ind w:left="453"/>
        <w:jc w:val="left"/>
      </w:pPr>
      <w:r>
        <w:rPr>
          <w:rFonts w:eastAsia="等线" w:ascii="Arial" w:cs="Arial" w:hAnsi="Arial"/>
          <w:sz w:val="22"/>
        </w:rPr>
        <w:t>上层可同时依赖两者。</w:t>
      </w:r>
    </w:p>
    <w:p>
      <w:pPr>
        <w:numPr>
          <w:numId w:val="41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缺点</w:t>
      </w:r>
      <w:r>
        <w:rPr>
          <w:rFonts w:eastAsia="等线" w:ascii="Arial" w:cs="Arial" w:hAnsi="Arial"/>
          <w:sz w:val="22"/>
        </w:rPr>
        <w:t>：</w:t>
        <w:br/>
        <w:t xml:space="preserve">        </w:t>
      </w:r>
    </w:p>
    <w:p>
      <w:pPr>
        <w:numPr>
          <w:numId w:val="42"/>
        </w:numPr>
        <w:spacing w:before="120" w:after="120" w:line="288" w:lineRule="auto"/>
        <w:ind w:left="453"/>
        <w:jc w:val="left"/>
      </w:pPr>
      <w:r>
        <w:rPr>
          <w:rFonts w:eastAsia="等线" w:ascii="Arial" w:cs="Arial" w:hAnsi="Arial"/>
          <w:sz w:val="22"/>
        </w:rPr>
        <w:t>平行层导致依赖关系复杂（上层需指明依赖哪个基础层）。</w:t>
      </w:r>
    </w:p>
    <w:p>
      <w:pPr>
        <w:numPr>
          <w:numId w:val="43"/>
        </w:numPr>
        <w:spacing w:before="120" w:after="120" w:line="288" w:lineRule="auto"/>
        <w:ind w:left="453"/>
        <w:jc w:val="left"/>
      </w:pPr>
      <w:r>
        <w:rPr>
          <w:rFonts w:eastAsia="等线" w:ascii="Arial" w:cs="Arial" w:hAnsi="Arial"/>
          <w:sz w:val="22"/>
        </w:rPr>
        <w:t>与现有“L0”概念冲突，需重命名。</w:t>
      </w:r>
    </w:p>
    <w:p>
      <w:pPr>
        <w:pBdr>
          <w:bottom w:val="single" w:color="dee0e3"/>
          <w:between w:val="single" w:color="dee0e3"/>
        </w:pBdr>
        <w:spacing w:before="120" w:after="120" w:line="288" w:lineRule="auto"/>
        <w:ind w:left="0"/>
      </w:pPr>
    </w:p>
    <w:p>
      <w:pPr>
        <w:pStyle w:val="1"/>
        <w:spacing w:before="380" w:after="140" w:line="288" w:lineRule="auto"/>
        <w:ind w:left="0"/>
        <w:jc w:val="left"/>
        <w:outlineLvl w:val="0"/>
      </w:pPr>
      <w:bookmarkStart w:name="heading_9" w:id="9"/>
      <w:r>
        <w:rPr>
          <w:rFonts w:eastAsia="等线" w:ascii="Arial" w:cs="Arial" w:hAnsi="Arial"/>
          <w:b w:val="true"/>
          <w:sz w:val="36"/>
        </w:rPr>
        <w:t>3. 推荐方案：存储层作为L0的有机组成部分</w:t>
      </w:r>
      <w:bookmarkEnd w:id="9"/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经过权衡，我们推荐</w:t>
      </w:r>
      <w:r>
        <w:rPr>
          <w:rFonts w:eastAsia="等线" w:ascii="Arial" w:cs="Arial" w:hAnsi="Arial"/>
          <w:b w:val="true"/>
          <w:sz w:val="22"/>
        </w:rPr>
        <w:t>方案A</w:t>
      </w:r>
      <w:r>
        <w:rPr>
          <w:rFonts w:eastAsia="等线" w:ascii="Arial" w:cs="Arial" w:hAnsi="Arial"/>
          <w:sz w:val="22"/>
        </w:rPr>
        <w:t>：将存储层融入现有L0基础设施层，但明确内部子层划分。理由如下：</w:t>
      </w:r>
    </w:p>
    <w:p>
      <w:pPr>
        <w:numPr>
          <w:numId w:val="44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逻辑一致性</w:t>
      </w:r>
      <w:r>
        <w:rPr>
          <w:rFonts w:eastAsia="等线" w:ascii="Arial" w:cs="Arial" w:hAnsi="Arial"/>
          <w:sz w:val="22"/>
        </w:rPr>
        <w:t>：存储、网络、密码学都是公链的底层基础设施，共同支撑上层协议。将它们统一在L0下，符合“基础层”的抽象。</w:t>
      </w:r>
    </w:p>
    <w:p>
      <w:pPr>
        <w:numPr>
          <w:numId w:val="45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进化灵活性</w:t>
      </w:r>
      <w:r>
        <w:rPr>
          <w:rFonts w:eastAsia="等线" w:ascii="Arial" w:cs="Arial" w:hAnsi="Arial"/>
          <w:sz w:val="22"/>
        </w:rPr>
        <w:t>：L0内部可设计为模块化架构，各子层通过清晰接口交互，允许独立演进。例如，存储子层可更换后端数据库，不影响网络子层。</w:t>
      </w:r>
    </w:p>
    <w:p>
      <w:pPr>
        <w:numPr>
          <w:numId w:val="46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简化治理</w:t>
      </w:r>
      <w:r>
        <w:rPr>
          <w:rFonts w:eastAsia="等线" w:ascii="Arial" w:cs="Arial" w:hAnsi="Arial"/>
          <w:sz w:val="22"/>
        </w:rPr>
        <w:t>：宪法层（L2）只需定义对L0的接口要求（如存储必须提供Merkle证明），无需关心存储的具体实现。</w:t>
      </w:r>
    </w:p>
    <w:p>
      <w:pPr>
        <w:numPr>
          <w:numId w:val="47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避免层级膨胀</w:t>
      </w:r>
      <w:r>
        <w:rPr>
          <w:rFonts w:eastAsia="等线" w:ascii="Arial" w:cs="Arial" w:hAnsi="Arial"/>
          <w:sz w:val="22"/>
        </w:rPr>
        <w:t>：NAC已有L0-L2，增加存储层作为L3会导致层数过多，且依赖错乱。融入L0保持层数精简。</w:t>
      </w:r>
    </w:p>
    <w:p>
      <w:pPr>
        <w:pStyle w:val="2"/>
        <w:spacing w:before="320" w:after="120" w:line="288" w:lineRule="auto"/>
        <w:ind w:left="0"/>
        <w:jc w:val="left"/>
        <w:outlineLvl w:val="1"/>
      </w:pPr>
      <w:bookmarkStart w:name="heading_10" w:id="10"/>
      <w:r>
        <w:rPr>
          <w:rFonts w:eastAsia="等线" w:ascii="Arial" w:cs="Arial" w:hAnsi="Arial"/>
          <w:b w:val="true"/>
          <w:sz w:val="32"/>
        </w:rPr>
        <w:t>3.1 L0新结构</w:t>
      </w:r>
      <w:bookmarkEnd w:id="10"/>
    </w:p>
    <w:tbl>
      <w:tblPr>
        <w:tblW w:w="0" w:type="auto"/>
        <w:tblInd w:w="0" w:type="dxa"/>
        <w:tblBorders>
          <w:top w:val="single" w:color="dee0e3"/>
          <w:left w:val="single" w:color="dee0e3"/>
          <w:bottom w:val="single" w:color="dee0e3"/>
          <w:right w:val="single" w:color="dee0e3"/>
          <w:insideH w:val="single" w:color="dee0e3"/>
          <w:insideV w:val="single" w:color="dee0e3"/>
        </w:tblBorders>
        <w:tblLayout w:type="fixed"/>
      </w:tblPr>
      <w:tblGrid>
        <w:gridCol w:w="8280"/>
      </w:tblGrid>
      <w:tr>
        <w:tc>
          <w:tcPr>
            <w:tcW w:w="8280" w:type="dxa"/>
            <w:shd w:color="auto" w:val="clear" w:fill="f5f6f7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jc w:val="left"/>
            </w:pPr>
            <w:r>
              <w:rPr>
                <w:rFonts w:eastAsia="Consolas" w:ascii="Consolas" w:cs="Consolas" w:hAnsi="Consolas"/>
                <w:color w:val="646a73"/>
                <w:sz w:val="22"/>
              </w:rPr>
              <w:t>plain text</w:t>
              <w:br w:type="textWrapping"/>
            </w:r>
            <w:r>
              <w:rPr>
                <w:rFonts w:eastAsia="Consolas" w:ascii="Consolas" w:cs="Consolas" w:hAnsi="Consolas"/>
                <w:sz w:val="22"/>
              </w:rPr>
              <w:t>L0 基础设施层</w:t>
              <w:br/>
              <w:t>├── 密码学子层：Hash、签名、随机数、加密算法</w:t>
              <w:br/>
              <w:t>├── 网络子层：P2P连接、Gossip协议、节点发现</w:t>
              <w:br/>
              <w:t>├── 序列化子层：nac_serde（编码转换、序列化格式）</w:t>
              <w:br/>
              <w:t>└── 存储子层：持久化存储接口、Merkle树、状态数据库、归档存储</w:t>
            </w:r>
          </w:p>
        </w:tc>
      </w:tr>
    </w:tbl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各子层通过</w:t>
      </w:r>
      <w:r>
        <w:rPr>
          <w:rFonts w:eastAsia="等线" w:ascii="Arial" w:cs="Arial" w:hAnsi="Arial"/>
          <w:b w:val="true"/>
          <w:sz w:val="22"/>
        </w:rPr>
        <w:t>内部API</w:t>
      </w:r>
      <w:r>
        <w:rPr>
          <w:rFonts w:eastAsia="等线" w:ascii="Arial" w:cs="Arial" w:hAnsi="Arial"/>
          <w:sz w:val="22"/>
        </w:rPr>
        <w:t>通信，对外（L1及以上）提供统一的服务接口。宪法层可通过宪法条款定义对存储子层的约束（如“必须使用Merkle Patricia Trie”），这些约束由存储子层实现保证。</w:t>
      </w:r>
    </w:p>
    <w:p>
      <w:pPr>
        <w:pBdr>
          <w:bottom w:val="single" w:color="dee0e3"/>
          <w:between w:val="single" w:color="dee0e3"/>
        </w:pBdr>
        <w:spacing w:before="120" w:after="120" w:line="288" w:lineRule="auto"/>
        <w:ind w:left="0"/>
      </w:pPr>
    </w:p>
    <w:p>
      <w:pPr>
        <w:pStyle w:val="1"/>
        <w:spacing w:before="380" w:after="140" w:line="288" w:lineRule="auto"/>
        <w:ind w:left="0"/>
        <w:jc w:val="left"/>
        <w:outlineLvl w:val="0"/>
      </w:pPr>
      <w:bookmarkStart w:name="heading_11" w:id="11"/>
      <w:r>
        <w:rPr>
          <w:rFonts w:eastAsia="等线" w:ascii="Arial" w:cs="Arial" w:hAnsi="Arial"/>
          <w:b w:val="true"/>
          <w:sz w:val="36"/>
        </w:rPr>
        <w:t>4. 开发工具层的定位</w:t>
      </w:r>
      <w:bookmarkEnd w:id="11"/>
    </w:p>
    <w:p>
      <w:pPr>
        <w:pStyle w:val="2"/>
        <w:spacing w:before="320" w:after="120" w:line="288" w:lineRule="auto"/>
        <w:ind w:left="0"/>
        <w:jc w:val="left"/>
        <w:outlineLvl w:val="1"/>
      </w:pPr>
      <w:bookmarkStart w:name="heading_12" w:id="12"/>
      <w:r>
        <w:rPr>
          <w:rFonts w:eastAsia="等线" w:ascii="Arial" w:cs="Arial" w:hAnsi="Arial"/>
          <w:b w:val="true"/>
          <w:sz w:val="32"/>
        </w:rPr>
        <w:t>4.1 现有开发工具集</w:t>
      </w:r>
      <w:bookmarkEnd w:id="12"/>
    </w:p>
    <w:p>
      <w:pPr>
        <w:numPr>
          <w:numId w:val="48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Charter编译器</w:t>
      </w:r>
      <w:r>
        <w:rPr>
          <w:rFonts w:eastAsia="等线" w:ascii="Arial" w:cs="Arial" w:hAnsi="Arial"/>
          <w:sz w:val="22"/>
        </w:rPr>
        <w:t>：将</w:t>
      </w:r>
      <w:r>
        <w:rPr>
          <w:rFonts w:eastAsia="Consolas" w:ascii="Consolas" w:cs="Consolas" w:hAnsi="Consolas"/>
          <w:sz w:val="22"/>
          <w:shd w:fill="EFF0F1"/>
        </w:rPr>
        <w:t>.charter</w:t>
      </w:r>
      <w:r>
        <w:rPr>
          <w:rFonts w:eastAsia="等线" w:ascii="Arial" w:cs="Arial" w:hAnsi="Arial"/>
          <w:sz w:val="22"/>
        </w:rPr>
        <w:t>编译为NVM字节码，提供标准库。</w:t>
      </w:r>
    </w:p>
    <w:p>
      <w:pPr>
        <w:numPr>
          <w:numId w:val="49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CNNL编译器</w:t>
      </w:r>
      <w:r>
        <w:rPr>
          <w:rFonts w:eastAsia="等线" w:ascii="Arial" w:cs="Arial" w:hAnsi="Arial"/>
          <w:sz w:val="22"/>
        </w:rPr>
        <w:t>：将</w:t>
      </w:r>
      <w:r>
        <w:rPr>
          <w:rFonts w:eastAsia="Consolas" w:ascii="Consolas" w:cs="Consolas" w:hAnsi="Consolas"/>
          <w:sz w:val="22"/>
          <w:shd w:fill="EFF0F1"/>
        </w:rPr>
        <w:t>.cnnl</w:t>
      </w:r>
      <w:r>
        <w:rPr>
          <w:rFonts w:eastAsia="等线" w:ascii="Arial" w:cs="Arial" w:hAnsi="Arial"/>
          <w:sz w:val="22"/>
        </w:rPr>
        <w:t>编译为宪法状态文件（JSON + Rust）。</w:t>
      </w:r>
    </w:p>
    <w:p>
      <w:pPr>
        <w:numPr>
          <w:numId w:val="50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Rust编译器插件</w:t>
      </w:r>
      <w:r>
        <w:rPr>
          <w:rFonts w:eastAsia="等线" w:ascii="Arial" w:cs="Arial" w:hAnsi="Arial"/>
          <w:sz w:val="22"/>
        </w:rPr>
        <w:t>：</w:t>
      </w:r>
      <w:r>
        <w:rPr>
          <w:rFonts w:eastAsia="Consolas" w:ascii="Consolas" w:cs="Consolas" w:hAnsi="Consolas"/>
          <w:sz w:val="22"/>
          <w:shd w:fill="EFF0F1"/>
        </w:rPr>
        <w:t>cargo-constitution</w:t>
      </w:r>
      <w:r>
        <w:rPr>
          <w:rFonts w:eastAsia="等线" w:ascii="Arial" w:cs="Arial" w:hAnsi="Arial"/>
          <w:sz w:val="22"/>
        </w:rPr>
        <w:t>提供宪法一致性Lint。</w:t>
      </w:r>
    </w:p>
    <w:p>
      <w:pPr>
        <w:numPr>
          <w:numId w:val="51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nac-primitives</w:t>
      </w:r>
      <w:r>
        <w:rPr>
          <w:rFonts w:eastAsia="等线" w:ascii="Arial" w:cs="Arial" w:hAnsi="Arial"/>
          <w:sz w:val="22"/>
        </w:rPr>
        <w:t>：核心类型库。</w:t>
      </w:r>
    </w:p>
    <w:p>
      <w:pPr>
        <w:numPr>
          <w:numId w:val="52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nac_serde</w:t>
      </w:r>
      <w:r>
        <w:rPr>
          <w:rFonts w:eastAsia="等线" w:ascii="Arial" w:cs="Arial" w:hAnsi="Arial"/>
          <w:sz w:val="22"/>
        </w:rPr>
        <w:t>：统一序列化库。</w:t>
      </w:r>
    </w:p>
    <w:p>
      <w:pPr>
        <w:numPr>
          <w:numId w:val="53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nac-toolbox</w:t>
      </w:r>
      <w:r>
        <w:rPr>
          <w:rFonts w:eastAsia="等线" w:ascii="Arial" w:cs="Arial" w:hAnsi="Arial"/>
          <w:sz w:val="22"/>
        </w:rPr>
        <w:t>：统一CLI工具，集成所有功能。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这些工具属于</w:t>
      </w:r>
      <w:r>
        <w:rPr>
          <w:rFonts w:eastAsia="等线" w:ascii="Arial" w:cs="Arial" w:hAnsi="Arial"/>
          <w:b w:val="true"/>
          <w:sz w:val="22"/>
        </w:rPr>
        <w:t>链下开发环境</w:t>
      </w:r>
      <w:r>
        <w:rPr>
          <w:rFonts w:eastAsia="等线" w:ascii="Arial" w:cs="Arial" w:hAnsi="Arial"/>
          <w:sz w:val="22"/>
        </w:rPr>
        <w:t>，用于编写、编译、测试、部署，并非运行时组件。因此，它们</w:t>
      </w:r>
      <w:r>
        <w:rPr>
          <w:rFonts w:eastAsia="等线" w:ascii="Arial" w:cs="Arial" w:hAnsi="Arial"/>
          <w:b w:val="true"/>
          <w:sz w:val="22"/>
        </w:rPr>
        <w:t>不应纳入公链的层级架构</w:t>
      </w:r>
      <w:r>
        <w:rPr>
          <w:rFonts w:eastAsia="等线" w:ascii="Arial" w:cs="Arial" w:hAnsi="Arial"/>
          <w:sz w:val="22"/>
        </w:rPr>
        <w:t>（L0-L5）。它们应作为</w:t>
      </w:r>
      <w:r>
        <w:rPr>
          <w:rFonts w:eastAsia="等线" w:ascii="Arial" w:cs="Arial" w:hAnsi="Arial"/>
          <w:b w:val="true"/>
          <w:sz w:val="22"/>
        </w:rPr>
        <w:t>平行于链的“开发者工具栈”</w:t>
      </w:r>
      <w:r>
        <w:rPr>
          <w:rFonts w:eastAsia="等线" w:ascii="Arial" w:cs="Arial" w:hAnsi="Arial"/>
          <w:sz w:val="22"/>
        </w:rPr>
        <w:t>，独立维护和发布。</w:t>
      </w:r>
    </w:p>
    <w:p>
      <w:pPr>
        <w:pStyle w:val="2"/>
        <w:spacing w:before="320" w:after="120" w:line="288" w:lineRule="auto"/>
        <w:ind w:left="0"/>
        <w:jc w:val="left"/>
        <w:outlineLvl w:val="1"/>
      </w:pPr>
      <w:bookmarkStart w:name="heading_13" w:id="13"/>
      <w:r>
        <w:rPr>
          <w:rFonts w:eastAsia="等线" w:ascii="Arial" w:cs="Arial" w:hAnsi="Arial"/>
          <w:b w:val="true"/>
          <w:sz w:val="32"/>
        </w:rPr>
        <w:t>4.2 建议：定义“开发者生态层”</w:t>
      </w:r>
      <w:bookmarkEnd w:id="13"/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虽然不纳入核心层级，但可以在文档中明确一个</w:t>
      </w:r>
      <w:r>
        <w:rPr>
          <w:rFonts w:eastAsia="等线" w:ascii="Arial" w:cs="Arial" w:hAnsi="Arial"/>
          <w:b w:val="true"/>
          <w:sz w:val="22"/>
        </w:rPr>
        <w:t>“开发者生态层”</w:t>
      </w:r>
      <w:r>
        <w:rPr>
          <w:rFonts w:eastAsia="等线" w:ascii="Arial" w:cs="Arial" w:hAnsi="Arial"/>
          <w:sz w:val="22"/>
        </w:rPr>
        <w:t>，包含：</w:t>
      </w:r>
    </w:p>
    <w:p>
      <w:pPr>
        <w:numPr>
          <w:numId w:val="54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编译器套件（Charter、CNNL）</w:t>
      </w:r>
    </w:p>
    <w:p>
      <w:pPr>
        <w:numPr>
          <w:numId w:val="55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静态验证工具（cargo-constitution）</w:t>
      </w:r>
    </w:p>
    <w:p>
      <w:pPr>
        <w:numPr>
          <w:numId w:val="56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核心库（nac-primitives, nac_serde）</w:t>
      </w:r>
    </w:p>
    <w:p>
      <w:pPr>
        <w:numPr>
          <w:numId w:val="57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集成开发环境插件（nac-ide）</w:t>
      </w:r>
    </w:p>
    <w:p>
      <w:pPr>
        <w:numPr>
          <w:numId w:val="58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沙箱模拟器（宪法沙箱）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此生态层与链上层级的关系是：</w:t>
      </w:r>
      <w:r>
        <w:rPr>
          <w:rFonts w:eastAsia="等线" w:ascii="Arial" w:cs="Arial" w:hAnsi="Arial"/>
          <w:b w:val="true"/>
          <w:sz w:val="22"/>
        </w:rPr>
        <w:t>工具用于构建链上组件</w:t>
      </w:r>
      <w:r>
        <w:rPr>
          <w:rFonts w:eastAsia="等线" w:ascii="Arial" w:cs="Arial" w:hAnsi="Arial"/>
          <w:sz w:val="22"/>
        </w:rPr>
        <w:t>，工具的输出（字节码、状态文件）被链上组件加载执行。工具本身不在链上运行，因此无需在层级图中体现，但必须在技术栈中明确其角色。</w:t>
      </w:r>
    </w:p>
    <w:p>
      <w:pPr>
        <w:pStyle w:val="2"/>
        <w:spacing w:before="320" w:after="120" w:line="288" w:lineRule="auto"/>
        <w:ind w:left="0"/>
        <w:jc w:val="left"/>
        <w:outlineLvl w:val="1"/>
      </w:pPr>
      <w:bookmarkStart w:name="heading_14" w:id="14"/>
      <w:r>
        <w:rPr>
          <w:rFonts w:eastAsia="等线" w:ascii="Arial" w:cs="Arial" w:hAnsi="Arial"/>
          <w:b w:val="true"/>
          <w:sz w:val="32"/>
        </w:rPr>
        <w:t>4.3 架构图中的表示</w:t>
      </w:r>
      <w:bookmarkEnd w:id="14"/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在总体架构图中，可用虚线框表示“开发者工具栈”与链上层级的关系，例如：</w:t>
      </w:r>
    </w:p>
    <w:tbl>
      <w:tblPr>
        <w:tblW w:w="0" w:type="auto"/>
        <w:tblInd w:w="0" w:type="dxa"/>
        <w:tblBorders>
          <w:top w:val="single" w:color="dee0e3"/>
          <w:left w:val="single" w:color="dee0e3"/>
          <w:bottom w:val="single" w:color="dee0e3"/>
          <w:right w:val="single" w:color="dee0e3"/>
          <w:insideH w:val="single" w:color="dee0e3"/>
          <w:insideV w:val="single" w:color="dee0e3"/>
        </w:tblBorders>
        <w:tblLayout w:type="fixed"/>
      </w:tblPr>
      <w:tblGrid>
        <w:gridCol w:w="8280"/>
      </w:tblGrid>
      <w:tr>
        <w:tc>
          <w:tcPr>
            <w:tcW w:w="8280" w:type="dxa"/>
            <w:shd w:color="auto" w:val="clear" w:fill="f5f6f7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jc w:val="left"/>
            </w:pPr>
            <w:r>
              <w:rPr>
                <w:rFonts w:eastAsia="Consolas" w:ascii="Consolas" w:cs="Consolas" w:hAnsi="Consolas"/>
                <w:color w:val="646a73"/>
                <w:sz w:val="22"/>
              </w:rPr>
              <w:t>plain text</w:t>
              <w:br w:type="textWrapping"/>
            </w:r>
            <w:r>
              <w:rPr>
                <w:rFonts w:eastAsia="Consolas" w:ascii="Consolas" w:cs="Consolas" w:hAnsi="Consolas"/>
                <w:sz w:val="22"/>
              </w:rPr>
              <w:t>┌─────────────────────────────────────────────────────────────┐</w:t>
              <w:br/>
              <w:t>│                     链上运行时层级                          │</w:t>
              <w:br/>
              <w:t>│  L5: 应用层                                                │</w:t>
              <w:br/>
              <w:t>│  L4: AI层（未来）                                          │</w:t>
              <w:br/>
              <w:t>│  L3: 存储层（L0子层）                                      │</w:t>
              <w:br/>
              <w:t>│  L2: 宪法治理层                                            │</w:t>
              <w:br/>
              <w:t>│  L1: 协议层                                                │</w:t>
              <w:br/>
              <w:t>│  L0: 基础设施层（含存储子层）                              │</w:t>
              <w:br/>
              <w:t>└─────────────────────────────────────────────────────────────┘</w:t>
              <w:br/>
              <w:t xml:space="preserve">                           ↑ 编译/部署</w:t>
              <w:br/>
              <w:t>┌─────────────────────────────────────────────────────────────┐</w:t>
              <w:br/>
              <w:t>│                   开发者工具栈（链下）                      │</w:t>
              <w:br/>
              <w:t>│  • Charter编译器  • CNNL编译器  • cargo-constitution       │</w:t>
              <w:br/>
              <w:t>│  • nac-primitives • nac_serde   • nac-toolbox              │</w:t>
              <w:br/>
              <w:t>│  • nac-ide插件    • 宪法沙箱     • 测试框架                 │</w:t>
              <w:br/>
              <w:t>└────────────────────────</w:t>
            </w:r>
            <w:r>
              <w:rPr>
                <w:rFonts w:eastAsia="Consolas" w:ascii="Consolas" w:cs="Consolas" w:hAnsi="Consolas"/>
                <w:sz w:val="22"/>
              </w:rPr>
              <w:t>─────────────────────────────────────┘</w:t>
            </w:r>
          </w:p>
        </w:tc>
      </w:tr>
    </w:tbl>
    <w:p>
      <w:pPr>
        <w:pBdr>
          <w:bottom w:val="single" w:color="dee0e3"/>
          <w:between w:val="single" w:color="dee0e3"/>
        </w:pBdr>
        <w:spacing w:before="120" w:after="120" w:line="288" w:lineRule="auto"/>
        <w:ind w:left="0"/>
      </w:pPr>
    </w:p>
    <w:p>
      <w:pPr>
        <w:pStyle w:val="1"/>
        <w:spacing w:before="380" w:after="140" w:line="288" w:lineRule="auto"/>
        <w:ind w:left="0"/>
        <w:jc w:val="left"/>
        <w:outlineLvl w:val="0"/>
      </w:pPr>
      <w:bookmarkStart w:name="heading_15" w:id="15"/>
      <w:r>
        <w:rPr>
          <w:rFonts w:eastAsia="等线" w:ascii="Arial" w:cs="Arial" w:hAnsi="Arial"/>
          <w:b w:val="true"/>
          <w:sz w:val="36"/>
        </w:rPr>
        <w:t>5. 最终层级定义（修订版）</w:t>
      </w:r>
      <w:bookmarkEnd w:id="15"/>
    </w:p>
    <w:tbl>
      <w:tblPr>
        <w:tblW w:w="0" w:type="auto"/>
        <w:tblInd w:w="0" w:type="dxa"/>
        <w:tblBorders>
          <w:top w:val="single" w:color="dee0e3"/>
          <w:left w:val="single" w:color="dee0e3"/>
          <w:bottom w:val="single" w:color="dee0e3"/>
          <w:right w:val="single" w:color="dee0e3"/>
          <w:insideH w:val="single" w:color="dee0e3"/>
          <w:insideV w:val="single" w:color="dee0e3"/>
        </w:tblBorders>
        <w:tblLayout w:type="fixed"/>
      </w:tblPr>
      <w:tblGrid>
        <w:gridCol w:w="2070"/>
        <w:gridCol w:w="2070"/>
        <w:gridCol w:w="2070"/>
        <w:gridCol w:w="2070"/>
      </w:tblGrid>
      <w:tr>
        <w:tc>
          <w:tcPr>
            <w:tcW w:w="207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层级</w:t>
            </w:r>
          </w:p>
        </w:tc>
        <w:tc>
          <w:tcPr>
            <w:tcW w:w="207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名称</w:t>
            </w:r>
          </w:p>
        </w:tc>
        <w:tc>
          <w:tcPr>
            <w:tcW w:w="207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核心组件</w:t>
            </w:r>
          </w:p>
        </w:tc>
        <w:tc>
          <w:tcPr>
            <w:tcW w:w="207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职责</w:t>
            </w:r>
          </w:p>
        </w:tc>
      </w:tr>
      <w:tr>
        <w:tc>
          <w:tcPr>
            <w:tcW w:w="207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b w:val="true"/>
                <w:sz w:val="22"/>
              </w:rPr>
              <w:t>L5</w:t>
            </w:r>
          </w:p>
        </w:tc>
        <w:tc>
          <w:tcPr>
            <w:tcW w:w="207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应用层</w:t>
            </w:r>
          </w:p>
        </w:tc>
        <w:tc>
          <w:tcPr>
            <w:tcW w:w="207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DApps、链上合约、钱包</w:t>
            </w:r>
            <w:r>
              <w:rPr>
                <w:rFonts w:eastAsia="等线" w:ascii="Arial" w:cs="Arial" w:hAnsi="Arial"/>
                <w:sz w:val="22"/>
              </w:rPr>
              <w:t>、浏览器</w:t>
            </w:r>
          </w:p>
        </w:tc>
        <w:tc>
          <w:tcPr>
            <w:tcW w:w="207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面向用户的业务逻辑和交互</w:t>
            </w:r>
          </w:p>
        </w:tc>
      </w:tr>
      <w:tr>
        <w:tc>
          <w:tcPr>
            <w:tcW w:w="207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b w:val="true"/>
                <w:sz w:val="22"/>
              </w:rPr>
              <w:t>L4</w:t>
            </w:r>
          </w:p>
        </w:tc>
        <w:tc>
          <w:tcPr>
            <w:tcW w:w="207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AI层（未来）</w:t>
            </w:r>
          </w:p>
        </w:tc>
        <w:tc>
          <w:tcPr>
            <w:tcW w:w="207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宏观感知AI、预言机聚合、自进化协议</w:t>
            </w:r>
          </w:p>
        </w:tc>
        <w:tc>
          <w:tcPr>
            <w:tcW w:w="207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智能决策、数据预测（预留）</w:t>
            </w:r>
          </w:p>
        </w:tc>
      </w:tr>
      <w:tr>
        <w:tc>
          <w:tcPr>
            <w:tcW w:w="207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b w:val="true"/>
                <w:sz w:val="22"/>
              </w:rPr>
              <w:t>L3</w:t>
            </w:r>
          </w:p>
        </w:tc>
        <w:tc>
          <w:tcPr>
            <w:tcW w:w="207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（未使用，可保留）</w:t>
            </w:r>
          </w:p>
        </w:tc>
        <w:tc>
          <w:tcPr>
            <w:tcW w:w="207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-</w:t>
            </w:r>
          </w:p>
        </w:tc>
        <w:tc>
          <w:tcPr>
            <w:tcW w:w="207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暂为空，供未来扩展</w:t>
            </w:r>
          </w:p>
        </w:tc>
      </w:tr>
      <w:tr>
        <w:tc>
          <w:tcPr>
            <w:tcW w:w="207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b w:val="true"/>
                <w:sz w:val="22"/>
              </w:rPr>
              <w:t>L2</w:t>
            </w:r>
          </w:p>
        </w:tc>
        <w:tc>
          <w:tcPr>
            <w:tcW w:w="207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宪法治理层</w:t>
            </w:r>
          </w:p>
        </w:tc>
        <w:tc>
          <w:tcPr>
            <w:tcW w:w="207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CNNL编译器、宪法法院、CEE、CR、静态验证工具链</w:t>
            </w:r>
          </w:p>
        </w:tc>
        <w:tc>
          <w:tcPr>
            <w:tcW w:w="207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立法、司法、执法，全网规则来源</w:t>
            </w:r>
          </w:p>
        </w:tc>
      </w:tr>
      <w:tr>
        <w:tc>
          <w:tcPr>
            <w:tcW w:w="207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b w:val="true"/>
                <w:sz w:val="22"/>
              </w:rPr>
              <w:t>L1</w:t>
            </w:r>
          </w:p>
        </w:tc>
        <w:tc>
          <w:tcPr>
            <w:tcW w:w="207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协议层</w:t>
            </w:r>
          </w:p>
        </w:tc>
        <w:tc>
          <w:tcPr>
            <w:tcW w:w="207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CBPP共识、CSNP网络、NVM虚拟机、ACC资产协议</w:t>
            </w:r>
          </w:p>
        </w:tc>
        <w:tc>
          <w:tcPr>
            <w:tcW w:w="207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核心区块链协议与资产标准</w:t>
            </w:r>
          </w:p>
        </w:tc>
      </w:tr>
      <w:tr>
        <w:tc>
          <w:tcPr>
            <w:tcW w:w="207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b w:val="true"/>
                <w:sz w:val="22"/>
              </w:rPr>
              <w:t>L0</w:t>
            </w:r>
          </w:p>
        </w:tc>
        <w:tc>
          <w:tcPr>
            <w:tcW w:w="207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基础设施层</w:t>
            </w:r>
          </w:p>
        </w:tc>
        <w:tc>
          <w:tcPr>
            <w:tcW w:w="207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密码学、网络、序列化、</w:t>
            </w:r>
            <w:r>
              <w:rPr>
                <w:rFonts w:eastAsia="等线" w:ascii="Arial" w:cs="Arial" w:hAnsi="Arial"/>
                <w:b w:val="true"/>
                <w:sz w:val="22"/>
              </w:rPr>
              <w:t>存储子层</w:t>
            </w:r>
          </w:p>
        </w:tc>
        <w:tc>
          <w:tcPr>
            <w:tcW w:w="207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底层基础服务，支撑所有上层</w:t>
            </w:r>
          </w:p>
        </w:tc>
      </w:tr>
    </w:tbl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开发者工具栈</w:t>
      </w:r>
      <w:r>
        <w:rPr>
          <w:rFonts w:eastAsia="等线" w:ascii="Arial" w:cs="Arial" w:hAnsi="Arial"/>
          <w:sz w:val="22"/>
        </w:rPr>
        <w:t>作为平行体系，不编号。</w:t>
      </w:r>
    </w:p>
    <w:p>
      <w:pPr>
        <w:pBdr>
          <w:bottom w:val="single" w:color="dee0e3"/>
          <w:between w:val="single" w:color="dee0e3"/>
        </w:pBdr>
        <w:spacing w:before="120" w:after="120" w:line="288" w:lineRule="auto"/>
        <w:ind w:left="0"/>
      </w:pPr>
    </w:p>
    <w:p>
      <w:pPr>
        <w:pStyle w:val="1"/>
        <w:spacing w:before="380" w:after="140" w:line="288" w:lineRule="auto"/>
        <w:ind w:left="0"/>
        <w:jc w:val="left"/>
        <w:outlineLvl w:val="0"/>
      </w:pPr>
      <w:bookmarkStart w:name="heading_16" w:id="16"/>
      <w:r>
        <w:rPr>
          <w:rFonts w:eastAsia="等线" w:ascii="Arial" w:cs="Arial" w:hAnsi="Arial"/>
          <w:b w:val="true"/>
          <w:sz w:val="36"/>
        </w:rPr>
        <w:t>6. 实施建议</w:t>
      </w:r>
      <w:bookmarkEnd w:id="16"/>
    </w:p>
    <w:p>
      <w:pPr>
        <w:numPr>
          <w:numId w:val="59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立即行动</w:t>
      </w:r>
      <w:r>
        <w:rPr>
          <w:rFonts w:eastAsia="等线" w:ascii="Arial" w:cs="Arial" w:hAnsi="Arial"/>
          <w:sz w:val="22"/>
        </w:rPr>
        <w:t>：将存储子层纳入L0，明确其接口规范，并由核心开发组实现。</w:t>
      </w:r>
    </w:p>
    <w:p>
      <w:pPr>
        <w:numPr>
          <w:numId w:val="60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文档更新</w:t>
      </w:r>
      <w:r>
        <w:rPr>
          <w:rFonts w:eastAsia="等线" w:ascii="Arial" w:cs="Arial" w:hAnsi="Arial"/>
          <w:sz w:val="22"/>
        </w:rPr>
        <w:t>：修订所有技术白皮书，统一采用上述层级定义。</w:t>
      </w:r>
    </w:p>
    <w:p>
      <w:pPr>
        <w:numPr>
          <w:numId w:val="61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工具链整合</w:t>
      </w:r>
      <w:r>
        <w:rPr>
          <w:rFonts w:eastAsia="等线" w:ascii="Arial" w:cs="Arial" w:hAnsi="Arial"/>
          <w:sz w:val="22"/>
        </w:rPr>
        <w:t>：继续完善nac-toolbox，确保开发者能一键完成从编写到部署的全流程，并与链上层级明确映射。</w:t>
      </w:r>
    </w:p>
    <w:p>
      <w:pPr>
        <w:numPr>
          <w:numId w:val="62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宪法绑定</w:t>
      </w:r>
      <w:r>
        <w:rPr>
          <w:rFonts w:eastAsia="等线" w:ascii="Arial" w:cs="Arial" w:hAnsi="Arial"/>
          <w:sz w:val="22"/>
        </w:rPr>
        <w:t>：在宪法附录中增加对存储子层的约束条款（如数据保留期限、证明算法），确保存储实现符合法治。</w:t>
      </w:r>
    </w:p>
    <w:p>
      <w:pPr>
        <w:pBdr>
          <w:bottom w:val="single" w:color="dee0e3"/>
          <w:between w:val="single" w:color="dee0e3"/>
        </w:pBdr>
        <w:spacing w:before="120" w:after="120" w:line="288" w:lineRule="auto"/>
        <w:ind w:left="0"/>
      </w:pP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制定人</w:t>
      </w:r>
      <w:r>
        <w:rPr>
          <w:rFonts w:eastAsia="等线" w:ascii="Arial" w:cs="Arial" w:hAnsi="Arial"/>
          <w:sz w:val="22"/>
        </w:rPr>
        <w:t>：NAC架构委员会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最后更新</w:t>
      </w:r>
      <w:r>
        <w:rPr>
          <w:rFonts w:eastAsia="等线" w:ascii="Arial" w:cs="Arial" w:hAnsi="Arial"/>
          <w:sz w:val="22"/>
        </w:rPr>
        <w:t>：2026年2月14日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文档状态</w:t>
      </w:r>
      <w:r>
        <w:rPr>
          <w:rFonts w:eastAsia="等线" w:ascii="Arial" w:cs="Arial" w:hAnsi="Arial"/>
          <w:sz w:val="22"/>
        </w:rPr>
        <w:t>：正式发布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|（注：文档部分内容可能由 AI 生成)</w:t>
      </w:r>
    </w:p>
    <w:sectPr>
      <w:footerReference w:type="default" r:id="rId3"/>
      <w:headerReference w:type="default" r:id="rId5"/>
      <w:pgSz w:orient="portrait" w:h="16840" w:w="11905"/>
    </w:sectPr>
  </w:body>
</w:document>
</file>

<file path=word/footer1.xml><?xml version="1.0" encoding="utf-8"?>
<w:ftr xmlns:w="http://schemas.openxmlformats.org/wordprocessingml/2006/main">
  <w:p/>
</w:ftr>
</file>

<file path=word/header1.xml><?xml version="1.0" encoding="utf-8"?>
<w:hdr xmlns:w="http://schemas.openxmlformats.org/wordprocessingml/2006/main">
  <w:p/>
</w:hdr>
</file>

<file path=word/numbering.xml><?xml version="1.0" encoding="utf-8"?>
<w:numbering xmlns:w="http://schemas.openxmlformats.org/wordprocessingml/2006/main">
  <w:abstractNum w:abstractNumId="146492">
    <w:lvl>
      <w:numFmt w:val="bullet"/>
      <w:suff w:val="tab"/>
      <w:lvlText w:val="•"/>
      <w:rPr>
        <w:color w:val="3370ff"/>
      </w:rPr>
    </w:lvl>
  </w:abstractNum>
  <w:abstractNum w:abstractNumId="146493">
    <w:lvl>
      <w:numFmt w:val="bullet"/>
      <w:suff w:val="tab"/>
      <w:lvlText w:val="•"/>
      <w:rPr>
        <w:color w:val="3370ff"/>
      </w:rPr>
    </w:lvl>
  </w:abstractNum>
  <w:abstractNum w:abstractNumId="146494">
    <w:lvl>
      <w:numFmt w:val="bullet"/>
      <w:suff w:val="tab"/>
      <w:lvlText w:val="•"/>
      <w:rPr>
        <w:color w:val="3370ff"/>
      </w:rPr>
    </w:lvl>
  </w:abstractNum>
  <w:abstractNum w:abstractNumId="146495">
    <w:lvl>
      <w:start w:val="1"/>
      <w:numFmt w:val="decimal"/>
      <w:suff w:val="tab"/>
      <w:lvlText w:val="%1."/>
      <w:rPr>
        <w:color w:val="3370ff"/>
      </w:rPr>
    </w:lvl>
  </w:abstractNum>
  <w:abstractNum w:abstractNumId="146496">
    <w:lvl>
      <w:start w:val="2"/>
      <w:numFmt w:val="decimal"/>
      <w:suff w:val="tab"/>
      <w:lvlText w:val="%1."/>
      <w:rPr>
        <w:color w:val="3370ff"/>
      </w:rPr>
    </w:lvl>
  </w:abstractNum>
  <w:abstractNum w:abstractNumId="146497">
    <w:lvl>
      <w:numFmt w:val="bullet"/>
      <w:suff w:val="tab"/>
      <w:lvlText w:val="•"/>
      <w:rPr>
        <w:color w:val="3370ff"/>
      </w:rPr>
    </w:lvl>
  </w:abstractNum>
  <w:abstractNum w:abstractNumId="146498">
    <w:lvl>
      <w:numFmt w:val="bullet"/>
      <w:suff w:val="tab"/>
      <w:lvlText w:val="•"/>
      <w:rPr>
        <w:color w:val="3370ff"/>
      </w:rPr>
    </w:lvl>
  </w:abstractNum>
  <w:abstractNum w:abstractNumId="146499">
    <w:lvl>
      <w:numFmt w:val="bullet"/>
      <w:suff w:val="tab"/>
      <w:lvlText w:val="•"/>
      <w:rPr>
        <w:color w:val="3370ff"/>
      </w:rPr>
    </w:lvl>
  </w:abstractNum>
  <w:abstractNum w:abstractNumId="146500">
    <w:lvl>
      <w:numFmt w:val="bullet"/>
      <w:suff w:val="tab"/>
      <w:lvlText w:val="•"/>
      <w:rPr>
        <w:color w:val="3370ff"/>
      </w:rPr>
    </w:lvl>
  </w:abstractNum>
  <w:abstractNum w:abstractNumId="146501">
    <w:lvl>
      <w:numFmt w:val="bullet"/>
      <w:suff w:val="tab"/>
      <w:lvlText w:val="•"/>
      <w:rPr>
        <w:color w:val="3370ff"/>
      </w:rPr>
    </w:lvl>
  </w:abstractNum>
  <w:abstractNum w:abstractNumId="146502">
    <w:lvl>
      <w:numFmt w:val="bullet"/>
      <w:suff w:val="tab"/>
      <w:lvlText w:val="•"/>
      <w:rPr>
        <w:color w:val="3370ff"/>
      </w:rPr>
    </w:lvl>
  </w:abstractNum>
  <w:abstractNum w:abstractNumId="146503">
    <w:lvl>
      <w:numFmt w:val="bullet"/>
      <w:suff w:val="tab"/>
      <w:lvlText w:val="•"/>
      <w:rPr>
        <w:color w:val="3370ff"/>
      </w:rPr>
    </w:lvl>
  </w:abstractNum>
  <w:abstractNum w:abstractNumId="146504">
    <w:lvl>
      <w:numFmt w:val="bullet"/>
      <w:suff w:val="tab"/>
      <w:lvlText w:val="•"/>
      <w:rPr>
        <w:color w:val="3370ff"/>
      </w:rPr>
    </w:lvl>
  </w:abstractNum>
  <w:abstractNum w:abstractNumId="146505">
    <w:lvl>
      <w:numFmt w:val="bullet"/>
      <w:suff w:val="tab"/>
      <w:lvlText w:val="•"/>
      <w:rPr>
        <w:color w:val="3370ff"/>
      </w:rPr>
    </w:lvl>
  </w:abstractNum>
  <w:abstractNum w:abstractNumId="146506">
    <w:lvl>
      <w:numFmt w:val="bullet"/>
      <w:suff w:val="tab"/>
      <w:lvlText w:val="•"/>
      <w:rPr>
        <w:color w:val="3370ff"/>
      </w:rPr>
    </w:lvl>
  </w:abstractNum>
  <w:abstractNum w:abstractNumId="146507">
    <w:lvl>
      <w:numFmt w:val="bullet"/>
      <w:suff w:val="tab"/>
      <w:lvlText w:val="•"/>
      <w:rPr>
        <w:color w:val="3370ff"/>
      </w:rPr>
    </w:lvl>
  </w:abstractNum>
  <w:abstractNum w:abstractNumId="146508">
    <w:lvl>
      <w:numFmt w:val="bullet"/>
      <w:suff w:val="tab"/>
      <w:lvlText w:val="￮"/>
      <w:rPr>
        <w:color w:val="3370ff"/>
      </w:rPr>
    </w:lvl>
  </w:abstractNum>
  <w:abstractNum w:abstractNumId="146509">
    <w:lvl>
      <w:numFmt w:val="bullet"/>
      <w:suff w:val="tab"/>
      <w:lvlText w:val="￮"/>
      <w:rPr>
        <w:color w:val="3370ff"/>
      </w:rPr>
    </w:lvl>
  </w:abstractNum>
  <w:abstractNum w:abstractNumId="146510">
    <w:lvl>
      <w:numFmt w:val="bullet"/>
      <w:suff w:val="tab"/>
      <w:lvlText w:val="￮"/>
      <w:rPr>
        <w:color w:val="3370ff"/>
      </w:rPr>
    </w:lvl>
  </w:abstractNum>
  <w:abstractNum w:abstractNumId="146511">
    <w:lvl>
      <w:numFmt w:val="bullet"/>
      <w:suff w:val="tab"/>
      <w:lvlText w:val="•"/>
      <w:rPr>
        <w:color w:val="3370ff"/>
      </w:rPr>
    </w:lvl>
  </w:abstractNum>
  <w:abstractNum w:abstractNumId="146512">
    <w:lvl>
      <w:numFmt w:val="bullet"/>
      <w:suff w:val="tab"/>
      <w:lvlText w:val="￮"/>
      <w:rPr>
        <w:color w:val="3370ff"/>
      </w:rPr>
    </w:lvl>
  </w:abstractNum>
  <w:abstractNum w:abstractNumId="146513">
    <w:lvl>
      <w:numFmt w:val="bullet"/>
      <w:suff w:val="tab"/>
      <w:lvlText w:val="￮"/>
      <w:rPr>
        <w:color w:val="3370ff"/>
      </w:rPr>
    </w:lvl>
  </w:abstractNum>
  <w:abstractNum w:abstractNumId="146514">
    <w:lvl>
      <w:numFmt w:val="bullet"/>
      <w:suff w:val="tab"/>
      <w:lvlText w:val="•"/>
      <w:rPr>
        <w:color w:val="3370ff"/>
      </w:rPr>
    </w:lvl>
  </w:abstractNum>
  <w:abstractNum w:abstractNumId="146515">
    <w:lvl>
      <w:numFmt w:val="bullet"/>
      <w:suff w:val="tab"/>
      <w:lvlText w:val="•"/>
      <w:rPr>
        <w:color w:val="3370ff"/>
      </w:rPr>
    </w:lvl>
  </w:abstractNum>
  <w:abstractNum w:abstractNumId="146516">
    <w:lvl>
      <w:numFmt w:val="bullet"/>
      <w:suff w:val="tab"/>
      <w:lvlText w:val="￮"/>
      <w:rPr>
        <w:color w:val="3370ff"/>
      </w:rPr>
    </w:lvl>
  </w:abstractNum>
  <w:abstractNum w:abstractNumId="146517">
    <w:lvl>
      <w:numFmt w:val="bullet"/>
      <w:suff w:val="tab"/>
      <w:lvlText w:val="￮"/>
      <w:rPr>
        <w:color w:val="3370ff"/>
      </w:rPr>
    </w:lvl>
  </w:abstractNum>
  <w:abstractNum w:abstractNumId="146518">
    <w:lvl>
      <w:numFmt w:val="bullet"/>
      <w:suff w:val="tab"/>
      <w:lvlText w:val="•"/>
      <w:rPr>
        <w:color w:val="3370ff"/>
      </w:rPr>
    </w:lvl>
  </w:abstractNum>
  <w:abstractNum w:abstractNumId="146519">
    <w:lvl>
      <w:numFmt w:val="bullet"/>
      <w:suff w:val="tab"/>
      <w:lvlText w:val="￮"/>
      <w:rPr>
        <w:color w:val="3370ff"/>
      </w:rPr>
    </w:lvl>
  </w:abstractNum>
  <w:abstractNum w:abstractNumId="146520">
    <w:lvl>
      <w:numFmt w:val="bullet"/>
      <w:suff w:val="tab"/>
      <w:lvlText w:val="￮"/>
      <w:rPr>
        <w:color w:val="3370ff"/>
      </w:rPr>
    </w:lvl>
  </w:abstractNum>
  <w:abstractNum w:abstractNumId="146521">
    <w:lvl>
      <w:numFmt w:val="bullet"/>
      <w:suff w:val="tab"/>
      <w:lvlText w:val="•"/>
      <w:rPr>
        <w:color w:val="3370ff"/>
      </w:rPr>
    </w:lvl>
  </w:abstractNum>
  <w:abstractNum w:abstractNumId="146522">
    <w:lvl>
      <w:numFmt w:val="bullet"/>
      <w:suff w:val="tab"/>
      <w:lvlText w:val="•"/>
      <w:rPr>
        <w:color w:val="3370ff"/>
      </w:rPr>
    </w:lvl>
  </w:abstractNum>
  <w:abstractNum w:abstractNumId="146523">
    <w:lvl>
      <w:numFmt w:val="bullet"/>
      <w:suff w:val="tab"/>
      <w:lvlText w:val="￮"/>
      <w:rPr>
        <w:color w:val="3370ff"/>
      </w:rPr>
    </w:lvl>
  </w:abstractNum>
  <w:abstractNum w:abstractNumId="146524">
    <w:lvl>
      <w:numFmt w:val="bullet"/>
      <w:suff w:val="tab"/>
      <w:lvlText w:val="￮"/>
      <w:rPr>
        <w:color w:val="3370ff"/>
      </w:rPr>
    </w:lvl>
  </w:abstractNum>
  <w:abstractNum w:abstractNumId="146525">
    <w:lvl>
      <w:numFmt w:val="bullet"/>
      <w:suff w:val="tab"/>
      <w:lvlText w:val="•"/>
      <w:rPr>
        <w:color w:val="3370ff"/>
      </w:rPr>
    </w:lvl>
  </w:abstractNum>
  <w:abstractNum w:abstractNumId="146526">
    <w:lvl>
      <w:numFmt w:val="bullet"/>
      <w:suff w:val="tab"/>
      <w:lvlText w:val="￮"/>
      <w:rPr>
        <w:color w:val="3370ff"/>
      </w:rPr>
    </w:lvl>
  </w:abstractNum>
  <w:abstractNum w:abstractNumId="146527">
    <w:lvl>
      <w:numFmt w:val="bullet"/>
      <w:suff w:val="tab"/>
      <w:lvlText w:val="￮"/>
      <w:rPr>
        <w:color w:val="3370ff"/>
      </w:rPr>
    </w:lvl>
  </w:abstractNum>
  <w:abstractNum w:abstractNumId="146528">
    <w:lvl>
      <w:numFmt w:val="bullet"/>
      <w:suff w:val="tab"/>
      <w:lvlText w:val="•"/>
      <w:rPr>
        <w:color w:val="3370ff"/>
      </w:rPr>
    </w:lvl>
  </w:abstractNum>
  <w:abstractNum w:abstractNumId="146529">
    <w:lvl>
      <w:numFmt w:val="bullet"/>
      <w:suff w:val="tab"/>
      <w:lvlText w:val="•"/>
      <w:rPr>
        <w:color w:val="3370ff"/>
      </w:rPr>
    </w:lvl>
  </w:abstractNum>
  <w:abstractNum w:abstractNumId="146530">
    <w:lvl>
      <w:numFmt w:val="bullet"/>
      <w:suff w:val="tab"/>
      <w:lvlText w:val="￮"/>
      <w:rPr>
        <w:color w:val="3370ff"/>
      </w:rPr>
    </w:lvl>
  </w:abstractNum>
  <w:abstractNum w:abstractNumId="146531">
    <w:lvl>
      <w:numFmt w:val="bullet"/>
      <w:suff w:val="tab"/>
      <w:lvlText w:val="￮"/>
      <w:rPr>
        <w:color w:val="3370ff"/>
      </w:rPr>
    </w:lvl>
  </w:abstractNum>
  <w:abstractNum w:abstractNumId="146532">
    <w:lvl>
      <w:numFmt w:val="bullet"/>
      <w:suff w:val="tab"/>
      <w:lvlText w:val="•"/>
      <w:rPr>
        <w:color w:val="3370ff"/>
      </w:rPr>
    </w:lvl>
  </w:abstractNum>
  <w:abstractNum w:abstractNumId="146533">
    <w:lvl>
      <w:numFmt w:val="bullet"/>
      <w:suff w:val="tab"/>
      <w:lvlText w:val="￮"/>
      <w:rPr>
        <w:color w:val="3370ff"/>
      </w:rPr>
    </w:lvl>
  </w:abstractNum>
  <w:abstractNum w:abstractNumId="146534">
    <w:lvl>
      <w:numFmt w:val="bullet"/>
      <w:suff w:val="tab"/>
      <w:lvlText w:val="￮"/>
      <w:rPr>
        <w:color w:val="3370ff"/>
      </w:rPr>
    </w:lvl>
  </w:abstractNum>
  <w:abstractNum w:abstractNumId="146535">
    <w:lvl>
      <w:numFmt w:val="bullet"/>
      <w:suff w:val="tab"/>
      <w:lvlText w:val="•"/>
      <w:rPr>
        <w:color w:val="3370ff"/>
      </w:rPr>
    </w:lvl>
  </w:abstractNum>
  <w:abstractNum w:abstractNumId="146536">
    <w:lvl>
      <w:numFmt w:val="bullet"/>
      <w:suff w:val="tab"/>
      <w:lvlText w:val="•"/>
      <w:rPr>
        <w:color w:val="3370ff"/>
      </w:rPr>
    </w:lvl>
  </w:abstractNum>
  <w:abstractNum w:abstractNumId="146537">
    <w:lvl>
      <w:numFmt w:val="bullet"/>
      <w:suff w:val="tab"/>
      <w:lvlText w:val="•"/>
      <w:rPr>
        <w:color w:val="3370ff"/>
      </w:rPr>
    </w:lvl>
  </w:abstractNum>
  <w:abstractNum w:abstractNumId="146538">
    <w:lvl>
      <w:numFmt w:val="bullet"/>
      <w:suff w:val="tab"/>
      <w:lvlText w:val="•"/>
      <w:rPr>
        <w:color w:val="3370ff"/>
      </w:rPr>
    </w:lvl>
  </w:abstractNum>
  <w:abstractNum w:abstractNumId="146539">
    <w:lvl>
      <w:numFmt w:val="bullet"/>
      <w:suff w:val="tab"/>
      <w:lvlText w:val="•"/>
      <w:rPr>
        <w:color w:val="3370ff"/>
      </w:rPr>
    </w:lvl>
  </w:abstractNum>
  <w:abstractNum w:abstractNumId="146540">
    <w:lvl>
      <w:numFmt w:val="bullet"/>
      <w:suff w:val="tab"/>
      <w:lvlText w:val="•"/>
      <w:rPr>
        <w:color w:val="3370ff"/>
      </w:rPr>
    </w:lvl>
  </w:abstractNum>
  <w:abstractNum w:abstractNumId="146541">
    <w:lvl>
      <w:numFmt w:val="bullet"/>
      <w:suff w:val="tab"/>
      <w:lvlText w:val="•"/>
      <w:rPr>
        <w:color w:val="3370ff"/>
      </w:rPr>
    </w:lvl>
  </w:abstractNum>
  <w:abstractNum w:abstractNumId="146542">
    <w:lvl>
      <w:numFmt w:val="bullet"/>
      <w:suff w:val="tab"/>
      <w:lvlText w:val="•"/>
      <w:rPr>
        <w:color w:val="3370ff"/>
      </w:rPr>
    </w:lvl>
  </w:abstractNum>
  <w:abstractNum w:abstractNumId="146543">
    <w:lvl>
      <w:numFmt w:val="bullet"/>
      <w:suff w:val="tab"/>
      <w:lvlText w:val="•"/>
      <w:rPr>
        <w:color w:val="3370ff"/>
      </w:rPr>
    </w:lvl>
  </w:abstractNum>
  <w:abstractNum w:abstractNumId="146544">
    <w:lvl>
      <w:numFmt w:val="bullet"/>
      <w:suff w:val="tab"/>
      <w:lvlText w:val="•"/>
      <w:rPr>
        <w:color w:val="3370ff"/>
      </w:rPr>
    </w:lvl>
  </w:abstractNum>
  <w:abstractNum w:abstractNumId="146545">
    <w:lvl>
      <w:numFmt w:val="bullet"/>
      <w:suff w:val="tab"/>
      <w:lvlText w:val="•"/>
      <w:rPr>
        <w:color w:val="3370ff"/>
      </w:rPr>
    </w:lvl>
  </w:abstractNum>
  <w:abstractNum w:abstractNumId="146546">
    <w:lvl>
      <w:numFmt w:val="bullet"/>
      <w:suff w:val="tab"/>
      <w:lvlText w:val="•"/>
      <w:rPr>
        <w:color w:val="3370ff"/>
      </w:rPr>
    </w:lvl>
  </w:abstractNum>
  <w:abstractNum w:abstractNumId="146547">
    <w:lvl>
      <w:numFmt w:val="bullet"/>
      <w:suff w:val="tab"/>
      <w:lvlText w:val="•"/>
      <w:rPr>
        <w:color w:val="3370ff"/>
      </w:rPr>
    </w:lvl>
  </w:abstractNum>
  <w:abstractNum w:abstractNumId="146548">
    <w:lvl>
      <w:numFmt w:val="bullet"/>
      <w:suff w:val="tab"/>
      <w:lvlText w:val="•"/>
      <w:rPr>
        <w:color w:val="3370ff"/>
      </w:rPr>
    </w:lvl>
  </w:abstractNum>
  <w:abstractNum w:abstractNumId="146549">
    <w:lvl>
      <w:numFmt w:val="bullet"/>
      <w:suff w:val="tab"/>
      <w:lvlText w:val="•"/>
      <w:rPr>
        <w:color w:val="3370ff"/>
      </w:rPr>
    </w:lvl>
  </w:abstractNum>
  <w:abstractNum w:abstractNumId="146550">
    <w:lvl>
      <w:numFmt w:val="bullet"/>
      <w:suff w:val="tab"/>
      <w:lvlText w:val="•"/>
      <w:rPr>
        <w:color w:val="3370ff"/>
      </w:rPr>
    </w:lvl>
  </w:abstractNum>
  <w:abstractNum w:abstractNumId="146551">
    <w:lvl>
      <w:numFmt w:val="bullet"/>
      <w:suff w:val="tab"/>
      <w:lvlText w:val="•"/>
      <w:rPr>
        <w:color w:val="3370ff"/>
      </w:rPr>
    </w:lvl>
  </w:abstractNum>
  <w:abstractNum w:abstractNumId="146552">
    <w:lvl>
      <w:numFmt w:val="bullet"/>
      <w:suff w:val="tab"/>
      <w:lvlText w:val="•"/>
      <w:rPr>
        <w:color w:val="3370ff"/>
      </w:rPr>
    </w:lvl>
  </w:abstractNum>
  <w:abstractNum w:abstractNumId="146553">
    <w:lvl>
      <w:numFmt w:val="bullet"/>
      <w:suff w:val="tab"/>
      <w:lvlText w:val="•"/>
      <w:rPr>
        <w:color w:val="3370ff"/>
      </w:rPr>
    </w:lvl>
  </w:abstractNum>
  <w:num w:numId="1">
    <w:abstractNumId w:val="146492"/>
  </w:num>
  <w:num w:numId="2">
    <w:abstractNumId w:val="146493"/>
  </w:num>
  <w:num w:numId="3">
    <w:abstractNumId w:val="146494"/>
  </w:num>
  <w:num w:numId="4">
    <w:abstractNumId w:val="146495"/>
  </w:num>
  <w:num w:numId="5">
    <w:abstractNumId w:val="146496"/>
  </w:num>
  <w:num w:numId="6">
    <w:abstractNumId w:val="146497"/>
  </w:num>
  <w:num w:numId="7">
    <w:abstractNumId w:val="146498"/>
  </w:num>
  <w:num w:numId="8">
    <w:abstractNumId w:val="146499"/>
  </w:num>
  <w:num w:numId="9">
    <w:abstractNumId w:val="146500"/>
  </w:num>
  <w:num w:numId="10">
    <w:abstractNumId w:val="146501"/>
  </w:num>
  <w:num w:numId="11">
    <w:abstractNumId w:val="146502"/>
  </w:num>
  <w:num w:numId="12">
    <w:abstractNumId w:val="146503"/>
  </w:num>
  <w:num w:numId="13">
    <w:abstractNumId w:val="146504"/>
  </w:num>
  <w:num w:numId="14">
    <w:abstractNumId w:val="146505"/>
  </w:num>
  <w:num w:numId="15">
    <w:abstractNumId w:val="146506"/>
  </w:num>
  <w:num w:numId="16">
    <w:abstractNumId w:val="146507"/>
  </w:num>
  <w:num w:numId="17">
    <w:abstractNumId w:val="146508"/>
  </w:num>
  <w:num w:numId="18">
    <w:abstractNumId w:val="146509"/>
  </w:num>
  <w:num w:numId="19">
    <w:abstractNumId w:val="146510"/>
  </w:num>
  <w:num w:numId="20">
    <w:abstractNumId w:val="146511"/>
  </w:num>
  <w:num w:numId="21">
    <w:abstractNumId w:val="146512"/>
  </w:num>
  <w:num w:numId="22">
    <w:abstractNumId w:val="146513"/>
  </w:num>
  <w:num w:numId="23">
    <w:abstractNumId w:val="146514"/>
  </w:num>
  <w:num w:numId="24">
    <w:abstractNumId w:val="146515"/>
  </w:num>
  <w:num w:numId="25">
    <w:abstractNumId w:val="146516"/>
  </w:num>
  <w:num w:numId="26">
    <w:abstractNumId w:val="146517"/>
  </w:num>
  <w:num w:numId="27">
    <w:abstractNumId w:val="146518"/>
  </w:num>
  <w:num w:numId="28">
    <w:abstractNumId w:val="146519"/>
  </w:num>
  <w:num w:numId="29">
    <w:abstractNumId w:val="146520"/>
  </w:num>
  <w:num w:numId="30">
    <w:abstractNumId w:val="146521"/>
  </w:num>
  <w:num w:numId="31">
    <w:abstractNumId w:val="146522"/>
  </w:num>
  <w:num w:numId="32">
    <w:abstractNumId w:val="146523"/>
  </w:num>
  <w:num w:numId="33">
    <w:abstractNumId w:val="146524"/>
  </w:num>
  <w:num w:numId="34">
    <w:abstractNumId w:val="146525"/>
  </w:num>
  <w:num w:numId="35">
    <w:abstractNumId w:val="146526"/>
  </w:num>
  <w:num w:numId="36">
    <w:abstractNumId w:val="146527"/>
  </w:num>
  <w:num w:numId="37">
    <w:abstractNumId w:val="146528"/>
  </w:num>
  <w:num w:numId="38">
    <w:abstractNumId w:val="146529"/>
  </w:num>
  <w:num w:numId="39">
    <w:abstractNumId w:val="146530"/>
  </w:num>
  <w:num w:numId="40">
    <w:abstractNumId w:val="146531"/>
  </w:num>
  <w:num w:numId="41">
    <w:abstractNumId w:val="146532"/>
  </w:num>
  <w:num w:numId="42">
    <w:abstractNumId w:val="146533"/>
  </w:num>
  <w:num w:numId="43">
    <w:abstractNumId w:val="146534"/>
  </w:num>
  <w:num w:numId="44">
    <w:abstractNumId w:val="146535"/>
  </w:num>
  <w:num w:numId="45">
    <w:abstractNumId w:val="146536"/>
  </w:num>
  <w:num w:numId="46">
    <w:abstractNumId w:val="146537"/>
  </w:num>
  <w:num w:numId="47">
    <w:abstractNumId w:val="146538"/>
  </w:num>
  <w:num w:numId="48">
    <w:abstractNumId w:val="146539"/>
  </w:num>
  <w:num w:numId="49">
    <w:abstractNumId w:val="146540"/>
  </w:num>
  <w:num w:numId="50">
    <w:abstractNumId w:val="146541"/>
  </w:num>
  <w:num w:numId="51">
    <w:abstractNumId w:val="146542"/>
  </w:num>
  <w:num w:numId="52">
    <w:abstractNumId w:val="146543"/>
  </w:num>
  <w:num w:numId="53">
    <w:abstractNumId w:val="146544"/>
  </w:num>
  <w:num w:numId="54">
    <w:abstractNumId w:val="146545"/>
  </w:num>
  <w:num w:numId="55">
    <w:abstractNumId w:val="146546"/>
  </w:num>
  <w:num w:numId="56">
    <w:abstractNumId w:val="146547"/>
  </w:num>
  <w:num w:numId="57">
    <w:abstractNumId w:val="146548"/>
  </w:num>
  <w:num w:numId="58">
    <w:abstractNumId w:val="146549"/>
  </w:num>
  <w:num w:numId="59">
    <w:abstractNumId w:val="146550"/>
  </w:num>
  <w:num w:numId="60">
    <w:abstractNumId w:val="146551"/>
  </w:num>
  <w:num w:numId="61">
    <w:abstractNumId w:val="146552"/>
  </w:num>
  <w:num w:numId="62">
    <w:abstractNumId w:val="146553"/>
  </w:num>
</w:numbering>
</file>

<file path=word/settings.xml><?xml version="1.0" encoding="utf-8"?>
<w:settings xmlns:w="http://schemas.openxmlformats.org/wordprocessingml/2006/main"/>
</file>

<file path=word/styles.xml><?xml version="1.0" encoding="utf-8"?>
<w:styles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arget="settings.xml" Type="http://schemas.openxmlformats.org/officeDocument/2006/relationships/settings"/><Relationship Id="rId2" Target="styles.xml" Type="http://schemas.openxmlformats.org/officeDocument/2006/relationships/styles"/><Relationship Id="rId3" Target="footer1.xml" Type="http://schemas.openxmlformats.org/officeDocument/2006/relationships/footer"/><Relationship Id="rId4" Target="numbering.xml" Type="http://schemas.openxmlformats.org/officeDocument/2006/relationships/numbering"/><Relationship Id="rId5" Target="header1.xml" Type="http://schemas.openxmlformats.org/officeDocument/2006/relationships/header"/></Relationships>
</file>

<file path=docProps/app.xml><?xml version="1.0" encoding="utf-8"?>
<Properties xmlns="http://schemas.openxmlformats.org/officeDocument/2006/extended-properties">
  <Application>Apache POI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2026-02-14T08:30:44Z</dcterms:created>
  <dc:creator>Apache POI</dc:creator>
</cp:coreProperties>
</file>