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NAC公链技术架构白皮书（最终整合版）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——基于宪法规则、AI执行、无司法裁量的完美法治公链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：CBPP白皮书、CSNP V2.0白皮书、CNNL规范、AI合规引擎技术白皮书、XTZH技术白皮书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NAC公链的核心理念是：</w:t>
      </w:r>
      <w:r>
        <w:rPr>
          <w:rFonts w:eastAsia="等线" w:ascii="Arial" w:cs="Arial" w:hAnsi="Arial"/>
          <w:b w:val="true"/>
          <w:sz w:val="22"/>
        </w:rPr>
        <w:t>规则由主权辖区协商制定，写入系统后，由AI自动执行，没有任何人为裁量空间</w:t>
      </w:r>
      <w:r>
        <w:rPr>
          <w:rFonts w:eastAsia="等线" w:ascii="Arial" w:cs="Arial" w:hAnsi="Arial"/>
          <w:sz w:val="22"/>
        </w:rPr>
        <w:t>。我们拒绝将“去中心化”扭曲为无政府主义的混乱，也拒绝将“治理”异化为代币持有者的乌托邦式投票。NAC的法治是真正的法治——规则明确、执行透明、不可干预。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在这一框架下：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政府/辖区</w:t>
      </w:r>
      <w:r>
        <w:rPr>
          <w:rFonts w:eastAsia="等线" w:ascii="Arial" w:cs="Arial" w:hAnsi="Arial"/>
          <w:sz w:val="22"/>
        </w:rPr>
        <w:t>：是规则的制定者，通过协商将法律要求转化为CNNL宪法条款。一旦写入系统，政府无权干预具体执行，更无权随意修改。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公民/节点</w:t>
      </w:r>
      <w:r>
        <w:rPr>
          <w:rFonts w:eastAsia="等线" w:ascii="Arial" w:cs="Arial" w:hAnsi="Arial"/>
          <w:sz w:val="22"/>
        </w:rPr>
        <w:t>：是规则的服从者，同时也是自由的参与者。只要遵守宪法，任何人可无许可地成为区块生产者、资产发行方、网络节点。规则保护公民，而非囚禁公民。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AI</w:t>
      </w:r>
      <w:r>
        <w:rPr>
          <w:rFonts w:eastAsia="等线" w:ascii="Arial" w:cs="Arial" w:hAnsi="Arial"/>
          <w:sz w:val="22"/>
        </w:rPr>
        <w:t>：是规则的执行者，通过宪法执行引擎（CEE）自动验证每一笔交易的合规性，通过AI审批引擎处理资产上链等复杂判断。没有任何人工干预，没有任何法官的自由裁量。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</w:t>
      </w:r>
      <w:r>
        <w:rPr>
          <w:rFonts w:eastAsia="等线" w:ascii="Arial" w:cs="Arial" w:hAnsi="Arial"/>
          <w:sz w:val="22"/>
        </w:rPr>
        <w:t>：是纯治理币，仅用于支付系统运行成本（上链燃烧、AI计算费用、节点激励），不承载任何治理投票权。治理权完全属于辖区协商机制。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NAC不设宪法法院，因为规则一旦确立，便由机器强制执行，无需解释，无需裁决。任何规则变更，必须通过辖区重新谈判，写入新宪法版本，由全网自动升级。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这就是NAC的“完美中心化框架下的去中心化”——</w:t>
      </w:r>
      <w:r>
        <w:rPr>
          <w:rFonts w:eastAsia="等线" w:ascii="Arial" w:cs="Arial" w:hAnsi="Arial"/>
          <w:b w:val="true"/>
          <w:sz w:val="22"/>
        </w:rPr>
        <w:t>中心化的规则制定，去中心化的规则执行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一、总体架构视图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NAC公链采用分层架构，自上而下分为：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 L5: 应用层                            │</w:t>
              <w:br/>
              <w:t>│  DApps、钱包、浏览器、链上合约（Charter）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L4: AI层                               │</w:t>
              <w:br/>
              <w:t>│  • 宪法执行引擎（CEE）  • AI合规审批  • 宏观感知AI模型    │</w:t>
              <w:br/>
              <w:t>│  • 预言机聚合           • 自动风控系统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L3: 存储层                             │</w:t>
              <w:br/>
              <w:t>│  • 状态数据库   • Merkle树   • 归档存储   • 证据存证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L2: 宪法规则层                             │</w:t>
              <w:br/>
              <w:t>│  • CNNL宪法语言   • 宪法状态机   • 宪法哈希                │</w:t>
              <w:br/>
              <w:t>│  • 辖区协商接口   • 宪法版本升级协议                        │</w:t>
              <w:br/>
              <w:t>│  （无宪法法院，无人工裁决）      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L1: 协议层                             │</w:t>
              <w:br/>
              <w:t>│  • CBPP共识协议   • CSNP网络协议   • NVM虚拟机             │</w:t>
              <w:br/>
              <w:t>│  • ACC资产协议    • XTZH稳定币系统  • 黄金储备管理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L0: 基础设施层                             │</w:t>
              <w:br/>
              <w:t>│  ┌─────────────┬─────────────┬─────────────┬─────────────┐ │</w:t>
              <w:br/>
              <w:t>│  │ 密码学子层  │ 网络子层    │ 序列化子层  │ 存储子层    │ │</w:t>
              <w:br/>
              <w:t>│  │ Hash,签名, │ P2P连接,    │ nac_serde   │ 持久化,    │ │</w:t>
              <w:br/>
              <w:t>│  │ 随机数,     │ Gossip,     │ 编码转换    │ Merkle树,  │ │</w:t>
              <w:br/>
              <w:t>│  │ 加密算法    │ 节点发现    │             │ 状态数据库 │ │</w:t>
              <w:br/>
              <w:t>│  └─────────────┴─────────────┴─────────────┴─────────────┘ │</w:t>
              <w:br/>
              <w:t>└─────────────────────────────────────────────────────────────┘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↑ 编译/部署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开发者工具栈（链下）                       │</w:t>
              <w:br/>
              <w:t>│  • Charter编译器  • CNNL编译器  • cargo-constitution       │</w:t>
              <w:br/>
              <w:t>│  • nac-primitives • nac_serde   • nac-toolbox              │</w:t>
              <w:br/>
              <w:t>│  • nac-ide插件    • 宪法沙箱     • 测试框架                 │</w:t>
              <w:br/>
              <w:t>└────────────────────────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核心原则</w:t>
      </w:r>
      <w:bookmarkEnd w:id="2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规则制定与执行分离</w:t>
      </w:r>
      <w:r>
        <w:rPr>
          <w:rFonts w:eastAsia="等线" w:ascii="Arial" w:cs="Arial" w:hAnsi="Arial"/>
          <w:sz w:val="22"/>
        </w:rPr>
        <w:t>：规则由辖区协商制定（L2），执行由AI自动完成（L4），相互独立。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无司法裁量</w:t>
      </w:r>
      <w:r>
        <w:rPr>
          <w:rFonts w:eastAsia="等线" w:ascii="Arial" w:cs="Arial" w:hAnsi="Arial"/>
          <w:sz w:val="22"/>
        </w:rPr>
        <w:t>：任何规则一经写入宪法，便由机器严格执行，无法官解释，无自由裁量。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公民自由</w:t>
      </w:r>
      <w:r>
        <w:rPr>
          <w:rFonts w:eastAsia="等线" w:ascii="Arial" w:cs="Arial" w:hAnsi="Arial"/>
          <w:sz w:val="22"/>
        </w:rPr>
        <w:t>：在规则范围内，任何人可自由参与，无需许可，不受干预。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可审计性</w:t>
      </w:r>
      <w:r>
        <w:rPr>
          <w:rFonts w:eastAsia="等线" w:ascii="Arial" w:cs="Arial" w:hAnsi="Arial"/>
          <w:sz w:val="22"/>
        </w:rPr>
        <w:t>：每一笔交易的合规性都可验证，每一行代码都受宪法静态检查。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二、各层级详解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L0 基础设施层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L0提供所有上层组件运行所需的最基础能力，包括四个子层：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2.1.1 密码学子层</w:t>
      </w:r>
      <w:bookmarkEnd w:id="5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哈希算法</w:t>
      </w:r>
      <w:r>
        <w:rPr>
          <w:rFonts w:eastAsia="等线" w:ascii="Arial" w:cs="Arial" w:hAnsi="Arial"/>
          <w:sz w:val="22"/>
        </w:rPr>
        <w:t>：SHA3-384，输出48字节Hash类型，后量子安全。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签名算法</w:t>
      </w:r>
      <w:r>
        <w:rPr>
          <w:rFonts w:eastAsia="等线" w:ascii="Arial" w:cs="Arial" w:hAnsi="Arial"/>
          <w:sz w:val="22"/>
        </w:rPr>
        <w:t>：Ed25519（默认）、BLS（聚合签名）、Dilithium5（后量子备选）。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随机数</w:t>
      </w:r>
      <w:r>
        <w:rPr>
          <w:rFonts w:eastAsia="等线" w:ascii="Arial" w:cs="Arial" w:hAnsi="Arial"/>
          <w:sz w:val="22"/>
        </w:rPr>
        <w:t>：基于节点熵池的安全随机数生成。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加密算法</w:t>
      </w:r>
      <w:r>
        <w:rPr>
          <w:rFonts w:eastAsia="等线" w:ascii="Arial" w:cs="Arial" w:hAnsi="Arial"/>
          <w:sz w:val="22"/>
        </w:rPr>
        <w:t>：AES-256-GCM，用于节点间加密通信。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2.1.2 网络子层</w:t>
      </w:r>
      <w:bookmarkEnd w:id="6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P2P连接管理</w:t>
      </w:r>
      <w:r>
        <w:rPr>
          <w:rFonts w:eastAsia="等线" w:ascii="Arial" w:cs="Arial" w:hAnsi="Arial"/>
          <w:sz w:val="22"/>
        </w:rPr>
        <w:t>：建立并维护节点间长连接（TCP/QUIC），支持NAT穿透。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Gossip协议</w:t>
      </w:r>
      <w:r>
        <w:rPr>
          <w:rFonts w:eastAsia="等线" w:ascii="Arial" w:cs="Arial" w:hAnsi="Arial"/>
          <w:sz w:val="22"/>
        </w:rPr>
        <w:t>：高效广播消息（区块、交易）至全网，支持优先级队列。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节点发现</w:t>
      </w:r>
      <w:r>
        <w:rPr>
          <w:rFonts w:eastAsia="等线" w:ascii="Arial" w:cs="Arial" w:hAnsi="Arial"/>
          <w:sz w:val="22"/>
        </w:rPr>
        <w:t>：基于DHT或种子列表的节点发现机制。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澄清</w:t>
      </w:r>
      <w:r>
        <w:rPr>
          <w:rFonts w:eastAsia="等线" w:ascii="Arial" w:cs="Arial" w:hAnsi="Arial"/>
          <w:sz w:val="22"/>
        </w:rPr>
        <w:t>：P2P连接是NAC的基础通信设施，所有上层协议（CBPP、CSNP）都依赖它进行消息交换。但具体协议逻辑（如共识消息、资产感知路由）由L1实现，L0仅提供通用传输能力。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2.1.3 序列化子层（nac_serde）</w:t>
      </w:r>
      <w:bookmarkEnd w:id="7"/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统一编码转换：Hex、Base58、Base64、Bech32等8种编码。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核心类型序列化：Address、Hash、GNACS等类型按宪法定义格式编解码。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宪法状态文件序列化：确保JSON与Rust代码的一致性。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2.1.4 存储子层</w:t>
      </w:r>
      <w:bookmarkEnd w:id="8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持久化存储接口：支持多种后端（RocksDB、LMDB等）。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状态数据库：存储账户、资产、合约状态。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Merkle树：构建状态根、收据根，提供轻节点验证能力。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归档存储：历史全量数据，用于审计和回溯。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L0设计要点</w:t>
      </w:r>
      <w:r>
        <w:rPr>
          <w:rFonts w:eastAsia="等线" w:ascii="Arial" w:cs="Arial" w:hAnsi="Arial"/>
          <w:sz w:val="22"/>
        </w:rPr>
        <w:t>：所有子层均为通用服务，不包含任何协议逻辑。上层通过标准API调用。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2.2 L1 协议层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L1实现NAC公链的核心协议，全部在宪法约束下运行。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2.2.1 CBPP共识协议</w:t>
      </w:r>
      <w:bookmarkEnd w:id="10"/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宪法收据（CR）</w:t>
      </w:r>
      <w:r>
        <w:rPr>
          <w:rFonts w:eastAsia="等线" w:ascii="Arial" w:cs="Arial" w:hAnsi="Arial"/>
          <w:sz w:val="22"/>
        </w:rPr>
        <w:t>：每笔交易必须附带CR，证明其合规。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开放生产网络（OPN）</w:t>
      </w:r>
      <w:r>
        <w:rPr>
          <w:rFonts w:eastAsia="等线" w:ascii="Arial" w:cs="Arial" w:hAnsi="Arial"/>
          <w:sz w:val="22"/>
        </w:rPr>
        <w:t>：任何通过KYC和宪法测试的节点均可成为CBP，无需质押。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流体区块模型（FBM）</w:t>
      </w:r>
      <w:r>
        <w:rPr>
          <w:rFonts w:eastAsia="等线" w:ascii="Arial" w:cs="Arial" w:hAnsi="Arial"/>
          <w:sz w:val="22"/>
        </w:rPr>
        <w:t>：区块大小和出块间隔由交易流量动态决定。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收据权重分叉选择</w:t>
      </w:r>
      <w:r>
        <w:rPr>
          <w:rFonts w:eastAsia="等线" w:ascii="Arial" w:cs="Arial" w:hAnsi="Arial"/>
          <w:sz w:val="22"/>
        </w:rPr>
        <w:t>：节点选择收据权重累计最高的链。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：出块参数（Δt_min、Δt_max等）必须从宪法状态读取，禁止硬编码。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2.2.2 CSNP网络协议</w:t>
      </w:r>
      <w:bookmarkEnd w:id="11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全域身份目录（GIDS）</w:t>
      </w:r>
      <w:r>
        <w:rPr>
          <w:rFonts w:eastAsia="等线" w:ascii="Arial" w:cs="Arial" w:hAnsi="Arial"/>
          <w:sz w:val="22"/>
        </w:rPr>
        <w:t>：跨链DID解析与信誉聚合。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资产感知传播（AA-PE）</w:t>
      </w:r>
      <w:r>
        <w:rPr>
          <w:rFonts w:eastAsia="等线" w:ascii="Arial" w:cs="Arial" w:hAnsi="Arial"/>
          <w:sz w:val="22"/>
        </w:rPr>
        <w:t>：根据GNACS编码决定传播策略（广播、定向、警报）。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碎片化聚合（FTAN）</w:t>
      </w:r>
      <w:r>
        <w:rPr>
          <w:rFonts w:eastAsia="等线" w:ascii="Arial" w:cs="Arial" w:hAnsi="Arial"/>
          <w:sz w:val="22"/>
        </w:rPr>
        <w:t>：BLS聚合签名，批量传播小额交易。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统一跨链审计（UCA）</w:t>
      </w:r>
      <w:r>
        <w:rPr>
          <w:rFonts w:eastAsia="等线" w:ascii="Arial" w:cs="Arial" w:hAnsi="Arial"/>
          <w:sz w:val="22"/>
        </w:rPr>
        <w:t>：节点行为可验证日志。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：传播策略矩阵由宪法附录定义，网络启动时加载。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2.2.3 NVM虚拟机</w:t>
      </w:r>
      <w:bookmarkEnd w:id="12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125条RWA专用指令</w:t>
      </w:r>
      <w:r>
        <w:rPr>
          <w:rFonts w:eastAsia="等线" w:ascii="Arial" w:cs="Arial" w:hAnsi="Arial"/>
          <w:sz w:val="22"/>
        </w:rPr>
        <w:t>：GNACS操作、合规检查、预言机查询。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Gas成本表</w:t>
      </w:r>
      <w:r>
        <w:rPr>
          <w:rFonts w:eastAsia="等线" w:ascii="Arial" w:cs="Arial" w:hAnsi="Arial"/>
          <w:sz w:val="22"/>
        </w:rPr>
        <w:t>：由宪法状态固化，不可修改。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ZK证明验证</w:t>
      </w:r>
      <w:r>
        <w:rPr>
          <w:rFonts w:eastAsia="等线" w:ascii="Arial" w:cs="Arial" w:hAnsi="Arial"/>
          <w:sz w:val="22"/>
        </w:rPr>
        <w:t>：支持Groth16/Plonk/Halo2。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TEE远程认证</w:t>
      </w:r>
      <w:r>
        <w:rPr>
          <w:rFonts w:eastAsia="等线" w:ascii="Arial" w:cs="Arial" w:hAnsi="Arial"/>
          <w:sz w:val="22"/>
        </w:rPr>
        <w:t>：验证NVIDIA H100等可信执行环境。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2.2.4 ACC资产协议家族</w:t>
      </w:r>
      <w:bookmarkEnd w:id="13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 48位数字基因</w:t>
      </w:r>
      <w:r>
        <w:rPr>
          <w:rFonts w:eastAsia="等线" w:ascii="Arial" w:cs="Arial" w:hAnsi="Arial"/>
          <w:sz w:val="22"/>
        </w:rPr>
        <w:t>：资产物理/法律/动态属性编码。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ACC-20（同质化RWA）</w:t>
      </w:r>
      <w:r>
        <w:rPr>
          <w:rFonts w:eastAsia="等线" w:ascii="Arial" w:cs="Arial" w:hAnsi="Arial"/>
          <w:sz w:val="22"/>
        </w:rPr>
        <w:t>：支持分区管理、合规钩子。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ACC-721（NFT）</w:t>
      </w:r>
      <w:r>
        <w:rPr>
          <w:rFonts w:eastAsia="等线" w:ascii="Arial" w:cs="Arial" w:hAnsi="Arial"/>
          <w:sz w:val="22"/>
        </w:rPr>
        <w:t>：非同质化资产标准。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ACC-1400（证券型代币）</w:t>
      </w:r>
      <w:r>
        <w:rPr>
          <w:rFonts w:eastAsia="等线" w:ascii="Arial" w:cs="Arial" w:hAnsi="Arial"/>
          <w:sz w:val="22"/>
        </w:rPr>
        <w:t>：合规内置的证券发行。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2.2.5 XTZH稳定币系统</w:t>
      </w:r>
      <w:bookmarkEnd w:id="14"/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三重锚定</w:t>
      </w:r>
      <w:r>
        <w:rPr>
          <w:rFonts w:eastAsia="等线" w:ascii="Arial" w:cs="Arial" w:hAnsi="Arial"/>
          <w:sz w:val="22"/>
        </w:rPr>
        <w:t>：货币（40%）+黄金（10%）+商品（50%），AI动态权重。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黄金永续合约储备</w:t>
      </w:r>
      <w:r>
        <w:rPr>
          <w:rFonts w:eastAsia="等线" w:ascii="Arial" w:cs="Arial" w:hAnsi="Arial"/>
          <w:sz w:val="22"/>
        </w:rPr>
        <w:t>：125%超额覆盖，动态杠杆，自动减仓。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宏观感知AI模型</w:t>
      </w:r>
      <w:r>
        <w:rPr>
          <w:rFonts w:eastAsia="等线" w:ascii="Arial" w:cs="Arial" w:hAnsi="Arial"/>
          <w:sz w:val="22"/>
        </w:rPr>
        <w:t>：50维特征预测次日CPI/PPI/PMI。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：覆盖率底线、赎回队列规则由宪法条款强制。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2.3 L2 宪法规则层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L2是全网规则的唯一来源，但</w:t>
      </w:r>
      <w:r>
        <w:rPr>
          <w:rFonts w:eastAsia="等线" w:ascii="Arial" w:cs="Arial" w:hAnsi="Arial"/>
          <w:b w:val="true"/>
          <w:sz w:val="22"/>
        </w:rPr>
        <w:t>不包含任何人为裁决机构</w:t>
      </w:r>
      <w:r>
        <w:rPr>
          <w:rFonts w:eastAsia="等线" w:ascii="Arial" w:cs="Arial" w:hAnsi="Arial"/>
          <w:sz w:val="22"/>
        </w:rPr>
        <w:t>。其核心组件如下：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2.3.1 CNNL宪法语言</w:t>
      </w:r>
      <w:bookmarkEnd w:id="16"/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声明式立法语法，支持义务、权利、时态逻辑。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编译器输出宪法状态文件（JSON+Rust）和宪法哈希。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每条条款必须能够被AI直接执行，不得包含任何主观判断词汇。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2.3.2 宪法状态机</w:t>
      </w:r>
      <w:bookmarkEnd w:id="17"/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存储当前生效宪法版本的所有参数和谓词。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宪法哈希嵌入每个区块头，全网节点可验证当前版本。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状态机只读，任何修改必须通过宪法升级流程。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2.3.3 辖区协商接口</w:t>
      </w:r>
      <w:bookmarkEnd w:id="18"/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供各司法辖区政府/监管机构提交宪法修改提案的标准化接口。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提案需包含：</w:t>
        <w:br/>
      </w:r>
    </w:p>
    <w:p>
      <w:pPr>
        <w:numPr>
          <w:numId w:val="5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修改的条款内容（CNNL格式）</w:t>
      </w:r>
    </w:p>
    <w:p>
      <w:pPr>
        <w:numPr>
          <w:numId w:val="5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修改理由</w:t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辖区政府数字签名（证明其代表该辖区）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所有提案在链上公示，供其他辖区审查。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2.3.4 宪法版本升级协议</w:t>
      </w:r>
      <w:bookmarkEnd w:id="19"/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当三分之二以上已接入辖区（按权重计算）签署同意新宪法版本后，触发升级。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升级流程：</w:t>
        <w:br/>
        <w:t xml:space="preserve">        </w:t>
      </w:r>
    </w:p>
    <w:p>
      <w:pPr>
        <w:numPr>
          <w:numId w:val="5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新宪法状态文件由CNNL编译器生成。</w:t>
      </w:r>
    </w:p>
    <w:p>
      <w:pPr>
        <w:numPr>
          <w:numId w:val="5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全网节点在下一个纪元自动下载并验证。</w:t>
      </w:r>
    </w:p>
    <w:p>
      <w:pPr>
        <w:numPr>
          <w:numId w:val="5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节点切换至新宪法版本，拒绝使用旧宪法的交易和区块。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未同意新版本的辖区可选择：</w:t>
        <w:br/>
        <w:t xml:space="preserve">        </w:t>
      </w:r>
    </w:p>
    <w:p>
      <w:pPr>
        <w:numPr>
          <w:numId w:val="6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接受升级（若其内部法律允许）</w:t>
      </w:r>
    </w:p>
    <w:p>
      <w:pPr>
        <w:numPr>
          <w:numId w:val="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暂停与该辖区的跨链交互</w:t>
      </w:r>
    </w:p>
    <w:p>
      <w:pPr>
        <w:numPr>
          <w:numId w:val="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启动退出机制（需提前在宪法中约定）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2.3.5 永恒条款</w:t>
      </w:r>
      <w:bookmarkEnd w:id="20"/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部分条款被标记为“永恒”，任何版本升级均不得修改。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永恒条款示例：公民基本权利、地址结构化定义、SHA3-384哈希标准等。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L2设计的核心</w:t>
      </w:r>
      <w:r>
        <w:rPr>
          <w:rFonts w:eastAsia="等线" w:ascii="Arial" w:cs="Arial" w:hAnsi="Arial"/>
          <w:sz w:val="22"/>
        </w:rPr>
        <w:t>：没有宪法法院，没有法官，没有投票。一切由规则和程序自动执行。辖区通过协商达成共识，由机器强制执行。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2.4 L3 存储层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L3负责所有持久化数据的存储与证明，包括：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状态数据库</w:t>
      </w:r>
      <w:r>
        <w:rPr>
          <w:rFonts w:eastAsia="等线" w:ascii="Arial" w:cs="Arial" w:hAnsi="Arial"/>
          <w:sz w:val="22"/>
        </w:rPr>
        <w:t>：账户、资产、合约状态（基于Merkle Patricia Trie）。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区块存储</w:t>
      </w:r>
      <w:r>
        <w:rPr>
          <w:rFonts w:eastAsia="等线" w:ascii="Arial" w:cs="Arial" w:hAnsi="Arial"/>
          <w:sz w:val="22"/>
        </w:rPr>
        <w:t>：区块体、区块头、交易收据。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历史证明</w:t>
      </w:r>
      <w:r>
        <w:rPr>
          <w:rFonts w:eastAsia="等线" w:ascii="Arial" w:cs="Arial" w:hAnsi="Arial"/>
          <w:sz w:val="22"/>
        </w:rPr>
        <w:t>：状态根、收据根、证据存证（如UCA行为日志）。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归档存储</w:t>
      </w:r>
      <w:r>
        <w:rPr>
          <w:rFonts w:eastAsia="等线" w:ascii="Arial" w:cs="Arial" w:hAnsi="Arial"/>
          <w:sz w:val="22"/>
        </w:rPr>
        <w:t>：历史全量数据，供审计和回溯。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存储层依赖L0的密码学和序列化服务，并为上层提供统一的数据访问接口。所有存储操作必须记录Merkle证明，保证数据完整性。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2.5 L4 AI层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L4是NAC的智能执行核心，所有宪法规则在这里被自动执行。它包含以下组件：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2.5.1 宪法执行引擎（CEE）</w:t>
      </w:r>
      <w:bookmarkEnd w:id="23"/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运行在TEE环境中的AI节点集群，至少7个独立节点。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接收交易请求，加载当前宪法状态，执行所有相关条款谓词。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输出宪法收据（CR），证明交易合规。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CEE节点的行为可被审计，作恶可被罚没质押（XIC）。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无人工干预</w:t>
      </w:r>
      <w:r>
        <w:rPr>
          <w:rFonts w:eastAsia="等线" w:ascii="Arial" w:cs="Arial" w:hAnsi="Arial"/>
          <w:sz w:val="22"/>
        </w:rPr>
        <w:t>：CEE完全自动化，根据宪法规则作出判断，没有任何人工审批环节。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2.5.2 AI合规审批引擎</w:t>
      </w:r>
      <w:bookmarkEnd w:id="24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处理资产上链等需要复杂判断的请求。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基于宪法定义的合规规则（如KYC等级、资产法律意见书）自动审批。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输出审批结果，并附上可验证的证明（如ZK证明）。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5" w:id="25"/>
      <w:r>
        <w:rPr>
          <w:rFonts w:eastAsia="等线" w:ascii="Arial" w:cs="Arial" w:hAnsi="Arial"/>
          <w:b w:val="true"/>
          <w:sz w:val="30"/>
        </w:rPr>
        <w:t>2.5.3 宏观感知AI模型（XTZH）</w:t>
      </w:r>
      <w:bookmarkEnd w:id="25"/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50维宏观特征输入，预测次日CPI/PPI/PMI等。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动态调整XTZH三层权重（货币/黄金/商品）。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模型输出被宪法约束（如黄金覆盖率≥125%），确保稳定币安全。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6" w:id="26"/>
      <w:r>
        <w:rPr>
          <w:rFonts w:eastAsia="等线" w:ascii="Arial" w:cs="Arial" w:hAnsi="Arial"/>
          <w:b w:val="true"/>
          <w:sz w:val="30"/>
        </w:rPr>
        <w:t>2.5.4 预言机聚合</w:t>
      </w:r>
      <w:bookmarkEnd w:id="26"/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从多个数据源获取宏观数据、资产价格等。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采用中位数聚合，抗操纵。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数据源白名单由宪法附录定义。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7" w:id="27"/>
      <w:r>
        <w:rPr>
          <w:rFonts w:eastAsia="等线" w:ascii="Arial" w:cs="Arial" w:hAnsi="Arial"/>
          <w:b w:val="true"/>
          <w:sz w:val="30"/>
        </w:rPr>
        <w:t>2.5.5 自动风控系统</w:t>
      </w:r>
      <w:bookmarkEnd w:id="27"/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实时监控黄金覆盖率、赎回队列长度等关键指标。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触发自动减仓（ADP）、熔断等预设风控动作。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所有动作记录在链，可审计。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2.5.6 宪政免疫系统（运行时监控）</w:t>
      </w:r>
      <w:bookmarkEnd w:id="28"/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静态排异：在编译期检测跨crate宪法版本一致性。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动态监控：运行时检测关键宪法参数是否偏离。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二次验证：随机抽样CEE收据，与本地宪法谓词比对。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健康报告：生成宪法一致性评分，供审计。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L4设计的核心</w:t>
      </w:r>
      <w:r>
        <w:rPr>
          <w:rFonts w:eastAsia="等线" w:ascii="Arial" w:cs="Arial" w:hAnsi="Arial"/>
          <w:sz w:val="22"/>
        </w:rPr>
        <w:t>：完全自动化，无人工干预，确保规则执行的公正性和不可干预性。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2.6 L5 应用层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面向终端用户和业务场景，包括：</w:t>
      </w:r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DApps</w:t>
      </w:r>
      <w:r>
        <w:rPr>
          <w:rFonts w:eastAsia="等线" w:ascii="Arial" w:cs="Arial" w:hAnsi="Arial"/>
          <w:sz w:val="22"/>
        </w:rPr>
        <w:t>：基于Charter合约的去中心化应用。</w:t>
      </w:r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钱包</w:t>
      </w:r>
      <w:r>
        <w:rPr>
          <w:rFonts w:eastAsia="等线" w:ascii="Arial" w:cs="Arial" w:hAnsi="Arial"/>
          <w:sz w:val="22"/>
        </w:rPr>
        <w:t>：支持NAC核心类型和宪法收据。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区块链浏览器</w:t>
      </w:r>
      <w:r>
        <w:rPr>
          <w:rFonts w:eastAsia="等线" w:ascii="Arial" w:cs="Arial" w:hAnsi="Arial"/>
          <w:sz w:val="22"/>
        </w:rPr>
        <w:t>：展示区块、交易、宪法状态。</w:t>
      </w:r>
    </w:p>
    <w:p>
      <w:pPr>
        <w:numPr>
          <w:numId w:val="9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监管接口</w:t>
      </w:r>
      <w:r>
        <w:rPr>
          <w:rFonts w:eastAsia="等线" w:ascii="Arial" w:cs="Arial" w:hAnsi="Arial"/>
          <w:sz w:val="22"/>
        </w:rPr>
        <w:t>：供合规机构查询链上数据。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宪法约束</w:t>
      </w:r>
      <w:r>
        <w:rPr>
          <w:rFonts w:eastAsia="等线" w:ascii="Arial" w:cs="Arial" w:hAnsi="Arial"/>
          <w:sz w:val="22"/>
        </w:rPr>
        <w:t>：应用层不得绕过宪法收据验证，所有交易必须合规。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三、开发者工具栈（链下）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开发者工具栈独立于链上运行时，用于编写、编译、测试、部署NAC组件。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工具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.charter</w:t>
            </w:r>
            <w:r>
              <w:rPr>
                <w:rFonts w:eastAsia="等线" w:ascii="Arial" w:cs="Arial" w:hAnsi="Arial"/>
                <w:sz w:val="22"/>
              </w:rPr>
              <w:t>编译为N</w:t>
            </w:r>
            <w:r>
              <w:rPr>
                <w:rFonts w:eastAsia="等线" w:ascii="Arial" w:cs="Arial" w:hAnsi="Arial"/>
                <w:sz w:val="22"/>
              </w:rPr>
              <w:t>VM字节码和ABI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.cnnl</w:t>
            </w:r>
            <w:r>
              <w:rPr>
                <w:rFonts w:eastAsia="等线" w:ascii="Arial" w:cs="Arial" w:hAnsi="Arial"/>
                <w:sz w:val="22"/>
              </w:rPr>
              <w:t>编译为宪法状态文件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cargo-constitution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 Lint集合，宪法一致性检查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nac-primitives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</w:t>
            </w:r>
            <w:r>
              <w:rPr>
                <w:rFonts w:eastAsia="等线" w:ascii="Arial" w:cs="Arial" w:hAnsi="Arial"/>
                <w:sz w:val="22"/>
              </w:rPr>
              <w:t>类型库（Address、Hash、GNACS等）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nac_serde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统一序列化库，8组编码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nac-toolbox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统一CLI：项目创建、构建、测试、部署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nac-ide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VS Code等编辑器插件，</w:t>
            </w:r>
            <w:r>
              <w:rPr>
                <w:rFonts w:eastAsia="等线" w:ascii="Arial" w:cs="Arial" w:hAnsi="Arial"/>
                <w:sz w:val="22"/>
              </w:rPr>
              <w:t>语法高亮、实时验证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宪法沙箱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链下模拟宪法变更的影响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测试框架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单元测试、集成测试、模糊</w:t>
            </w:r>
            <w:r>
              <w:rPr>
                <w:rFonts w:eastAsia="等线" w:ascii="Arial" w:cs="Arial" w:hAnsi="Arial"/>
                <w:sz w:val="22"/>
              </w:rPr>
              <w:t>测试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工具栈与链上层级的关系：</w:t>
      </w:r>
      <w:r>
        <w:rPr>
          <w:rFonts w:eastAsia="等线" w:ascii="Arial" w:cs="Arial" w:hAnsi="Arial"/>
          <w:b w:val="true"/>
          <w:sz w:val="22"/>
        </w:rPr>
        <w:t>工具的输出（字节码、状态文件）被链上组件加载执行</w:t>
      </w:r>
      <w:r>
        <w:rPr>
          <w:rFonts w:eastAsia="等线" w:ascii="Arial" w:cs="Arial" w:hAnsi="Arial"/>
          <w:sz w:val="22"/>
        </w:rPr>
        <w:t>。工具本身不在链上运行，但必须通过宪法法院审计，保证其正确性。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1" w:id="31"/>
      <w:r>
        <w:rPr>
          <w:rFonts w:eastAsia="等线" w:ascii="Arial" w:cs="Arial" w:hAnsi="Arial"/>
          <w:b w:val="true"/>
          <w:sz w:val="36"/>
        </w:rPr>
        <w:t>四、宪法升级流程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宪法升级不再依赖任何形式的投票，而是通过</w:t>
      </w:r>
      <w:r>
        <w:rPr>
          <w:rFonts w:eastAsia="等线" w:ascii="Arial" w:cs="Arial" w:hAnsi="Arial"/>
          <w:b w:val="true"/>
          <w:sz w:val="22"/>
        </w:rPr>
        <w:t>辖区间协商+自动激活</w:t>
      </w:r>
      <w:r>
        <w:rPr>
          <w:rFonts w:eastAsia="等线" w:ascii="Arial" w:cs="Arial" w:hAnsi="Arial"/>
          <w:sz w:val="22"/>
        </w:rPr>
        <w:t>完成：</w:t>
      </w:r>
    </w:p>
    <w:p>
      <w:pPr>
        <w:numPr>
          <w:numId w:val="9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提案提交</w:t>
      </w:r>
      <w:r>
        <w:rPr>
          <w:rFonts w:eastAsia="等线" w:ascii="Arial" w:cs="Arial" w:hAnsi="Arial"/>
          <w:sz w:val="22"/>
        </w:rPr>
        <w:t>：任何司法辖区通过辖区协商接口提交宪法修改提案（.cnnl文件），附政府数字签名。</w:t>
      </w:r>
    </w:p>
    <w:p>
      <w:pPr>
        <w:numPr>
          <w:numId w:val="9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公示与审查</w:t>
      </w:r>
      <w:r>
        <w:rPr>
          <w:rFonts w:eastAsia="等线" w:ascii="Arial" w:cs="Arial" w:hAnsi="Arial"/>
          <w:sz w:val="22"/>
        </w:rPr>
        <w:t>：提案在链上公示30天，其他辖区可通过AI工具自动分析新条款与现有宪法的兼容性、对本地法律的影响。</w:t>
      </w:r>
    </w:p>
    <w:p>
      <w:pPr>
        <w:numPr>
          <w:numId w:val="9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协商期</w:t>
      </w:r>
      <w:r>
        <w:rPr>
          <w:rFonts w:eastAsia="等线" w:ascii="Arial" w:cs="Arial" w:hAnsi="Arial"/>
          <w:sz w:val="22"/>
        </w:rPr>
        <w:t>：各辖区代表通过线下或线上渠道协商，形成最终文本。协商规则由各辖区自行决定（如一辖区一票、按经济权重等）。</w:t>
      </w:r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签署同意</w:t>
      </w:r>
      <w:r>
        <w:rPr>
          <w:rFonts w:eastAsia="等线" w:ascii="Arial" w:cs="Arial" w:hAnsi="Arial"/>
          <w:sz w:val="22"/>
        </w:rPr>
        <w:t>：达成共识后，各辖区政府签署同意文件（数字签名），提交至链上。当同意的辖区数量（或权重）达到三分之二时，升级条件满足。</w:t>
      </w:r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自动升级</w:t>
      </w:r>
      <w:r>
        <w:rPr>
          <w:rFonts w:eastAsia="等线" w:ascii="Arial" w:cs="Arial" w:hAnsi="Arial"/>
          <w:sz w:val="22"/>
        </w:rPr>
        <w:t>：系统自动触发升级：</w:t>
        <w:br/>
        <w:t xml:space="preserve">        </w:t>
      </w:r>
    </w:p>
    <w:p>
      <w:pPr>
        <w:numPr>
          <w:numId w:val="9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CNNL编译器生成新宪法状态文件。</w:t>
      </w:r>
    </w:p>
    <w:p>
      <w:pPr>
        <w:numPr>
          <w:numId w:val="9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全网节点在下一个纪元开始使用新宪法，拒绝旧版交易和区块。</w:t>
      </w:r>
    </w:p>
    <w:p>
      <w:pPr>
        <w:numPr>
          <w:numId w:val="10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退出机制</w:t>
      </w:r>
      <w:r>
        <w:rPr>
          <w:rFonts w:eastAsia="等线" w:ascii="Arial" w:cs="Arial" w:hAnsi="Arial"/>
          <w:sz w:val="22"/>
        </w:rPr>
        <w:t>：未同意的辖区可在一段缓冲期内（如90天）选择：</w:t>
        <w:br/>
        <w:t xml:space="preserve">        </w:t>
      </w:r>
    </w:p>
    <w:p>
      <w:pPr>
        <w:numPr>
          <w:numId w:val="10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接受升级（若其内部法律允许）。</w:t>
      </w:r>
    </w:p>
    <w:p>
      <w:pPr>
        <w:numPr>
          <w:numId w:val="10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暂停与该辖区节点的跨链交互。</w:t>
      </w:r>
    </w:p>
    <w:p>
      <w:pPr>
        <w:numPr>
          <w:numId w:val="10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启动有序退出流程（需提前在宪法中约定）。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全程无人工裁决</w:t>
      </w:r>
      <w:r>
        <w:rPr>
          <w:rFonts w:eastAsia="等线" w:ascii="Arial" w:cs="Arial" w:hAnsi="Arial"/>
          <w:sz w:val="22"/>
        </w:rPr>
        <w:t>：所有步骤由代码自动执行，政府只负责发起提案和签署同意，无权干预执行过程。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2" w:id="32"/>
      <w:r>
        <w:rPr>
          <w:rFonts w:eastAsia="等线" w:ascii="Arial" w:cs="Arial" w:hAnsi="Arial"/>
          <w:b w:val="true"/>
          <w:sz w:val="36"/>
        </w:rPr>
        <w:t>五、XIC的角色与定位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XIC是NAC的纯治理币，其功能严格限定为：</w:t>
      </w:r>
    </w:p>
    <w:p>
      <w:pPr>
        <w:numPr>
          <w:numId w:val="10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支付系统成本</w:t>
      </w:r>
      <w:r>
        <w:rPr>
          <w:rFonts w:eastAsia="等线" w:ascii="Arial" w:cs="Arial" w:hAnsi="Arial"/>
          <w:sz w:val="22"/>
        </w:rPr>
        <w:t>：交易上链燃烧XIC、AI计算费用、节点出块奖励、CEE节点质押等。</w:t>
      </w:r>
    </w:p>
    <w:p>
      <w:pPr>
        <w:numPr>
          <w:numId w:val="10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激励生态贡献</w:t>
      </w:r>
      <w:r>
        <w:rPr>
          <w:rFonts w:eastAsia="等线" w:ascii="Arial" w:cs="Arial" w:hAnsi="Arial"/>
          <w:sz w:val="22"/>
        </w:rPr>
        <w:t>：奖励开发者、节点运营商、社区贡献者。</w:t>
      </w:r>
    </w:p>
    <w:p>
      <w:pPr>
        <w:numPr>
          <w:numId w:val="10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有限治理</w:t>
      </w:r>
      <w:r>
        <w:rPr>
          <w:rFonts w:eastAsia="等线" w:ascii="Arial" w:cs="Arial" w:hAnsi="Arial"/>
          <w:sz w:val="22"/>
        </w:rPr>
        <w:t>：XIC持有者可对非宪法级事项提出建议（如技术升级优先级、社区基金使用），但最终决策权仍由辖区协商或技术委员会决定。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XIC不承载任何宪法级治理权</w:t>
      </w:r>
      <w:r>
        <w:rPr>
          <w:rFonts w:eastAsia="等线" w:ascii="Arial" w:cs="Arial" w:hAnsi="Arial"/>
          <w:sz w:val="22"/>
        </w:rPr>
        <w:t>。宪法修改权完全属于辖区政府。XIC的价值仅来源于其在NAC生态中的实际用途（燃烧、支付、激励），而非治理权溢价。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XIC的“纯净化”</w:t>
      </w:r>
      <w:r>
        <w:rPr>
          <w:rFonts w:eastAsia="等线" w:ascii="Arial" w:cs="Arial" w:hAnsi="Arial"/>
          <w:sz w:val="22"/>
        </w:rPr>
        <w:t>：彻底剥离投票权，专注于经济功能，使其成为真正的“工作代币”。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六、结论</w:t>
      </w:r>
      <w:bookmarkEnd w:id="3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NAC公链通过上述设计，实现了以下目标：</w:t>
      </w:r>
    </w:p>
    <w:p>
      <w:pPr>
        <w:numPr>
          <w:numId w:val="10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法治而非人治</w:t>
      </w:r>
      <w:r>
        <w:rPr>
          <w:rFonts w:eastAsia="等线" w:ascii="Arial" w:cs="Arial" w:hAnsi="Arial"/>
          <w:sz w:val="22"/>
        </w:rPr>
        <w:t>：规则由辖区协商制定，由AI自动执行，没有任何人能够干预具体交易或修改规则（除宪法升级程序外）。</w:t>
      </w:r>
    </w:p>
    <w:p>
      <w:pPr>
        <w:numPr>
          <w:numId w:val="10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自由而非囚禁</w:t>
      </w:r>
      <w:r>
        <w:rPr>
          <w:rFonts w:eastAsia="等线" w:ascii="Arial" w:cs="Arial" w:hAnsi="Arial"/>
          <w:sz w:val="22"/>
        </w:rPr>
        <w:t>：公民在规则范围内自由参与，无需许可，不受监视。</w:t>
      </w:r>
    </w:p>
    <w:p>
      <w:pPr>
        <w:numPr>
          <w:numId w:val="10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去中心化而非无政府</w:t>
      </w:r>
      <w:r>
        <w:rPr>
          <w:rFonts w:eastAsia="等线" w:ascii="Arial" w:cs="Arial" w:hAnsi="Arial"/>
          <w:sz w:val="22"/>
        </w:rPr>
        <w:t>：执行层高度去中心化，任何遵守宪法的节点均可参与；规则层中心化但受多方制衡。</w:t>
      </w:r>
    </w:p>
    <w:p>
      <w:pPr>
        <w:numPr>
          <w:numId w:val="1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真实合规而非口号</w:t>
      </w:r>
      <w:r>
        <w:rPr>
          <w:rFonts w:eastAsia="等线" w:ascii="Arial" w:cs="Arial" w:hAnsi="Arial"/>
          <w:sz w:val="22"/>
        </w:rPr>
        <w:t>：各司法辖区可通过协商将本地法律要求写入宪法，实现真正的监管友好。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NAC不是乌托邦，它是第一个将法治精神彻底代码化的公链。没有法官，没有投票，只有规则和程序。这就是您一直坚持的“完美中心化框架下的去中心化”。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本白皮书与CBPP、CSNP、CNNL、XTZH等技术白皮书共同构成NAC公链完整的技术宪法。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1870">
    <w:lvl>
      <w:numFmt w:val="bullet"/>
      <w:suff w:val="tab"/>
      <w:lvlText w:val="•"/>
      <w:rPr>
        <w:color w:val="3370ff"/>
      </w:rPr>
    </w:lvl>
  </w:abstractNum>
  <w:abstractNum w:abstractNumId="21871">
    <w:lvl>
      <w:numFmt w:val="bullet"/>
      <w:suff w:val="tab"/>
      <w:lvlText w:val="•"/>
      <w:rPr>
        <w:color w:val="3370ff"/>
      </w:rPr>
    </w:lvl>
  </w:abstractNum>
  <w:abstractNum w:abstractNumId="21872">
    <w:lvl>
      <w:numFmt w:val="bullet"/>
      <w:suff w:val="tab"/>
      <w:lvlText w:val="•"/>
      <w:rPr>
        <w:color w:val="3370ff"/>
      </w:rPr>
    </w:lvl>
  </w:abstractNum>
  <w:abstractNum w:abstractNumId="21873">
    <w:lvl>
      <w:numFmt w:val="bullet"/>
      <w:suff w:val="tab"/>
      <w:lvlText w:val="•"/>
      <w:rPr>
        <w:color w:val="3370ff"/>
      </w:rPr>
    </w:lvl>
  </w:abstractNum>
  <w:abstractNum w:abstractNumId="21874">
    <w:lvl>
      <w:numFmt w:val="bullet"/>
      <w:suff w:val="tab"/>
      <w:lvlText w:val="•"/>
      <w:rPr>
        <w:color w:val="3370ff"/>
      </w:rPr>
    </w:lvl>
  </w:abstractNum>
  <w:abstractNum w:abstractNumId="21875">
    <w:lvl>
      <w:numFmt w:val="bullet"/>
      <w:suff w:val="tab"/>
      <w:lvlText w:val="•"/>
      <w:rPr>
        <w:color w:val="3370ff"/>
      </w:rPr>
    </w:lvl>
  </w:abstractNum>
  <w:abstractNum w:abstractNumId="21876">
    <w:lvl>
      <w:numFmt w:val="bullet"/>
      <w:suff w:val="tab"/>
      <w:lvlText w:val="•"/>
      <w:rPr>
        <w:color w:val="3370ff"/>
      </w:rPr>
    </w:lvl>
  </w:abstractNum>
  <w:abstractNum w:abstractNumId="21877">
    <w:lvl>
      <w:numFmt w:val="bullet"/>
      <w:suff w:val="tab"/>
      <w:lvlText w:val="•"/>
      <w:rPr>
        <w:color w:val="3370ff"/>
      </w:rPr>
    </w:lvl>
  </w:abstractNum>
  <w:abstractNum w:abstractNumId="21878">
    <w:lvl>
      <w:numFmt w:val="bullet"/>
      <w:suff w:val="tab"/>
      <w:lvlText w:val="•"/>
      <w:rPr>
        <w:color w:val="3370ff"/>
      </w:rPr>
    </w:lvl>
  </w:abstractNum>
  <w:abstractNum w:abstractNumId="21879">
    <w:lvl>
      <w:numFmt w:val="bullet"/>
      <w:suff w:val="tab"/>
      <w:lvlText w:val="•"/>
      <w:rPr>
        <w:color w:val="3370ff"/>
      </w:rPr>
    </w:lvl>
  </w:abstractNum>
  <w:abstractNum w:abstractNumId="21880">
    <w:lvl>
      <w:numFmt w:val="bullet"/>
      <w:suff w:val="tab"/>
      <w:lvlText w:val="•"/>
      <w:rPr>
        <w:color w:val="3370ff"/>
      </w:rPr>
    </w:lvl>
  </w:abstractNum>
  <w:abstractNum w:abstractNumId="21881">
    <w:lvl>
      <w:numFmt w:val="bullet"/>
      <w:suff w:val="tab"/>
      <w:lvlText w:val="•"/>
      <w:rPr>
        <w:color w:val="3370ff"/>
      </w:rPr>
    </w:lvl>
  </w:abstractNum>
  <w:abstractNum w:abstractNumId="21882">
    <w:lvl>
      <w:numFmt w:val="bullet"/>
      <w:suff w:val="tab"/>
      <w:lvlText w:val="•"/>
      <w:rPr>
        <w:color w:val="3370ff"/>
      </w:rPr>
    </w:lvl>
  </w:abstractNum>
  <w:abstractNum w:abstractNumId="21883">
    <w:lvl>
      <w:numFmt w:val="bullet"/>
      <w:suff w:val="tab"/>
      <w:lvlText w:val="•"/>
      <w:rPr>
        <w:color w:val="3370ff"/>
      </w:rPr>
    </w:lvl>
  </w:abstractNum>
  <w:abstractNum w:abstractNumId="21884">
    <w:lvl>
      <w:numFmt w:val="bullet"/>
      <w:suff w:val="tab"/>
      <w:lvlText w:val="•"/>
      <w:rPr>
        <w:color w:val="3370ff"/>
      </w:rPr>
    </w:lvl>
  </w:abstractNum>
  <w:abstractNum w:abstractNumId="21885">
    <w:lvl>
      <w:numFmt w:val="bullet"/>
      <w:suff w:val="tab"/>
      <w:lvlText w:val="•"/>
      <w:rPr>
        <w:color w:val="3370ff"/>
      </w:rPr>
    </w:lvl>
  </w:abstractNum>
  <w:abstractNum w:abstractNumId="21886">
    <w:lvl>
      <w:numFmt w:val="bullet"/>
      <w:suff w:val="tab"/>
      <w:lvlText w:val="•"/>
      <w:rPr>
        <w:color w:val="3370ff"/>
      </w:rPr>
    </w:lvl>
  </w:abstractNum>
  <w:abstractNum w:abstractNumId="21887">
    <w:lvl>
      <w:numFmt w:val="bullet"/>
      <w:suff w:val="tab"/>
      <w:lvlText w:val="•"/>
      <w:rPr>
        <w:color w:val="3370ff"/>
      </w:rPr>
    </w:lvl>
  </w:abstractNum>
  <w:abstractNum w:abstractNumId="21888">
    <w:lvl>
      <w:numFmt w:val="bullet"/>
      <w:suff w:val="tab"/>
      <w:lvlText w:val="•"/>
      <w:rPr>
        <w:color w:val="3370ff"/>
      </w:rPr>
    </w:lvl>
  </w:abstractNum>
  <w:abstractNum w:abstractNumId="21889">
    <w:lvl>
      <w:numFmt w:val="bullet"/>
      <w:suff w:val="tab"/>
      <w:lvlText w:val="•"/>
      <w:rPr>
        <w:color w:val="3370ff"/>
      </w:rPr>
    </w:lvl>
  </w:abstractNum>
  <w:abstractNum w:abstractNumId="21890">
    <w:lvl>
      <w:numFmt w:val="bullet"/>
      <w:suff w:val="tab"/>
      <w:lvlText w:val="•"/>
      <w:rPr>
        <w:color w:val="3370ff"/>
      </w:rPr>
    </w:lvl>
  </w:abstractNum>
  <w:abstractNum w:abstractNumId="21891">
    <w:lvl>
      <w:numFmt w:val="bullet"/>
      <w:suff w:val="tab"/>
      <w:lvlText w:val="•"/>
      <w:rPr>
        <w:color w:val="3370ff"/>
      </w:rPr>
    </w:lvl>
  </w:abstractNum>
  <w:abstractNum w:abstractNumId="21892">
    <w:lvl>
      <w:numFmt w:val="bullet"/>
      <w:suff w:val="tab"/>
      <w:lvlText w:val="•"/>
      <w:rPr>
        <w:color w:val="3370ff"/>
      </w:rPr>
    </w:lvl>
  </w:abstractNum>
  <w:abstractNum w:abstractNumId="21893">
    <w:lvl>
      <w:numFmt w:val="bullet"/>
      <w:suff w:val="tab"/>
      <w:lvlText w:val="•"/>
      <w:rPr>
        <w:color w:val="3370ff"/>
      </w:rPr>
    </w:lvl>
  </w:abstractNum>
  <w:abstractNum w:abstractNumId="21894">
    <w:lvl>
      <w:numFmt w:val="bullet"/>
      <w:suff w:val="tab"/>
      <w:lvlText w:val="•"/>
      <w:rPr>
        <w:color w:val="3370ff"/>
      </w:rPr>
    </w:lvl>
  </w:abstractNum>
  <w:abstractNum w:abstractNumId="21895">
    <w:lvl>
      <w:numFmt w:val="bullet"/>
      <w:suff w:val="tab"/>
      <w:lvlText w:val="•"/>
      <w:rPr>
        <w:color w:val="3370ff"/>
      </w:rPr>
    </w:lvl>
  </w:abstractNum>
  <w:abstractNum w:abstractNumId="21896">
    <w:lvl>
      <w:numFmt w:val="bullet"/>
      <w:suff w:val="tab"/>
      <w:lvlText w:val="•"/>
      <w:rPr>
        <w:color w:val="3370ff"/>
      </w:rPr>
    </w:lvl>
  </w:abstractNum>
  <w:abstractNum w:abstractNumId="21897">
    <w:lvl>
      <w:numFmt w:val="bullet"/>
      <w:suff w:val="tab"/>
      <w:lvlText w:val="•"/>
      <w:rPr>
        <w:color w:val="3370ff"/>
      </w:rPr>
    </w:lvl>
  </w:abstractNum>
  <w:abstractNum w:abstractNumId="21898">
    <w:lvl>
      <w:numFmt w:val="bullet"/>
      <w:suff w:val="tab"/>
      <w:lvlText w:val="•"/>
      <w:rPr>
        <w:color w:val="3370ff"/>
      </w:rPr>
    </w:lvl>
  </w:abstractNum>
  <w:abstractNum w:abstractNumId="21899">
    <w:lvl>
      <w:numFmt w:val="bullet"/>
      <w:suff w:val="tab"/>
      <w:lvlText w:val="•"/>
      <w:rPr>
        <w:color w:val="3370ff"/>
      </w:rPr>
    </w:lvl>
  </w:abstractNum>
  <w:abstractNum w:abstractNumId="21900">
    <w:lvl>
      <w:numFmt w:val="bullet"/>
      <w:suff w:val="tab"/>
      <w:lvlText w:val="•"/>
      <w:rPr>
        <w:color w:val="3370ff"/>
      </w:rPr>
    </w:lvl>
  </w:abstractNum>
  <w:abstractNum w:abstractNumId="21901">
    <w:lvl>
      <w:numFmt w:val="bullet"/>
      <w:suff w:val="tab"/>
      <w:lvlText w:val="•"/>
      <w:rPr>
        <w:color w:val="3370ff"/>
      </w:rPr>
    </w:lvl>
  </w:abstractNum>
  <w:abstractNum w:abstractNumId="21902">
    <w:lvl>
      <w:numFmt w:val="bullet"/>
      <w:suff w:val="tab"/>
      <w:lvlText w:val="•"/>
      <w:rPr>
        <w:color w:val="3370ff"/>
      </w:rPr>
    </w:lvl>
  </w:abstractNum>
  <w:abstractNum w:abstractNumId="21903">
    <w:lvl>
      <w:numFmt w:val="bullet"/>
      <w:suff w:val="tab"/>
      <w:lvlText w:val="•"/>
      <w:rPr>
        <w:color w:val="3370ff"/>
      </w:rPr>
    </w:lvl>
  </w:abstractNum>
  <w:abstractNum w:abstractNumId="21904">
    <w:lvl>
      <w:numFmt w:val="bullet"/>
      <w:suff w:val="tab"/>
      <w:lvlText w:val="•"/>
      <w:rPr>
        <w:color w:val="3370ff"/>
      </w:rPr>
    </w:lvl>
  </w:abstractNum>
  <w:abstractNum w:abstractNumId="21905">
    <w:lvl>
      <w:numFmt w:val="bullet"/>
      <w:suff w:val="tab"/>
      <w:lvlText w:val="•"/>
      <w:rPr>
        <w:color w:val="3370ff"/>
      </w:rPr>
    </w:lvl>
  </w:abstractNum>
  <w:abstractNum w:abstractNumId="21906">
    <w:lvl>
      <w:numFmt w:val="bullet"/>
      <w:suff w:val="tab"/>
      <w:lvlText w:val="•"/>
      <w:rPr>
        <w:color w:val="3370ff"/>
      </w:rPr>
    </w:lvl>
  </w:abstractNum>
  <w:abstractNum w:abstractNumId="21907">
    <w:lvl>
      <w:numFmt w:val="bullet"/>
      <w:suff w:val="tab"/>
      <w:lvlText w:val="•"/>
      <w:rPr>
        <w:color w:val="3370ff"/>
      </w:rPr>
    </w:lvl>
  </w:abstractNum>
  <w:abstractNum w:abstractNumId="21908">
    <w:lvl>
      <w:numFmt w:val="bullet"/>
      <w:suff w:val="tab"/>
      <w:lvlText w:val="•"/>
      <w:rPr>
        <w:color w:val="3370ff"/>
      </w:rPr>
    </w:lvl>
  </w:abstractNum>
  <w:abstractNum w:abstractNumId="21909">
    <w:lvl>
      <w:numFmt w:val="bullet"/>
      <w:suff w:val="tab"/>
      <w:lvlText w:val="•"/>
      <w:rPr>
        <w:color w:val="3370ff"/>
      </w:rPr>
    </w:lvl>
  </w:abstractNum>
  <w:abstractNum w:abstractNumId="21910">
    <w:lvl>
      <w:numFmt w:val="bullet"/>
      <w:suff w:val="tab"/>
      <w:lvlText w:val="•"/>
      <w:rPr>
        <w:color w:val="3370ff"/>
      </w:rPr>
    </w:lvl>
  </w:abstractNum>
  <w:abstractNum w:abstractNumId="21911">
    <w:lvl>
      <w:numFmt w:val="bullet"/>
      <w:suff w:val="tab"/>
      <w:lvlText w:val="•"/>
      <w:rPr>
        <w:color w:val="3370ff"/>
      </w:rPr>
    </w:lvl>
  </w:abstractNum>
  <w:abstractNum w:abstractNumId="21912">
    <w:lvl>
      <w:numFmt w:val="bullet"/>
      <w:suff w:val="tab"/>
      <w:lvlText w:val="•"/>
      <w:rPr>
        <w:color w:val="3370ff"/>
      </w:rPr>
    </w:lvl>
  </w:abstractNum>
  <w:abstractNum w:abstractNumId="21913">
    <w:lvl>
      <w:numFmt w:val="bullet"/>
      <w:suff w:val="tab"/>
      <w:lvlText w:val="•"/>
      <w:rPr>
        <w:color w:val="3370ff"/>
      </w:rPr>
    </w:lvl>
  </w:abstractNum>
  <w:abstractNum w:abstractNumId="21914">
    <w:lvl>
      <w:numFmt w:val="bullet"/>
      <w:suff w:val="tab"/>
      <w:lvlText w:val="•"/>
      <w:rPr>
        <w:color w:val="3370ff"/>
      </w:rPr>
    </w:lvl>
  </w:abstractNum>
  <w:abstractNum w:abstractNumId="21915">
    <w:lvl>
      <w:numFmt w:val="bullet"/>
      <w:suff w:val="tab"/>
      <w:lvlText w:val="•"/>
      <w:rPr>
        <w:color w:val="3370ff"/>
      </w:rPr>
    </w:lvl>
  </w:abstractNum>
  <w:abstractNum w:abstractNumId="21916">
    <w:lvl>
      <w:numFmt w:val="bullet"/>
      <w:suff w:val="tab"/>
      <w:lvlText w:val="•"/>
      <w:rPr>
        <w:color w:val="3370ff"/>
      </w:rPr>
    </w:lvl>
  </w:abstractNum>
  <w:abstractNum w:abstractNumId="21917">
    <w:lvl>
      <w:numFmt w:val="bullet"/>
      <w:suff w:val="tab"/>
      <w:lvlText w:val="•"/>
      <w:rPr>
        <w:color w:val="3370ff"/>
      </w:rPr>
    </w:lvl>
  </w:abstractNum>
  <w:abstractNum w:abstractNumId="21918">
    <w:lvl>
      <w:numFmt w:val="bullet"/>
      <w:suff w:val="tab"/>
      <w:lvlText w:val="•"/>
      <w:rPr>
        <w:color w:val="3370ff"/>
      </w:rPr>
    </w:lvl>
  </w:abstractNum>
  <w:abstractNum w:abstractNumId="21919">
    <w:lvl>
      <w:numFmt w:val="bullet"/>
      <w:suff w:val="tab"/>
      <w:lvlText w:val="￮"/>
      <w:rPr>
        <w:color w:val="3370ff"/>
      </w:rPr>
    </w:lvl>
  </w:abstractNum>
  <w:abstractNum w:abstractNumId="21920">
    <w:lvl>
      <w:numFmt w:val="bullet"/>
      <w:suff w:val="tab"/>
      <w:lvlText w:val="￮"/>
      <w:rPr>
        <w:color w:val="3370ff"/>
      </w:rPr>
    </w:lvl>
  </w:abstractNum>
  <w:abstractNum w:abstractNumId="21921">
    <w:lvl>
      <w:numFmt w:val="bullet"/>
      <w:suff w:val="tab"/>
      <w:lvlText w:val="￮"/>
      <w:rPr>
        <w:color w:val="3370ff"/>
      </w:rPr>
    </w:lvl>
  </w:abstractNum>
  <w:abstractNum w:abstractNumId="21922">
    <w:lvl>
      <w:numFmt w:val="bullet"/>
      <w:suff w:val="tab"/>
      <w:lvlText w:val="•"/>
      <w:rPr>
        <w:color w:val="3370ff"/>
      </w:rPr>
    </w:lvl>
  </w:abstractNum>
  <w:abstractNum w:abstractNumId="21923">
    <w:lvl>
      <w:numFmt w:val="bullet"/>
      <w:suff w:val="tab"/>
      <w:lvlText w:val="•"/>
      <w:rPr>
        <w:color w:val="3370ff"/>
      </w:rPr>
    </w:lvl>
  </w:abstractNum>
  <w:abstractNum w:abstractNumId="21924">
    <w:lvl>
      <w:numFmt w:val="bullet"/>
      <w:suff w:val="tab"/>
      <w:lvlText w:val="•"/>
      <w:rPr>
        <w:color w:val="3370ff"/>
      </w:rPr>
    </w:lvl>
  </w:abstractNum>
  <w:abstractNum w:abstractNumId="21925">
    <w:lvl>
      <w:start w:val="1"/>
      <w:numFmt w:val="lowerLetter"/>
      <w:suff w:val="tab"/>
      <w:lvlText w:val="%1."/>
      <w:rPr>
        <w:color w:val="3370ff"/>
      </w:rPr>
    </w:lvl>
  </w:abstractNum>
  <w:abstractNum w:abstractNumId="21926">
    <w:lvl>
      <w:start w:val="2"/>
      <w:numFmt w:val="lowerLetter"/>
      <w:suff w:val="tab"/>
      <w:lvlText w:val="%1."/>
      <w:rPr>
        <w:color w:val="3370ff"/>
      </w:rPr>
    </w:lvl>
  </w:abstractNum>
  <w:abstractNum w:abstractNumId="21927">
    <w:lvl>
      <w:start w:val="3"/>
      <w:numFmt w:val="lowerLetter"/>
      <w:suff w:val="tab"/>
      <w:lvlText w:val="%1."/>
      <w:rPr>
        <w:color w:val="3370ff"/>
      </w:rPr>
    </w:lvl>
  </w:abstractNum>
  <w:abstractNum w:abstractNumId="21928">
    <w:lvl>
      <w:numFmt w:val="bullet"/>
      <w:suff w:val="tab"/>
      <w:lvlText w:val="•"/>
      <w:rPr>
        <w:color w:val="3370ff"/>
      </w:rPr>
    </w:lvl>
  </w:abstractNum>
  <w:abstractNum w:abstractNumId="21929">
    <w:lvl>
      <w:numFmt w:val="bullet"/>
      <w:suff w:val="tab"/>
      <w:lvlText w:val="￮"/>
      <w:rPr>
        <w:color w:val="3370ff"/>
      </w:rPr>
    </w:lvl>
  </w:abstractNum>
  <w:abstractNum w:abstractNumId="21930">
    <w:lvl>
      <w:numFmt w:val="bullet"/>
      <w:suff w:val="tab"/>
      <w:lvlText w:val="￮"/>
      <w:rPr>
        <w:color w:val="3370ff"/>
      </w:rPr>
    </w:lvl>
  </w:abstractNum>
  <w:abstractNum w:abstractNumId="21931">
    <w:lvl>
      <w:numFmt w:val="bullet"/>
      <w:suff w:val="tab"/>
      <w:lvlText w:val="￮"/>
      <w:rPr>
        <w:color w:val="3370ff"/>
      </w:rPr>
    </w:lvl>
  </w:abstractNum>
  <w:abstractNum w:abstractNumId="21932">
    <w:lvl>
      <w:numFmt w:val="bullet"/>
      <w:suff w:val="tab"/>
      <w:lvlText w:val="•"/>
      <w:rPr>
        <w:color w:val="3370ff"/>
      </w:rPr>
    </w:lvl>
  </w:abstractNum>
  <w:abstractNum w:abstractNumId="21933">
    <w:lvl>
      <w:numFmt w:val="bullet"/>
      <w:suff w:val="tab"/>
      <w:lvlText w:val="•"/>
      <w:rPr>
        <w:color w:val="3370ff"/>
      </w:rPr>
    </w:lvl>
  </w:abstractNum>
  <w:abstractNum w:abstractNumId="21934">
    <w:lvl>
      <w:numFmt w:val="bullet"/>
      <w:suff w:val="tab"/>
      <w:lvlText w:val="•"/>
      <w:rPr>
        <w:color w:val="3370ff"/>
      </w:rPr>
    </w:lvl>
  </w:abstractNum>
  <w:abstractNum w:abstractNumId="21935">
    <w:lvl>
      <w:numFmt w:val="bullet"/>
      <w:suff w:val="tab"/>
      <w:lvlText w:val="•"/>
      <w:rPr>
        <w:color w:val="3370ff"/>
      </w:rPr>
    </w:lvl>
  </w:abstractNum>
  <w:abstractNum w:abstractNumId="21936">
    <w:lvl>
      <w:numFmt w:val="bullet"/>
      <w:suff w:val="tab"/>
      <w:lvlText w:val="•"/>
      <w:rPr>
        <w:color w:val="3370ff"/>
      </w:rPr>
    </w:lvl>
  </w:abstractNum>
  <w:abstractNum w:abstractNumId="21937">
    <w:lvl>
      <w:numFmt w:val="bullet"/>
      <w:suff w:val="tab"/>
      <w:lvlText w:val="•"/>
      <w:rPr>
        <w:color w:val="3370ff"/>
      </w:rPr>
    </w:lvl>
  </w:abstractNum>
  <w:abstractNum w:abstractNumId="21938">
    <w:lvl>
      <w:numFmt w:val="bullet"/>
      <w:suff w:val="tab"/>
      <w:lvlText w:val="•"/>
      <w:rPr>
        <w:color w:val="3370ff"/>
      </w:rPr>
    </w:lvl>
  </w:abstractNum>
  <w:abstractNum w:abstractNumId="21939">
    <w:lvl>
      <w:numFmt w:val="bullet"/>
      <w:suff w:val="tab"/>
      <w:lvlText w:val="•"/>
      <w:rPr>
        <w:color w:val="3370ff"/>
      </w:rPr>
    </w:lvl>
  </w:abstractNum>
  <w:abstractNum w:abstractNumId="21940">
    <w:lvl>
      <w:numFmt w:val="bullet"/>
      <w:suff w:val="tab"/>
      <w:lvlText w:val="•"/>
      <w:rPr>
        <w:color w:val="3370ff"/>
      </w:rPr>
    </w:lvl>
  </w:abstractNum>
  <w:abstractNum w:abstractNumId="21941">
    <w:lvl>
      <w:numFmt w:val="bullet"/>
      <w:suff w:val="tab"/>
      <w:lvlText w:val="•"/>
      <w:rPr>
        <w:color w:val="3370ff"/>
      </w:rPr>
    </w:lvl>
  </w:abstractNum>
  <w:abstractNum w:abstractNumId="21942">
    <w:lvl>
      <w:numFmt w:val="bullet"/>
      <w:suff w:val="tab"/>
      <w:lvlText w:val="•"/>
      <w:rPr>
        <w:color w:val="3370ff"/>
      </w:rPr>
    </w:lvl>
  </w:abstractNum>
  <w:abstractNum w:abstractNumId="21943">
    <w:lvl>
      <w:numFmt w:val="bullet"/>
      <w:suff w:val="tab"/>
      <w:lvlText w:val="•"/>
      <w:rPr>
        <w:color w:val="3370ff"/>
      </w:rPr>
    </w:lvl>
  </w:abstractNum>
  <w:abstractNum w:abstractNumId="21944">
    <w:lvl>
      <w:numFmt w:val="bullet"/>
      <w:suff w:val="tab"/>
      <w:lvlText w:val="•"/>
      <w:rPr>
        <w:color w:val="3370ff"/>
      </w:rPr>
    </w:lvl>
  </w:abstractNum>
  <w:abstractNum w:abstractNumId="21945">
    <w:lvl>
      <w:numFmt w:val="bullet"/>
      <w:suff w:val="tab"/>
      <w:lvlText w:val="•"/>
      <w:rPr>
        <w:color w:val="3370ff"/>
      </w:rPr>
    </w:lvl>
  </w:abstractNum>
  <w:abstractNum w:abstractNumId="21946">
    <w:lvl>
      <w:numFmt w:val="bullet"/>
      <w:suff w:val="tab"/>
      <w:lvlText w:val="•"/>
      <w:rPr>
        <w:color w:val="3370ff"/>
      </w:rPr>
    </w:lvl>
  </w:abstractNum>
  <w:abstractNum w:abstractNumId="21947">
    <w:lvl>
      <w:numFmt w:val="bullet"/>
      <w:suff w:val="tab"/>
      <w:lvlText w:val="•"/>
      <w:rPr>
        <w:color w:val="3370ff"/>
      </w:rPr>
    </w:lvl>
  </w:abstractNum>
  <w:abstractNum w:abstractNumId="21948">
    <w:lvl>
      <w:numFmt w:val="bullet"/>
      <w:suff w:val="tab"/>
      <w:lvlText w:val="•"/>
      <w:rPr>
        <w:color w:val="3370ff"/>
      </w:rPr>
    </w:lvl>
  </w:abstractNum>
  <w:abstractNum w:abstractNumId="21949">
    <w:lvl>
      <w:numFmt w:val="bullet"/>
      <w:suff w:val="tab"/>
      <w:lvlText w:val="•"/>
      <w:rPr>
        <w:color w:val="3370ff"/>
      </w:rPr>
    </w:lvl>
  </w:abstractNum>
  <w:abstractNum w:abstractNumId="21950">
    <w:lvl>
      <w:numFmt w:val="bullet"/>
      <w:suff w:val="tab"/>
      <w:lvlText w:val="•"/>
      <w:rPr>
        <w:color w:val="3370ff"/>
      </w:rPr>
    </w:lvl>
  </w:abstractNum>
  <w:abstractNum w:abstractNumId="21951">
    <w:lvl>
      <w:numFmt w:val="bullet"/>
      <w:suff w:val="tab"/>
      <w:lvlText w:val="•"/>
      <w:rPr>
        <w:color w:val="3370ff"/>
      </w:rPr>
    </w:lvl>
  </w:abstractNum>
  <w:abstractNum w:abstractNumId="21952">
    <w:lvl>
      <w:numFmt w:val="bullet"/>
      <w:suff w:val="tab"/>
      <w:lvlText w:val="•"/>
      <w:rPr>
        <w:color w:val="3370ff"/>
      </w:rPr>
    </w:lvl>
  </w:abstractNum>
  <w:abstractNum w:abstractNumId="21953">
    <w:lvl>
      <w:numFmt w:val="bullet"/>
      <w:suff w:val="tab"/>
      <w:lvlText w:val="•"/>
      <w:rPr>
        <w:color w:val="3370ff"/>
      </w:rPr>
    </w:lvl>
  </w:abstractNum>
  <w:abstractNum w:abstractNumId="21954">
    <w:lvl>
      <w:numFmt w:val="bullet"/>
      <w:suff w:val="tab"/>
      <w:lvlText w:val="•"/>
      <w:rPr>
        <w:color w:val="3370ff"/>
      </w:rPr>
    </w:lvl>
  </w:abstractNum>
  <w:abstractNum w:abstractNumId="21955">
    <w:lvl>
      <w:numFmt w:val="bullet"/>
      <w:suff w:val="tab"/>
      <w:lvlText w:val="•"/>
      <w:rPr>
        <w:color w:val="3370ff"/>
      </w:rPr>
    </w:lvl>
  </w:abstractNum>
  <w:abstractNum w:abstractNumId="21956">
    <w:lvl>
      <w:numFmt w:val="bullet"/>
      <w:suff w:val="tab"/>
      <w:lvlText w:val="•"/>
      <w:rPr>
        <w:color w:val="3370ff"/>
      </w:rPr>
    </w:lvl>
  </w:abstractNum>
  <w:abstractNum w:abstractNumId="21957">
    <w:lvl>
      <w:numFmt w:val="bullet"/>
      <w:suff w:val="tab"/>
      <w:lvlText w:val="•"/>
      <w:rPr>
        <w:color w:val="3370ff"/>
      </w:rPr>
    </w:lvl>
  </w:abstractNum>
  <w:abstractNum w:abstractNumId="21958">
    <w:lvl>
      <w:numFmt w:val="bullet"/>
      <w:suff w:val="tab"/>
      <w:lvlText w:val="•"/>
      <w:rPr>
        <w:color w:val="3370ff"/>
      </w:rPr>
    </w:lvl>
  </w:abstractNum>
  <w:abstractNum w:abstractNumId="21959">
    <w:lvl>
      <w:numFmt w:val="bullet"/>
      <w:suff w:val="tab"/>
      <w:lvlText w:val="•"/>
      <w:rPr>
        <w:color w:val="3370ff"/>
      </w:rPr>
    </w:lvl>
  </w:abstractNum>
  <w:abstractNum w:abstractNumId="21960">
    <w:lvl>
      <w:numFmt w:val="bullet"/>
      <w:suff w:val="tab"/>
      <w:lvlText w:val="•"/>
      <w:rPr>
        <w:color w:val="3370ff"/>
      </w:rPr>
    </w:lvl>
  </w:abstractNum>
  <w:abstractNum w:abstractNumId="21961">
    <w:lvl>
      <w:numFmt w:val="bullet"/>
      <w:suff w:val="tab"/>
      <w:lvlText w:val="•"/>
      <w:rPr>
        <w:color w:val="3370ff"/>
      </w:rPr>
    </w:lvl>
  </w:abstractNum>
  <w:abstractNum w:abstractNumId="21962">
    <w:lvl>
      <w:start w:val="1"/>
      <w:numFmt w:val="decimal"/>
      <w:suff w:val="tab"/>
      <w:lvlText w:val="%1."/>
      <w:rPr>
        <w:color w:val="3370ff"/>
      </w:rPr>
    </w:lvl>
  </w:abstractNum>
  <w:abstractNum w:abstractNumId="21963">
    <w:lvl>
      <w:start w:val="2"/>
      <w:numFmt w:val="decimal"/>
      <w:suff w:val="tab"/>
      <w:lvlText w:val="%1."/>
      <w:rPr>
        <w:color w:val="3370ff"/>
      </w:rPr>
    </w:lvl>
  </w:abstractNum>
  <w:abstractNum w:abstractNumId="21964">
    <w:lvl>
      <w:start w:val="3"/>
      <w:numFmt w:val="decimal"/>
      <w:suff w:val="tab"/>
      <w:lvlText w:val="%1."/>
      <w:rPr>
        <w:color w:val="3370ff"/>
      </w:rPr>
    </w:lvl>
  </w:abstractNum>
  <w:abstractNum w:abstractNumId="21965">
    <w:lvl>
      <w:start w:val="4"/>
      <w:numFmt w:val="decimal"/>
      <w:suff w:val="tab"/>
      <w:lvlText w:val="%1."/>
      <w:rPr>
        <w:color w:val="3370ff"/>
      </w:rPr>
    </w:lvl>
  </w:abstractNum>
  <w:abstractNum w:abstractNumId="21966">
    <w:lvl>
      <w:start w:val="5"/>
      <w:numFmt w:val="decimal"/>
      <w:suff w:val="tab"/>
      <w:lvlText w:val="%1."/>
      <w:rPr>
        <w:color w:val="3370ff"/>
      </w:rPr>
    </w:lvl>
  </w:abstractNum>
  <w:abstractNum w:abstractNumId="21967">
    <w:lvl>
      <w:numFmt w:val="bullet"/>
      <w:suff w:val="tab"/>
      <w:lvlText w:val="￮"/>
      <w:rPr>
        <w:color w:val="3370ff"/>
      </w:rPr>
    </w:lvl>
  </w:abstractNum>
  <w:abstractNum w:abstractNumId="21968">
    <w:lvl>
      <w:numFmt w:val="bullet"/>
      <w:suff w:val="tab"/>
      <w:lvlText w:val="￮"/>
      <w:rPr>
        <w:color w:val="3370ff"/>
      </w:rPr>
    </w:lvl>
  </w:abstractNum>
  <w:abstractNum w:abstractNumId="21969">
    <w:lvl>
      <w:start w:val="6"/>
      <w:numFmt w:val="decimal"/>
      <w:suff w:val="tab"/>
      <w:lvlText w:val="%1."/>
      <w:rPr>
        <w:color w:val="3370ff"/>
      </w:rPr>
    </w:lvl>
  </w:abstractNum>
  <w:abstractNum w:abstractNumId="21970">
    <w:lvl>
      <w:numFmt w:val="bullet"/>
      <w:suff w:val="tab"/>
      <w:lvlText w:val="￮"/>
      <w:rPr>
        <w:color w:val="3370ff"/>
      </w:rPr>
    </w:lvl>
  </w:abstractNum>
  <w:abstractNum w:abstractNumId="21971">
    <w:lvl>
      <w:numFmt w:val="bullet"/>
      <w:suff w:val="tab"/>
      <w:lvlText w:val="￮"/>
      <w:rPr>
        <w:color w:val="3370ff"/>
      </w:rPr>
    </w:lvl>
  </w:abstractNum>
  <w:abstractNum w:abstractNumId="21972">
    <w:lvl>
      <w:numFmt w:val="bullet"/>
      <w:suff w:val="tab"/>
      <w:lvlText w:val="￮"/>
      <w:rPr>
        <w:color w:val="3370ff"/>
      </w:rPr>
    </w:lvl>
  </w:abstractNum>
  <w:abstractNum w:abstractNumId="21973">
    <w:lvl>
      <w:numFmt w:val="bullet"/>
      <w:suff w:val="tab"/>
      <w:lvlText w:val="•"/>
      <w:rPr>
        <w:color w:val="3370ff"/>
      </w:rPr>
    </w:lvl>
  </w:abstractNum>
  <w:abstractNum w:abstractNumId="21974">
    <w:lvl>
      <w:numFmt w:val="bullet"/>
      <w:suff w:val="tab"/>
      <w:lvlText w:val="•"/>
      <w:rPr>
        <w:color w:val="3370ff"/>
      </w:rPr>
    </w:lvl>
  </w:abstractNum>
  <w:abstractNum w:abstractNumId="21975">
    <w:lvl>
      <w:numFmt w:val="bullet"/>
      <w:suff w:val="tab"/>
      <w:lvlText w:val="•"/>
      <w:rPr>
        <w:color w:val="3370ff"/>
      </w:rPr>
    </w:lvl>
  </w:abstractNum>
  <w:abstractNum w:abstractNumId="21976">
    <w:lvl>
      <w:numFmt w:val="bullet"/>
      <w:suff w:val="tab"/>
      <w:lvlText w:val="•"/>
      <w:rPr>
        <w:color w:val="3370ff"/>
      </w:rPr>
    </w:lvl>
  </w:abstractNum>
  <w:abstractNum w:abstractNumId="21977">
    <w:lvl>
      <w:numFmt w:val="bullet"/>
      <w:suff w:val="tab"/>
      <w:lvlText w:val="•"/>
      <w:rPr>
        <w:color w:val="3370ff"/>
      </w:rPr>
    </w:lvl>
  </w:abstractNum>
  <w:abstractNum w:abstractNumId="21978">
    <w:lvl>
      <w:numFmt w:val="bullet"/>
      <w:suff w:val="tab"/>
      <w:lvlText w:val="•"/>
      <w:rPr>
        <w:color w:val="3370ff"/>
      </w:rPr>
    </w:lvl>
  </w:abstractNum>
  <w:abstractNum w:abstractNumId="21979">
    <w:lvl>
      <w:numFmt w:val="bullet"/>
      <w:suff w:val="tab"/>
      <w:lvlText w:val="•"/>
      <w:rPr>
        <w:color w:val="3370ff"/>
      </w:rPr>
    </w:lvl>
  </w:abstractNum>
  <w:num w:numId="1">
    <w:abstractNumId w:val="21870"/>
  </w:num>
  <w:num w:numId="2">
    <w:abstractNumId w:val="21871"/>
  </w:num>
  <w:num w:numId="3">
    <w:abstractNumId w:val="21872"/>
  </w:num>
  <w:num w:numId="4">
    <w:abstractNumId w:val="21873"/>
  </w:num>
  <w:num w:numId="5">
    <w:abstractNumId w:val="21874"/>
  </w:num>
  <w:num w:numId="6">
    <w:abstractNumId w:val="21875"/>
  </w:num>
  <w:num w:numId="7">
    <w:abstractNumId w:val="21876"/>
  </w:num>
  <w:num w:numId="8">
    <w:abstractNumId w:val="21877"/>
  </w:num>
  <w:num w:numId="9">
    <w:abstractNumId w:val="21878"/>
  </w:num>
  <w:num w:numId="10">
    <w:abstractNumId w:val="21879"/>
  </w:num>
  <w:num w:numId="11">
    <w:abstractNumId w:val="21880"/>
  </w:num>
  <w:num w:numId="12">
    <w:abstractNumId w:val="21881"/>
  </w:num>
  <w:num w:numId="13">
    <w:abstractNumId w:val="21882"/>
  </w:num>
  <w:num w:numId="14">
    <w:abstractNumId w:val="21883"/>
  </w:num>
  <w:num w:numId="15">
    <w:abstractNumId w:val="21884"/>
  </w:num>
  <w:num w:numId="16">
    <w:abstractNumId w:val="21885"/>
  </w:num>
  <w:num w:numId="17">
    <w:abstractNumId w:val="21886"/>
  </w:num>
  <w:num w:numId="18">
    <w:abstractNumId w:val="21887"/>
  </w:num>
  <w:num w:numId="19">
    <w:abstractNumId w:val="21888"/>
  </w:num>
  <w:num w:numId="20">
    <w:abstractNumId w:val="21889"/>
  </w:num>
  <w:num w:numId="21">
    <w:abstractNumId w:val="21890"/>
  </w:num>
  <w:num w:numId="22">
    <w:abstractNumId w:val="21891"/>
  </w:num>
  <w:num w:numId="23">
    <w:abstractNumId w:val="21892"/>
  </w:num>
  <w:num w:numId="24">
    <w:abstractNumId w:val="21893"/>
  </w:num>
  <w:num w:numId="25">
    <w:abstractNumId w:val="21894"/>
  </w:num>
  <w:num w:numId="26">
    <w:abstractNumId w:val="21895"/>
  </w:num>
  <w:num w:numId="27">
    <w:abstractNumId w:val="21896"/>
  </w:num>
  <w:num w:numId="28">
    <w:abstractNumId w:val="21897"/>
  </w:num>
  <w:num w:numId="29">
    <w:abstractNumId w:val="21898"/>
  </w:num>
  <w:num w:numId="30">
    <w:abstractNumId w:val="21899"/>
  </w:num>
  <w:num w:numId="31">
    <w:abstractNumId w:val="21900"/>
  </w:num>
  <w:num w:numId="32">
    <w:abstractNumId w:val="21901"/>
  </w:num>
  <w:num w:numId="33">
    <w:abstractNumId w:val="21902"/>
  </w:num>
  <w:num w:numId="34">
    <w:abstractNumId w:val="21903"/>
  </w:num>
  <w:num w:numId="35">
    <w:abstractNumId w:val="21904"/>
  </w:num>
  <w:num w:numId="36">
    <w:abstractNumId w:val="21905"/>
  </w:num>
  <w:num w:numId="37">
    <w:abstractNumId w:val="21906"/>
  </w:num>
  <w:num w:numId="38">
    <w:abstractNumId w:val="21907"/>
  </w:num>
  <w:num w:numId="39">
    <w:abstractNumId w:val="21908"/>
  </w:num>
  <w:num w:numId="40">
    <w:abstractNumId w:val="21909"/>
  </w:num>
  <w:num w:numId="41">
    <w:abstractNumId w:val="21910"/>
  </w:num>
  <w:num w:numId="42">
    <w:abstractNumId w:val="21911"/>
  </w:num>
  <w:num w:numId="43">
    <w:abstractNumId w:val="21912"/>
  </w:num>
  <w:num w:numId="44">
    <w:abstractNumId w:val="21913"/>
  </w:num>
  <w:num w:numId="45">
    <w:abstractNumId w:val="21914"/>
  </w:num>
  <w:num w:numId="46">
    <w:abstractNumId w:val="21915"/>
  </w:num>
  <w:num w:numId="47">
    <w:abstractNumId w:val="21916"/>
  </w:num>
  <w:num w:numId="48">
    <w:abstractNumId w:val="21917"/>
  </w:num>
  <w:num w:numId="49">
    <w:abstractNumId w:val="21918"/>
  </w:num>
  <w:num w:numId="50">
    <w:abstractNumId w:val="21919"/>
  </w:num>
  <w:num w:numId="51">
    <w:abstractNumId w:val="21920"/>
  </w:num>
  <w:num w:numId="52">
    <w:abstractNumId w:val="21921"/>
  </w:num>
  <w:num w:numId="53">
    <w:abstractNumId w:val="21922"/>
  </w:num>
  <w:num w:numId="54">
    <w:abstractNumId w:val="21923"/>
  </w:num>
  <w:num w:numId="55">
    <w:abstractNumId w:val="21924"/>
  </w:num>
  <w:num w:numId="56">
    <w:abstractNumId w:val="21925"/>
  </w:num>
  <w:num w:numId="57">
    <w:abstractNumId w:val="21926"/>
  </w:num>
  <w:num w:numId="58">
    <w:abstractNumId w:val="21927"/>
  </w:num>
  <w:num w:numId="59">
    <w:abstractNumId w:val="21928"/>
  </w:num>
  <w:num w:numId="60">
    <w:abstractNumId w:val="21929"/>
  </w:num>
  <w:num w:numId="61">
    <w:abstractNumId w:val="21930"/>
  </w:num>
  <w:num w:numId="62">
    <w:abstractNumId w:val="21931"/>
  </w:num>
  <w:num w:numId="63">
    <w:abstractNumId w:val="21932"/>
  </w:num>
  <w:num w:numId="64">
    <w:abstractNumId w:val="21933"/>
  </w:num>
  <w:num w:numId="65">
    <w:abstractNumId w:val="21934"/>
  </w:num>
  <w:num w:numId="66">
    <w:abstractNumId w:val="21935"/>
  </w:num>
  <w:num w:numId="67">
    <w:abstractNumId w:val="21936"/>
  </w:num>
  <w:num w:numId="68">
    <w:abstractNumId w:val="21937"/>
  </w:num>
  <w:num w:numId="69">
    <w:abstractNumId w:val="21938"/>
  </w:num>
  <w:num w:numId="70">
    <w:abstractNumId w:val="21939"/>
  </w:num>
  <w:num w:numId="71">
    <w:abstractNumId w:val="21940"/>
  </w:num>
  <w:num w:numId="72">
    <w:abstractNumId w:val="21941"/>
  </w:num>
  <w:num w:numId="73">
    <w:abstractNumId w:val="21942"/>
  </w:num>
  <w:num w:numId="74">
    <w:abstractNumId w:val="21943"/>
  </w:num>
  <w:num w:numId="75">
    <w:abstractNumId w:val="21944"/>
  </w:num>
  <w:num w:numId="76">
    <w:abstractNumId w:val="21945"/>
  </w:num>
  <w:num w:numId="77">
    <w:abstractNumId w:val="21946"/>
  </w:num>
  <w:num w:numId="78">
    <w:abstractNumId w:val="21947"/>
  </w:num>
  <w:num w:numId="79">
    <w:abstractNumId w:val="21948"/>
  </w:num>
  <w:num w:numId="80">
    <w:abstractNumId w:val="21949"/>
  </w:num>
  <w:num w:numId="81">
    <w:abstractNumId w:val="21950"/>
  </w:num>
  <w:num w:numId="82">
    <w:abstractNumId w:val="21951"/>
  </w:num>
  <w:num w:numId="83">
    <w:abstractNumId w:val="21952"/>
  </w:num>
  <w:num w:numId="84">
    <w:abstractNumId w:val="21953"/>
  </w:num>
  <w:num w:numId="85">
    <w:abstractNumId w:val="21954"/>
  </w:num>
  <w:num w:numId="86">
    <w:abstractNumId w:val="21955"/>
  </w:num>
  <w:num w:numId="87">
    <w:abstractNumId w:val="21956"/>
  </w:num>
  <w:num w:numId="88">
    <w:abstractNumId w:val="21957"/>
  </w:num>
  <w:num w:numId="89">
    <w:abstractNumId w:val="21958"/>
  </w:num>
  <w:num w:numId="90">
    <w:abstractNumId w:val="21959"/>
  </w:num>
  <w:num w:numId="91">
    <w:abstractNumId w:val="21960"/>
  </w:num>
  <w:num w:numId="92">
    <w:abstractNumId w:val="21961"/>
  </w:num>
  <w:num w:numId="93">
    <w:abstractNumId w:val="21962"/>
  </w:num>
  <w:num w:numId="94">
    <w:abstractNumId w:val="21963"/>
  </w:num>
  <w:num w:numId="95">
    <w:abstractNumId w:val="21964"/>
  </w:num>
  <w:num w:numId="96">
    <w:abstractNumId w:val="21965"/>
  </w:num>
  <w:num w:numId="97">
    <w:abstractNumId w:val="21966"/>
  </w:num>
  <w:num w:numId="98">
    <w:abstractNumId w:val="21967"/>
  </w:num>
  <w:num w:numId="99">
    <w:abstractNumId w:val="21968"/>
  </w:num>
  <w:num w:numId="100">
    <w:abstractNumId w:val="21969"/>
  </w:num>
  <w:num w:numId="101">
    <w:abstractNumId w:val="21970"/>
  </w:num>
  <w:num w:numId="102">
    <w:abstractNumId w:val="21971"/>
  </w:num>
  <w:num w:numId="103">
    <w:abstractNumId w:val="21972"/>
  </w:num>
  <w:num w:numId="104">
    <w:abstractNumId w:val="21973"/>
  </w:num>
  <w:num w:numId="105">
    <w:abstractNumId w:val="21974"/>
  </w:num>
  <w:num w:numId="106">
    <w:abstractNumId w:val="21975"/>
  </w:num>
  <w:num w:numId="107">
    <w:abstractNumId w:val="21976"/>
  </w:num>
  <w:num w:numId="108">
    <w:abstractNumId w:val="21977"/>
  </w:num>
  <w:num w:numId="109">
    <w:abstractNumId w:val="21978"/>
  </w:num>
  <w:num w:numId="110">
    <w:abstractNumId w:val="2197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2026-02-14T08:49:07Z</dcterms:created>
  <dc:creator>Apache POI</dc:creator>
</cp:coreProperties>
</file>