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NAC公链收益AI自动触发核心技术白皮书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 AI层工作组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：ACC-1594规范、GNACS收益扩展规范、宪法执行引擎规范、预言机聚合协议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真实世界资产（RWA）的收益分配（如租金、股息、利息）传统上依赖人工计算与手动操作，成本高、效率低、易出错，且难以与链上代币化权益同步。NAC公链通过</w:t>
      </w:r>
      <w:r>
        <w:rPr>
          <w:rFonts w:eastAsia="等线" w:ascii="Arial" w:cs="Arial" w:hAnsi="Arial"/>
          <w:b w:val="true"/>
          <w:sz w:val="22"/>
        </w:rPr>
        <w:t>收益AI自动触发系统</w:t>
      </w:r>
      <w:r>
        <w:rPr>
          <w:rFonts w:eastAsia="等线" w:ascii="Arial" w:cs="Arial" w:hAnsi="Arial"/>
          <w:sz w:val="22"/>
        </w:rPr>
        <w:t>，将资产收益规则编码为GNACS扩展字段，由AI引擎自动计算每期收益，通过宪法执行引擎（CEE）验证后，自动分配到代币持有者账户。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本系统实现：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全自动</w:t>
      </w:r>
      <w:r>
        <w:rPr>
          <w:rFonts w:eastAsia="等线" w:ascii="Arial" w:cs="Arial" w:hAnsi="Arial"/>
          <w:sz w:val="22"/>
        </w:rPr>
        <w:t>：从收益数据采集、计算、分配到发放，无需人工干预。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宪法合规</w:t>
      </w:r>
      <w:r>
        <w:rPr>
          <w:rFonts w:eastAsia="等线" w:ascii="Arial" w:cs="Arial" w:hAnsi="Arial"/>
          <w:sz w:val="22"/>
        </w:rPr>
        <w:t>：分配规则由宪法条款约束，AI计算结果需经CEE签发收据。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可验证</w:t>
      </w:r>
      <w:r>
        <w:rPr>
          <w:rFonts w:eastAsia="等线" w:ascii="Arial" w:cs="Arial" w:hAnsi="Arial"/>
          <w:sz w:val="22"/>
        </w:rPr>
        <w:t>：每一步操作生成可审计的宪法收据和链上记录。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可扩展</w:t>
      </w:r>
      <w:r>
        <w:rPr>
          <w:rFonts w:eastAsia="等线" w:ascii="Arial" w:cs="Arial" w:hAnsi="Arial"/>
          <w:sz w:val="22"/>
        </w:rPr>
        <w:t>：支持任意复杂度的收益策略（优先/普通分层、业绩提成、再投资等）。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一、系统架构总览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收益数据源层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租金预言机（房地产）    • 分红预言机（股权）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利息预言机（债券）      • 收益聚合器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└─────────────────────────────┬───────────────────────────────┘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↓ (原始收益数据)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 AI收益计算引擎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GNACS收益扩展解析器     • 收益策略执行器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持有者快照生成器        • 分红计算器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└─────────────────────────────┬───────────────────────────────┘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↓ (计算结果：应分配总额、每份收益)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宪法执行引擎（CEE）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宪法条款验证（覆盖率、限额）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签发宪法收据（CR）           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└─────────────────────────────┬───────────────────────────────┘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↓ (带CR的分配指令)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链上分配合约（ACC-1594）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distributeDividend      • claimDividend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收益历史记录            • 资金划转（XTZH）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                  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┌─────────────────────────────────────────────────────────────┐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                 持有者钱包/应用         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│  • 收益领取通知            • 历史收益查询                  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└─────────────────────────────────────────────────────────────┘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二、GNACS收益扩展编码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收益规则直接编码在资产GNACS的</w:t>
      </w:r>
      <w:r>
        <w:rPr>
          <w:rFonts w:eastAsia="等线" w:ascii="Arial" w:cs="Arial" w:hAnsi="Arial"/>
          <w:b w:val="true"/>
          <w:sz w:val="22"/>
        </w:rPr>
        <w:t>收益扩展字段</w:t>
      </w:r>
      <w:r>
        <w:rPr>
          <w:rFonts w:eastAsia="等线" w:ascii="Arial" w:cs="Arial" w:hAnsi="Arial"/>
          <w:sz w:val="22"/>
        </w:rPr>
        <w:t>（32位），确保规则机器可读且不可篡改。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2.1 收益扩展结构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050"/>
        <w:gridCol w:w="1575"/>
        <w:gridCol w:w="1050"/>
        <w:gridCol w:w="4605"/>
      </w:tblGrid>
      <w:tr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位域</w:t>
            </w:r>
          </w:p>
        </w:tc>
        <w:tc>
          <w:tcPr>
            <w:tcW w:w="15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字段名</w:t>
            </w:r>
          </w:p>
        </w:tc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长度</w:t>
            </w:r>
          </w:p>
        </w:tc>
        <w:tc>
          <w:tcPr>
            <w:tcW w:w="4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描述</w:t>
            </w:r>
          </w:p>
        </w:tc>
      </w:tr>
      <w:tr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49-56</w:t>
            </w:r>
          </w:p>
        </w:tc>
        <w:tc>
          <w:tcPr>
            <w:tcW w:w="15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dividend_policy</w:t>
            </w:r>
          </w:p>
        </w:tc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8位</w:t>
            </w:r>
          </w:p>
        </w:tc>
        <w:tc>
          <w:tcPr>
            <w:tcW w:w="4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分红策略（0=无，1=固定比例，2=剩余收益，3=优先/普通分层，4=业绩提成）</w:t>
            </w:r>
          </w:p>
        </w:tc>
      </w:tr>
      <w:tr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57-60</w:t>
            </w:r>
          </w:p>
        </w:tc>
        <w:tc>
          <w:tcPr>
            <w:tcW w:w="15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dividend_period</w:t>
            </w:r>
          </w:p>
        </w:tc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4位</w:t>
            </w:r>
          </w:p>
        </w:tc>
        <w:tc>
          <w:tcPr>
            <w:tcW w:w="4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分红周期（1=月，2=季，3=半年，4=年，5=不定期）</w:t>
            </w:r>
          </w:p>
        </w:tc>
      </w:tr>
      <w:tr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61-64</w:t>
            </w:r>
          </w:p>
        </w:tc>
        <w:tc>
          <w:tcPr>
            <w:tcW w:w="15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base_rate</w:t>
            </w:r>
          </w:p>
        </w:tc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4位</w:t>
            </w:r>
          </w:p>
        </w:tc>
        <w:tc>
          <w:tcPr>
            <w:tcW w:w="4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基础分红率（百分比的百分之一，如500=5.00%）</w:t>
            </w:r>
          </w:p>
        </w:tc>
      </w:tr>
      <w:tr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65-72</w:t>
            </w:r>
          </w:p>
        </w:tc>
        <w:tc>
          <w:tcPr>
            <w:tcW w:w="15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performance_fee</w:t>
            </w:r>
          </w:p>
        </w:tc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8位</w:t>
            </w:r>
          </w:p>
        </w:tc>
        <w:tc>
          <w:tcPr>
            <w:tcW w:w="4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业绩提成比例（如有，千分比）</w:t>
            </w:r>
          </w:p>
        </w:tc>
      </w:tr>
      <w:tr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73-80</w:t>
            </w:r>
          </w:p>
        </w:tc>
        <w:tc>
          <w:tcPr>
            <w:tcW w:w="15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min_holding_days</w:t>
            </w:r>
          </w:p>
        </w:tc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8位</w:t>
            </w:r>
          </w:p>
        </w:tc>
        <w:tc>
          <w:tcPr>
            <w:tcW w:w="4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最低持有天数（防止快照套利）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2.2 示例编码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优先股（年分红5%，优先分配）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dividend_policy = 0x03 (优先/普通分层)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dividend_period = 0x04 (年)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base_rate = 0x05 (5%)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performance_fee = 0x00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min_holding_days = 0x1E (30天)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房地产REITs（季度租金分红，80%租金收入分配）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dividend_policy = 0x02 (剩余收益)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dividend_period = 0x02 (季)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base_rate = 0x00 (不固定)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performance_fee = 0x00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min_holding_days = 0x0F (15天)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三、AI收益计算引擎</w:t>
      </w:r>
      <w:bookmarkEnd w:id="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3.1 输入数据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资产GNACS</w:t>
      </w:r>
      <w:r>
        <w:rPr>
          <w:rFonts w:eastAsia="等线" w:ascii="Arial" w:cs="Arial" w:hAnsi="Arial"/>
          <w:sz w:val="22"/>
        </w:rPr>
        <w:t>：包括收益扩展字段。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收益数据</w:t>
      </w:r>
      <w:r>
        <w:rPr>
          <w:rFonts w:eastAsia="等线" w:ascii="Arial" w:cs="Arial" w:hAnsi="Arial"/>
          <w:sz w:val="22"/>
        </w:rPr>
        <w:t>：来自预言机的原始收益金额（以XTZH计价）。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持有者快照</w:t>
      </w:r>
      <w:r>
        <w:rPr>
          <w:rFonts w:eastAsia="等线" w:ascii="Arial" w:cs="Arial" w:hAnsi="Arial"/>
          <w:sz w:val="22"/>
        </w:rPr>
        <w:t>：在权益登记日（如分红前一日）的链上余额（按分区）。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宪法状态</w:t>
      </w:r>
      <w:r>
        <w:rPr>
          <w:rFonts w:eastAsia="等线" w:ascii="Arial" w:cs="Arial" w:hAnsi="Arial"/>
          <w:sz w:val="22"/>
        </w:rPr>
        <w:t>：当前宪法参数（如最大分红比例、XTZH覆盖率等）。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3.2 计算流程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def calculate_dividend(asset_id, period):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# 1. 获取资产GNACS收益扩展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gnacs = get_asset_gnacs(asset_id)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policy = gnacs.dividend_policy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period_type = gnacs.dividend_period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base_rate = gnacs.base_rate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perf_fee = gnacs.performance_fee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min_hold = gnacs.min_holding_days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# 2. 获取收益数据（从预言机）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total_income = oracle.get_income(asset_id, period)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# 3. 根据策略计算可分配总额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if policy == 0x01:  # 固定比例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distributable = total_income * base_rate / 100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elif policy == 0x02:  # 剩余收益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# 扣除运营成本、预留等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reserve = get_reserve_requirement(asset_id)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distributable = total_income - reserve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elif policy == 0x03:  # 优先/普通分层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# 需获取优先股总额和普通股总额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preferred_total = get_partition_supply(asset_id, "preferred")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common_total = get_partition_supply(asset_id, "common")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# 优先股先分配固定比例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preferred_dividend = preferred_total * base_rate / 100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distributable = min(total_income, preferred_dividend + (total_income - preferred_dividend) * 0.7)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else: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distributable = 0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# 4. 获取合格持有者快照（过滤未达最低持有天数的地址）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holders = get_snapshot(asset_id, period_start, min_hold)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total_shares = sum(holder.shares for holder in holders)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# 5. 计算每份收益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dividend_per_share = distributable / total_shares if total_shares &gt; 0 else 0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# 6. 生成分配指令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return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"asset_id": asset_id,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"period": period,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"total_amount": distributable,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"per_share": dividend_per_share,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"holders": holders,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"timestamp": now()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3.3 收益数据预言机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收益数据来源多样，NAC提供标准预言机聚合接口：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租金收益</w:t>
      </w:r>
      <w:r>
        <w:rPr>
          <w:rFonts w:eastAsia="等线" w:ascii="Arial" w:cs="Arial" w:hAnsi="Arial"/>
          <w:sz w:val="22"/>
        </w:rPr>
        <w:t>：通过智能合约对接资产管理平台，定期推送租金收入。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股息收益</w:t>
      </w:r>
      <w:r>
        <w:rPr>
          <w:rFonts w:eastAsia="等线" w:ascii="Arial" w:cs="Arial" w:hAnsi="Arial"/>
          <w:sz w:val="22"/>
        </w:rPr>
        <w:t>：从公司财务系统经审计后上链。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- </w:t>
      </w:r>
      <w:r>
        <w:rPr>
          <w:rFonts w:eastAsia="等线" w:ascii="Arial" w:cs="Arial" w:hAnsi="Arial"/>
          <w:b w:val="true"/>
          <w:sz w:val="22"/>
        </w:rPr>
        <w:t>利息收益</w:t>
      </w:r>
      <w:r>
        <w:rPr>
          <w:rFonts w:eastAsia="等线" w:ascii="Arial" w:cs="Arial" w:hAnsi="Arial"/>
          <w:sz w:val="22"/>
        </w:rPr>
        <w:t>：债券利息由发行方定期支付至托管账户，预言机确认到账。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预言机输出数据必须包含</w:t>
      </w:r>
      <w:r>
        <w:rPr>
          <w:rFonts w:eastAsia="等线" w:ascii="Arial" w:cs="Arial" w:hAnsi="Arial"/>
          <w:b w:val="true"/>
          <w:sz w:val="22"/>
        </w:rPr>
        <w:t>多方签名</w:t>
      </w:r>
      <w:r>
        <w:rPr>
          <w:rFonts w:eastAsia="等线" w:ascii="Arial" w:cs="Arial" w:hAnsi="Arial"/>
          <w:sz w:val="22"/>
        </w:rPr>
        <w:t>，且数据源地址需在宪法白名单内。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9" w:id="9"/>
      <w:r>
        <w:rPr>
          <w:rFonts w:eastAsia="等线" w:ascii="Arial" w:cs="Arial" w:hAnsi="Arial"/>
          <w:b w:val="true"/>
          <w:sz w:val="36"/>
        </w:rPr>
        <w:t>四、宪法执行引擎验证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AI计算引擎的输出需提交至CEE，验证以下宪法条款：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4.1 覆盖率检查</w:t>
      </w:r>
      <w:bookmarkEnd w:id="1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若分配涉及XTZH转出，CEE将检查：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当前黄金覆盖率 ≥ 宪法`XTZH_GOLD_COVERAGE_MIN`（125%）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若分配后覆盖率可能跌破底线，CEE拒绝签发收据，触发熔断。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4.2 分配限额检查</w:t>
      </w:r>
      <w:bookmarkEnd w:id="1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宪法可规定单次分配不得超过资产净值的某个比例（如20%），CEE验证：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distributable ≤ asset_nav * MAX_DISTRIBUTION_RATIO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4.3 持有者合规检查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CEE验证接收收益的地址是否满足：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KYC等级≥宪法`MIN_KYC_FOR_DIVIDEND`。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不在制裁名单（通过地址解析的region字段或外部预言机）。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4.4 签发宪法收据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验证通过后，CEE签发`DividendReceipt`（继承自`ConstitutionalReceipt`），包含：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资产ID、分配周期、总金额、每份收益、持有者根哈希。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CEE签名列表（至少3个节点签名）。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4" w:id="14"/>
      <w:r>
        <w:rPr>
          <w:rFonts w:eastAsia="等线" w:ascii="Arial" w:cs="Arial" w:hAnsi="Arial"/>
          <w:b w:val="true"/>
          <w:sz w:val="36"/>
        </w:rPr>
        <w:t>五、链上分配合约（ACC-1594增强）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ACC-1594合约中的`distributeDividend`函数接收AI计算结果和CR，执行分配：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@Role("DISTRIBUTOR")   // 仅授权角色可调用（如AI引擎或授权节点）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func distributeDividend(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partitionId: bytes32,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totalAmount: uint256,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perShareAmount: uint256,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period: uint64,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holdersMerkleRoot: bytes32,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cr: 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1. 验证CR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verifyReceipt(cr, "DIVIDEND_DISTRIBUTION");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2. 记录本次分红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dividendHistory[partitionId].push(DividendRecord(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period: period,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totalAmount: totalAmount,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perShareAmount: perShareAmount,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timestamp: now(),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receiptHash: hash(cr),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holdersRoot: holdersMerkleRoot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// 3. 从收益池划转XTZH到合约（或标记待领取）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xtzh.transferFrom(revenuePool, address(this), totalAmount);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4. 触发事件，供前端/钱包通知用户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emit DividendDistributed(partitionId, totalAmount, perShareAmount, period);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持有者领取收益时，调用`claimDividend`：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@RequiresConstitutionalReceipt   // 可选，小额领取可免CR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func claimDividend(partitionId: bytes32)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获取最近一期未领取的分红记录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DividendRecord storage record = getLatestUnclaimed(partitionId, msg.sender);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require(record != null);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计算用户应得金额（需验证持有量，可使用Merkle证明）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uint256 amount = getUserDividend(msg.sender, partitionId, record.period);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require(amount &gt; 0);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标记已领取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markClaimed(msg.sender, partitionId, record.period);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转账XTZH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xtzh.transfer(msg.sender, amount);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emit DividendClaimed(msg.sender, partitionId, amount);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5" w:id="15"/>
      <w:r>
        <w:rPr>
          <w:rFonts w:eastAsia="等线" w:ascii="Arial" w:cs="Arial" w:hAnsi="Arial"/>
          <w:b w:val="true"/>
          <w:sz w:val="36"/>
        </w:rPr>
        <w:t>六、收益领取方式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支持两种模式：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1. </w:t>
      </w:r>
      <w:r>
        <w:rPr>
          <w:rFonts w:eastAsia="等线" w:ascii="Arial" w:cs="Arial" w:hAnsi="Arial"/>
          <w:b w:val="true"/>
          <w:sz w:val="22"/>
        </w:rPr>
        <w:t>自动发放</w:t>
      </w:r>
      <w:r>
        <w:rPr>
          <w:rFonts w:eastAsia="等线" w:ascii="Arial" w:cs="Arial" w:hAnsi="Arial"/>
          <w:sz w:val="22"/>
        </w:rPr>
        <w:t>（推荐）：分配时直接将XTZH转入持有者账户。需持有者地址在分配时仍有效（未被冻结），且接收XTZH的合约/钱包支持。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2. </w:t>
      </w:r>
      <w:r>
        <w:rPr>
          <w:rFonts w:eastAsia="等线" w:ascii="Arial" w:cs="Arial" w:hAnsi="Arial"/>
          <w:b w:val="true"/>
          <w:sz w:val="22"/>
        </w:rPr>
        <w:t>手动领取</w:t>
      </w:r>
      <w:r>
        <w:rPr>
          <w:rFonts w:eastAsia="等线" w:ascii="Arial" w:cs="Arial" w:hAnsi="Arial"/>
          <w:sz w:val="22"/>
        </w:rPr>
        <w:t>：分配金额暂存合约，持有者主动触发`claimDividend`。适合地址可能变更或需要税务处理场景。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宪法可规定自动发放的最低金额阈值，低于阈值则合并至下一期。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6" w:id="16"/>
      <w:r>
        <w:rPr>
          <w:rFonts w:eastAsia="等线" w:ascii="Arial" w:cs="Arial" w:hAnsi="Arial"/>
          <w:b w:val="true"/>
          <w:sz w:val="36"/>
        </w:rPr>
        <w:t>七、安全与宪法约束</w:t>
      </w:r>
      <w:bookmarkEnd w:id="1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7.1 防快照攻击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通过`min_holding_days`要求，持有者必须在登记日前持有资产满指定天数，否则无权领取收益。此检查在AI计算快照时执行。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7.2 超额分配防御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CEE验证分配总额不超过预言机报告的收益总额，且不超过宪法规定的分配上限。每次分配后，合约记录已分配总额，确保不重复分配同一期收益。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7.3 宪法授权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收益分配规则（如`MAX_DISTRIBUTION_RATIO`）存储在宪法附录，需辖区协商修改。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 预言机数据源、AI引擎节点均需在宪法白名单内。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0" w:id="20"/>
      <w:r>
        <w:rPr>
          <w:rFonts w:eastAsia="等线" w:ascii="Arial" w:cs="Arial" w:hAnsi="Arial"/>
          <w:b w:val="true"/>
          <w:sz w:val="36"/>
        </w:rPr>
        <w:t>八、技术落地路线图</w:t>
      </w:r>
      <w:bookmarkEnd w:id="2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050"/>
        <w:gridCol w:w="1320"/>
        <w:gridCol w:w="5910"/>
      </w:tblGrid>
      <w:tr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阶段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时间</w:t>
            </w:r>
          </w:p>
        </w:tc>
        <w:tc>
          <w:tcPr>
            <w:tcW w:w="59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交付物</w:t>
            </w:r>
          </w:p>
        </w:tc>
      </w:tr>
      <w:tr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1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2026.02-03</w:t>
            </w:r>
          </w:p>
        </w:tc>
        <w:tc>
          <w:tcPr>
            <w:tcW w:w="59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GNACS收益扩展编码规范，AI计算引擎原型</w:t>
            </w:r>
          </w:p>
        </w:tc>
      </w:tr>
      <w:tr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2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2026.03-04</w:t>
            </w:r>
          </w:p>
        </w:tc>
        <w:tc>
          <w:tcPr>
            <w:tcW w:w="59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预言机收益数据聚合器，CEE验证逻辑扩展</w:t>
            </w:r>
          </w:p>
        </w:tc>
      </w:tr>
      <w:tr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3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2026.04-05</w:t>
            </w:r>
          </w:p>
        </w:tc>
        <w:tc>
          <w:tcPr>
            <w:tcW w:w="59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ACC-1594增强合约开发（`distributeDividend`）</w:t>
            </w:r>
          </w:p>
        </w:tc>
      </w:tr>
      <w:tr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4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2026.05-06</w:t>
            </w:r>
          </w:p>
        </w:tc>
        <w:tc>
          <w:tcPr>
            <w:tcW w:w="59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测试网集成：模拟收益数据，自动化分配测试</w:t>
            </w:r>
          </w:p>
        </w:tc>
      </w:tr>
      <w:tr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5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2026.06-07</w:t>
            </w:r>
          </w:p>
        </w:tc>
        <w:tc>
          <w:tcPr>
            <w:tcW w:w="59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宪法附录增加收益分配相关条款</w:t>
            </w:r>
          </w:p>
        </w:tc>
      </w:tr>
      <w:tr>
        <w:tc>
          <w:tcPr>
            <w:tcW w:w="10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Phase 6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2026.07-08</w:t>
            </w:r>
          </w:p>
        </w:tc>
        <w:tc>
          <w:tcPr>
            <w:tcW w:w="59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主网上线，首批资产启用自动收益分配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1" w:id="21"/>
      <w:r>
        <w:rPr>
          <w:rFonts w:eastAsia="等线" w:ascii="Arial" w:cs="Arial" w:hAnsi="Arial"/>
          <w:b w:val="true"/>
          <w:sz w:val="36"/>
        </w:rPr>
        <w:t>九、结论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NAC公链的收益AI自动触发系统，将复杂多样的RWA收益分配规则</w:t>
      </w:r>
      <w:r>
        <w:rPr>
          <w:rFonts w:eastAsia="等线" w:ascii="Arial" w:cs="Arial" w:hAnsi="Arial"/>
          <w:b w:val="true"/>
          <w:sz w:val="22"/>
        </w:rPr>
        <w:t>编码为机器可读的GNACS扩展</w:t>
      </w:r>
      <w:r>
        <w:rPr>
          <w:rFonts w:eastAsia="等线" w:ascii="Arial" w:cs="Arial" w:hAnsi="Arial"/>
          <w:sz w:val="22"/>
        </w:rPr>
        <w:t>，通过</w:t>
      </w:r>
      <w:r>
        <w:rPr>
          <w:rFonts w:eastAsia="等线" w:ascii="Arial" w:cs="Arial" w:hAnsi="Arial"/>
          <w:b w:val="true"/>
          <w:sz w:val="22"/>
        </w:rPr>
        <w:t>AI引擎自动计算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宪法执行引擎验证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链上合约自动执行</w:t>
      </w:r>
      <w:r>
        <w:rPr>
          <w:rFonts w:eastAsia="等线" w:ascii="Arial" w:cs="Arial" w:hAnsi="Arial"/>
          <w:sz w:val="22"/>
        </w:rPr>
        <w:t>，实现了全流程自动化、合规化、透明化。这是“完美中心化框架下的去中心化”理念在收益分配领域的最佳实践——规则由宪法定义，计算由AI完成，执行由CEE监督，结果由全网验证。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 AI层工作组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2026-02-14T16:56:39Z</dcterms:created>
  <dc:creator>Apache POI</dc:creator>
</cp:coreProperties>
</file>