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NAC公链资产一键上链核心技术白皮书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——从资产申请到交易所交易的全自动合规化流程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：NAC资产上链工作组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发布日期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关联文档</w:t>
      </w:r>
      <w:r>
        <w:rPr>
          <w:rFonts w:eastAsia="等线" w:ascii="Arial" w:cs="Arial" w:hAnsi="Arial"/>
          <w:sz w:val="22"/>
        </w:rPr>
        <w:t>：宪法层规范、AI层规范、存储层规范、协议层规范、开发者工具栈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执行摘要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NAC公链的目标是让真实世界资产（RWA）的上链和权益化像发送一封电子邮件一样简单。通过整合宪法层（L2）、AI层（L4）、协议层（L1）和开发者工具栈，我们设计了一套</w:t>
      </w:r>
      <w:r>
        <w:rPr>
          <w:rFonts w:eastAsia="等线" w:ascii="Arial" w:cs="Arial" w:hAnsi="Arial"/>
          <w:b w:val="true"/>
          <w:sz w:val="22"/>
        </w:rPr>
        <w:t>全自动、一键式</w:t>
      </w:r>
      <w:r>
        <w:rPr>
          <w:rFonts w:eastAsia="等线" w:ascii="Arial" w:cs="Arial" w:hAnsi="Arial"/>
          <w:sz w:val="22"/>
        </w:rPr>
        <w:t>的资产上链流程，涵盖从资产申请、合规审批、估值、DNA生成、托管、权益衍生、代币发行到交易所上线的完整生命周期。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用户只需通过</w:t>
      </w:r>
      <w:r>
        <w:rPr>
          <w:rFonts w:eastAsia="Consolas" w:ascii="Consolas" w:cs="Consolas" w:hAnsi="Consolas"/>
          <w:sz w:val="22"/>
          <w:shd w:fill="EFF0F1"/>
        </w:rPr>
        <w:t>nac-toolbox</w:t>
      </w:r>
      <w:r>
        <w:rPr>
          <w:rFonts w:eastAsia="等线" w:ascii="Arial" w:cs="Arial" w:hAnsi="Arial"/>
          <w:sz w:val="22"/>
        </w:rPr>
        <w:t xml:space="preserve"> CLI或Web界面提交资产基本信息，系统便自动完成：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合规审查（调用AI合规引擎，基于宪法规则）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资产估值（通过预言机和AI模型）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链上确权（生成GNACS编码和资产DNA）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托管对接（选择合格托管机构，生成托管凭证）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铸造XTZH（基于估值发行稳定币）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发行权益化代币（ACC-20/ACC-1400）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上链公示（自动录入区块链浏览器）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钱包支持（代币自动注册到主流钱包）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交易所上线（自动对接合作交易所）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整个流程无需人工干预，所有规则由宪法定义，由AI自动执行，确保合规、透明、高效。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本白皮书详细阐述一键上链系统的技术架构、核心组件、流程设计及宪法保障。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一、总体架构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一键上链系统作为NAC公链上层应用，深度依赖各层级服务，其架构如下：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┌─────────────────────────────────────────────────────────────┐</w:t>
              <w:br/>
              <w:t>│                   一键上链前端/CLI                         │</w:t>
              <w:br/>
              <w:t>│           (nac-toolbox, Web界面, API网关)                  │</w:t>
              <w:br/>
              <w:t>└─────────────────────────────┬───────────────────────────────┘</w:t>
              <w:br/>
              <w:t xml:space="preserve">                              ↓</w:t>
              <w:br/>
              <w:t>┌─────────────────────────────────────────────────────────────┐</w:t>
              <w:br/>
              <w:t>│                    一键上链编排引擎                         │</w:t>
              <w:br/>
              <w:t>│  (负责协调各组件，管理状态机，处理异常)                    │</w:t>
              <w:br/>
              <w:t>└─────────────┬───────────────┬───────────────┬───────────────┘</w:t>
              <w:br/>
              <w:t xml:space="preserve">              ↓               ↓               ↓</w:t>
              <w:br/>
              <w:t>┌─────────────┴──────┐ ┌──────┴──────┐ ┌──────┴─────────────┐</w:t>
              <w:br/>
              <w:t>│  AI合规审批模块    │ │  AI估值模块  │ │  DNA生成模块       │</w:t>
              <w:br/>
              <w:t>│  (调用L4 AI层)     │ │ (预言机聚合) │ │ (GNACS编码器)      │</w:t>
              <w:br/>
              <w:t>└─────────────┬──────┘ └──────┬──────┘ └──────────┬──────────┘</w:t>
              <w:br/>
              <w:t xml:space="preserve">              ↓               ↓                    ↓</w:t>
              <w:br/>
              <w:t>┌─────────────┴───────────────────────────────────┴──────────┐</w:t>
              <w:br/>
              <w:t>│                   宪法执行引擎（CEE）                       │</w:t>
              <w:br/>
              <w:t>│         (验证每一步合规性，签发宪法收据CR)                 │</w:t>
              <w:br/>
              <w:t>└─────────────────────────────┬───────────────────────────────┘</w:t>
              <w:br/>
              <w:t xml:space="preserve">                              ↓</w:t>
              <w:br/>
              <w:t>┌─────────────────────────────────────────────────────────────┐</w:t>
              <w:br/>
              <w:t>│            L1协议层：CBPP、CSNP、NVM、ACC                  │</w:t>
              <w:br/>
              <w:t>│  (处理交易打包、广播、状态存储、代币发行)                  │</w:t>
              <w:br/>
              <w:t>└─────────────────────────────┬───────────────────────────────┘</w:t>
              <w:br/>
              <w:t xml:space="preserve">                              ↓</w:t>
              <w:br/>
              <w:t>┌─────────────────────────────────────────────────────────────┐</w:t>
              <w:br/>
              <w:t>│            L0基础设施：存储、网络、密码学                  │</w:t>
              <w:br/>
              <w:t>└────────</w:t>
            </w:r>
            <w:r>
              <w:rPr>
                <w:rFonts w:eastAsia="Consolas" w:ascii="Consolas" w:cs="Consolas" w:hAnsi="Consolas"/>
                <w:sz w:val="22"/>
              </w:rPr>
              <w:t>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设计原则</w:t>
      </w:r>
      <w:bookmarkEnd w:id="2"/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宪法驱动</w:t>
      </w:r>
      <w:r>
        <w:rPr>
          <w:rFonts w:eastAsia="等线" w:ascii="Arial" w:cs="Arial" w:hAnsi="Arial"/>
          <w:sz w:val="22"/>
        </w:rPr>
        <w:t>：所有规则来自L2宪法状态，AI严格遵循，不可偏离。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全自动</w:t>
      </w:r>
      <w:r>
        <w:rPr>
          <w:rFonts w:eastAsia="等线" w:ascii="Arial" w:cs="Arial" w:hAnsi="Arial"/>
          <w:sz w:val="22"/>
        </w:rPr>
        <w:t>：从提交到完成，无需人工介入。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可审计</w:t>
      </w:r>
      <w:r>
        <w:rPr>
          <w:rFonts w:eastAsia="等线" w:ascii="Arial" w:cs="Arial" w:hAnsi="Arial"/>
          <w:sz w:val="22"/>
        </w:rPr>
        <w:t>：每一步生成可验证的收据和日志。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可扩展</w:t>
      </w:r>
      <w:r>
        <w:rPr>
          <w:rFonts w:eastAsia="等线" w:ascii="Arial" w:cs="Arial" w:hAnsi="Arial"/>
          <w:sz w:val="22"/>
        </w:rPr>
        <w:t>：支持新资产类型、新合规要求通过宪法升级加入。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二、核心组件</w:t>
      </w:r>
      <w:bookmarkEnd w:id="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2.1 一键上链编排引擎</w:t>
      </w:r>
      <w:bookmarkEnd w:id="4"/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职责</w:t>
      </w:r>
      <w:r>
        <w:rPr>
          <w:rFonts w:eastAsia="等线" w:ascii="Arial" w:cs="Arial" w:hAnsi="Arial"/>
          <w:sz w:val="22"/>
        </w:rPr>
        <w:t>：管理资产上链状态机，协调各模块调用，处理错误和重试。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状态定义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16"/>
        </w:numPr>
        <w:spacing w:before="120" w:after="120" w:line="288" w:lineRule="auto"/>
        <w:ind w:left="453"/>
        <w:jc w:val="left"/>
      </w:pPr>
      <w:r>
        <w:rPr>
          <w:rFonts w:eastAsia="Consolas" w:ascii="Consolas" w:cs="Consolas" w:hAnsi="Consolas"/>
          <w:sz w:val="22"/>
          <w:shd w:fill="EFF0F1"/>
        </w:rPr>
        <w:t>Pending</w:t>
      </w:r>
      <w:r>
        <w:rPr>
          <w:rFonts w:eastAsia="等线" w:ascii="Arial" w:cs="Arial" w:hAnsi="Arial"/>
          <w:sz w:val="22"/>
        </w:rPr>
        <w:t>：初始提交</w:t>
      </w:r>
    </w:p>
    <w:p>
      <w:pPr>
        <w:numPr>
          <w:numId w:val="17"/>
        </w:numPr>
        <w:spacing w:before="120" w:after="120" w:line="288" w:lineRule="auto"/>
        <w:ind w:left="453"/>
        <w:jc w:val="left"/>
      </w:pPr>
      <w:r>
        <w:rPr>
          <w:rFonts w:eastAsia="Consolas" w:ascii="Consolas" w:cs="Consolas" w:hAnsi="Consolas"/>
          <w:sz w:val="22"/>
          <w:shd w:fill="EFF0F1"/>
        </w:rPr>
        <w:t>ComplianceCheck</w:t>
      </w:r>
      <w:r>
        <w:rPr>
          <w:rFonts w:eastAsia="等线" w:ascii="Arial" w:cs="Arial" w:hAnsi="Arial"/>
          <w:sz w:val="22"/>
        </w:rPr>
        <w:t>：合规审查中</w:t>
      </w:r>
    </w:p>
    <w:p>
      <w:pPr>
        <w:numPr>
          <w:numId w:val="18"/>
        </w:numPr>
        <w:spacing w:before="120" w:after="120" w:line="288" w:lineRule="auto"/>
        <w:ind w:left="453"/>
        <w:jc w:val="left"/>
      </w:pPr>
      <w:r>
        <w:rPr>
          <w:rFonts w:eastAsia="Consolas" w:ascii="Consolas" w:cs="Consolas" w:hAnsi="Consolas"/>
          <w:sz w:val="22"/>
          <w:shd w:fill="EFF0F1"/>
        </w:rPr>
        <w:t>Valuation</w:t>
      </w:r>
      <w:r>
        <w:rPr>
          <w:rFonts w:eastAsia="等线" w:ascii="Arial" w:cs="Arial" w:hAnsi="Arial"/>
          <w:sz w:val="22"/>
        </w:rPr>
        <w:t>：估值中</w:t>
      </w:r>
    </w:p>
    <w:p>
      <w:pPr>
        <w:numPr>
          <w:numId w:val="19"/>
        </w:numPr>
        <w:spacing w:before="120" w:after="120" w:line="288" w:lineRule="auto"/>
        <w:ind w:left="453"/>
        <w:jc w:val="left"/>
      </w:pPr>
      <w:r>
        <w:rPr>
          <w:rFonts w:eastAsia="Consolas" w:ascii="Consolas" w:cs="Consolas" w:hAnsi="Consolas"/>
          <w:sz w:val="22"/>
          <w:shd w:fill="EFF0F1"/>
        </w:rPr>
        <w:t>DNAGeneration</w:t>
      </w:r>
      <w:r>
        <w:rPr>
          <w:rFonts w:eastAsia="等线" w:ascii="Arial" w:cs="Arial" w:hAnsi="Arial"/>
          <w:sz w:val="22"/>
        </w:rPr>
        <w:t>：DNA生成中</w:t>
      </w:r>
    </w:p>
    <w:p>
      <w:pPr>
        <w:numPr>
          <w:numId w:val="20"/>
        </w:numPr>
        <w:spacing w:before="120" w:after="120" w:line="288" w:lineRule="auto"/>
        <w:ind w:left="453"/>
        <w:jc w:val="left"/>
      </w:pPr>
      <w:r>
        <w:rPr>
          <w:rFonts w:eastAsia="Consolas" w:ascii="Consolas" w:cs="Consolas" w:hAnsi="Consolas"/>
          <w:sz w:val="22"/>
          <w:shd w:fill="EFF0F1"/>
        </w:rPr>
        <w:t>Custody</w:t>
      </w:r>
      <w:r>
        <w:rPr>
          <w:rFonts w:eastAsia="等线" w:ascii="Arial" w:cs="Arial" w:hAnsi="Arial"/>
          <w:sz w:val="22"/>
        </w:rPr>
        <w:t>：托管对接中</w:t>
      </w:r>
    </w:p>
    <w:p>
      <w:pPr>
        <w:numPr>
          <w:numId w:val="21"/>
        </w:numPr>
        <w:spacing w:before="120" w:after="120" w:line="288" w:lineRule="auto"/>
        <w:ind w:left="453"/>
        <w:jc w:val="left"/>
      </w:pPr>
      <w:r>
        <w:rPr>
          <w:rFonts w:eastAsia="Consolas" w:ascii="Consolas" w:cs="Consolas" w:hAnsi="Consolas"/>
          <w:sz w:val="22"/>
          <w:shd w:fill="EFF0F1"/>
        </w:rPr>
        <w:t>XTZHMinting</w:t>
      </w:r>
      <w:r>
        <w:rPr>
          <w:rFonts w:eastAsia="等线" w:ascii="Arial" w:cs="Arial" w:hAnsi="Arial"/>
          <w:sz w:val="22"/>
        </w:rPr>
        <w:t>：XTZH铸造中</w:t>
      </w:r>
    </w:p>
    <w:p>
      <w:pPr>
        <w:numPr>
          <w:numId w:val="22"/>
        </w:numPr>
        <w:spacing w:before="120" w:after="120" w:line="288" w:lineRule="auto"/>
        <w:ind w:left="453"/>
        <w:jc w:val="left"/>
      </w:pPr>
      <w:r>
        <w:rPr>
          <w:rFonts w:eastAsia="Consolas" w:ascii="Consolas" w:cs="Consolas" w:hAnsi="Consolas"/>
          <w:sz w:val="22"/>
          <w:shd w:fill="EFF0F1"/>
        </w:rPr>
        <w:t>TokenIssuance</w:t>
      </w:r>
      <w:r>
        <w:rPr>
          <w:rFonts w:eastAsia="等线" w:ascii="Arial" w:cs="Arial" w:hAnsi="Arial"/>
          <w:sz w:val="22"/>
        </w:rPr>
        <w:t>：代币发行中</w:t>
      </w:r>
    </w:p>
    <w:p>
      <w:pPr>
        <w:numPr>
          <w:numId w:val="23"/>
        </w:numPr>
        <w:spacing w:before="120" w:after="120" w:line="288" w:lineRule="auto"/>
        <w:ind w:left="453"/>
        <w:jc w:val="left"/>
      </w:pPr>
      <w:r>
        <w:rPr>
          <w:rFonts w:eastAsia="Consolas" w:ascii="Consolas" w:cs="Consolas" w:hAnsi="Consolas"/>
          <w:sz w:val="22"/>
          <w:shd w:fill="EFF0F1"/>
        </w:rPr>
        <w:t>Listed</w:t>
      </w:r>
      <w:r>
        <w:rPr>
          <w:rFonts w:eastAsia="等线" w:ascii="Arial" w:cs="Arial" w:hAnsi="Arial"/>
          <w:sz w:val="22"/>
        </w:rPr>
        <w:t>：完成（浏览器、钱包、交易所）</w:t>
      </w:r>
    </w:p>
    <w:p>
      <w:pPr>
        <w:numPr>
          <w:numId w:val="24"/>
        </w:numPr>
        <w:spacing w:before="120" w:after="120" w:line="288" w:lineRule="auto"/>
        <w:ind w:left="453"/>
        <w:jc w:val="left"/>
      </w:pPr>
      <w:r>
        <w:rPr>
          <w:rFonts w:eastAsia="Consolas" w:ascii="Consolas" w:cs="Consolas" w:hAnsi="Consolas"/>
          <w:sz w:val="22"/>
          <w:shd w:fill="EFF0F1"/>
        </w:rPr>
        <w:t>Failed</w:t>
      </w:r>
      <w:r>
        <w:rPr>
          <w:rFonts w:eastAsia="等线" w:ascii="Arial" w:cs="Arial" w:hAnsi="Arial"/>
          <w:sz w:val="22"/>
        </w:rPr>
        <w:t>：失败（附原因）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技术实现</w:t>
      </w:r>
      <w:r>
        <w:rPr>
          <w:rFonts w:eastAsia="等线" w:ascii="Arial" w:cs="Arial" w:hAnsi="Arial"/>
          <w:sz w:val="22"/>
        </w:rPr>
        <w:t>：作为链下服务（Rust实现），通过</w:t>
      </w:r>
      <w:r>
        <w:rPr>
          <w:rFonts w:eastAsia="Consolas" w:ascii="Consolas" w:cs="Consolas" w:hAnsi="Consolas"/>
          <w:sz w:val="22"/>
          <w:shd w:fill="EFF0F1"/>
        </w:rPr>
        <w:t>nac-toolbox</w:t>
      </w:r>
      <w:r>
        <w:rPr>
          <w:rFonts w:eastAsia="等线" w:ascii="Arial" w:cs="Arial" w:hAnsi="Arial"/>
          <w:sz w:val="22"/>
        </w:rPr>
        <w:t>提供API和CLI。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2.2 AI合规审批模块</w:t>
      </w:r>
      <w:bookmarkEnd w:id="5"/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输入</w:t>
      </w:r>
      <w:r>
        <w:rPr>
          <w:rFonts w:eastAsia="等线" w:ascii="Arial" w:cs="Arial" w:hAnsi="Arial"/>
          <w:sz w:val="22"/>
        </w:rPr>
        <w:t>：资产类型、法律文件哈希、发行方KYC凭证、管辖权信息等。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处理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从宪法状态加载合规规则（如</w:t>
      </w:r>
      <w:r>
        <w:rPr>
          <w:rFonts w:eastAsia="Consolas" w:ascii="Consolas" w:cs="Consolas" w:hAnsi="Consolas"/>
          <w:sz w:val="22"/>
          <w:shd w:fill="EFF0F1"/>
        </w:rPr>
        <w:t>ASSET_COMPLIANCE_MIN_STANDARD</w:t>
      </w:r>
      <w:r>
        <w:rPr>
          <w:rFonts w:eastAsia="等线" w:ascii="Arial" w:cs="Arial" w:hAnsi="Arial"/>
          <w:sz w:val="22"/>
        </w:rPr>
        <w:t>）。</w:t>
      </w:r>
    </w:p>
    <w:p>
      <w:pPr>
        <w:numPr>
          <w:numId w:val="2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调用AI模型验证文件真伪（如OCR分析法律意见书）。</w:t>
      </w:r>
    </w:p>
    <w:p>
      <w:pPr>
        <w:numPr>
          <w:numId w:val="3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检查KYC等级是否满足要求。</w:t>
      </w:r>
    </w:p>
    <w:p>
      <w:pPr>
        <w:numPr>
          <w:numId w:val="3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输出合规性评分及证明（ZK证明可选）。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输出</w:t>
      </w:r>
      <w:r>
        <w:rPr>
          <w:rFonts w:eastAsia="等线" w:ascii="Arial" w:cs="Arial" w:hAnsi="Arial"/>
          <w:sz w:val="22"/>
        </w:rPr>
        <w:t>：合规审批结果哈希，提交给CEE。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2.3 AI估值模块</w:t>
      </w:r>
      <w:bookmarkEnd w:id="6"/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输入</w:t>
      </w:r>
      <w:r>
        <w:rPr>
          <w:rFonts w:eastAsia="等线" w:ascii="Arial" w:cs="Arial" w:hAnsi="Arial"/>
          <w:sz w:val="22"/>
        </w:rPr>
        <w:t>：资产类型、相关市场数据（预言机提供）、历史交易数据。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处理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3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从宪法状态加载估值模型参数（如不动产收益法折现率）。</w:t>
      </w:r>
    </w:p>
    <w:p>
      <w:pPr>
        <w:numPr>
          <w:numId w:val="3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聚合预言机数据（如房价指数、租金收益率）。</w:t>
      </w:r>
    </w:p>
    <w:p>
      <w:pPr>
        <w:numPr>
          <w:numId w:val="3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运行估值模型，输出估值结果（以SDR计价）。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输出</w:t>
      </w:r>
      <w:r>
        <w:rPr>
          <w:rFonts w:eastAsia="等线" w:ascii="Arial" w:cs="Arial" w:hAnsi="Arial"/>
          <w:sz w:val="22"/>
        </w:rPr>
        <w:t>：估值结果哈希，提交给CEE。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2.4 DNA生成模块</w:t>
      </w:r>
      <w:bookmarkEnd w:id="7"/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职责</w:t>
      </w:r>
      <w:r>
        <w:rPr>
          <w:rFonts w:eastAsia="等线" w:ascii="Arial" w:cs="Arial" w:hAnsi="Arial"/>
          <w:sz w:val="22"/>
        </w:rPr>
        <w:t>：根据资产信息生成48位GNACS编码和资产DNA。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处理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4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解析资产类型、风险权重、合规等级等（部分从合规/估值结果获取）。</w:t>
      </w:r>
    </w:p>
    <w:p>
      <w:pPr>
        <w:numPr>
          <w:numId w:val="4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调用GNACS编码器生成完整48位编码。</w:t>
      </w:r>
    </w:p>
    <w:p>
      <w:pPr>
        <w:numPr>
          <w:numId w:val="4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创建资产DNA结构（包含基因组、表型、进化历史）。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输出</w:t>
      </w:r>
      <w:r>
        <w:rPr>
          <w:rFonts w:eastAsia="等线" w:ascii="Arial" w:cs="Arial" w:hAnsi="Arial"/>
          <w:sz w:val="22"/>
        </w:rPr>
        <w:t>：GNACS编码、DNA哈希。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2.5 宪法执行引擎（CEE）</w:t>
      </w:r>
      <w:bookmarkEnd w:id="8"/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职责</w:t>
      </w:r>
      <w:r>
        <w:rPr>
          <w:rFonts w:eastAsia="等线" w:ascii="Arial" w:cs="Arial" w:hAnsi="Arial"/>
          <w:sz w:val="22"/>
        </w:rPr>
        <w:t>：为每一步操作签发宪法收据（CR），确保合规。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交互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4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每个模块调用前，先向CEE申请收据，证明该操作符合宪法。</w:t>
      </w:r>
    </w:p>
    <w:p>
      <w:pPr>
        <w:numPr>
          <w:numId w:val="4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模块执行后，将结果提交CEE验证，CEE签发最终收据，附于交易中。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2.6 托管对接模块</w:t>
      </w:r>
      <w:bookmarkEnd w:id="9"/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职责</w:t>
      </w:r>
      <w:r>
        <w:rPr>
          <w:rFonts w:eastAsia="等线" w:ascii="Arial" w:cs="Arial" w:hAnsi="Arial"/>
          <w:sz w:val="22"/>
        </w:rPr>
        <w:t>：对接第三方托管机构，生成托管凭证。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处理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5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从宪法白名单中选择合格托管机构（根据资产类型和管辖权）。</w:t>
      </w:r>
    </w:p>
    <w:p>
      <w:pPr>
        <w:numPr>
          <w:numId w:val="5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通过API发送托管请求（资产DNA、估值、法律文件）。</w:t>
      </w:r>
    </w:p>
    <w:p>
      <w:pPr>
        <w:numPr>
          <w:numId w:val="5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接收托管机构签发的托管凭证（数字签名），上链存证。</w:t>
      </w:r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输出</w:t>
      </w:r>
      <w:r>
        <w:rPr>
          <w:rFonts w:eastAsia="等线" w:ascii="Arial" w:cs="Arial" w:hAnsi="Arial"/>
          <w:sz w:val="22"/>
        </w:rPr>
        <w:t>：托管凭证哈希。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2.7 XTZH铸造模块</w:t>
      </w:r>
      <w:bookmarkEnd w:id="10"/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职责</w:t>
      </w:r>
      <w:r>
        <w:rPr>
          <w:rFonts w:eastAsia="等线" w:ascii="Arial" w:cs="Arial" w:hAnsi="Arial"/>
          <w:sz w:val="22"/>
        </w:rPr>
        <w:t>：基于资产估值铸造等值XTZH。</w:t>
      </w:r>
    </w:p>
    <w:p>
      <w:pPr>
        <w:numPr>
          <w:numId w:val="5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处理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5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根据宪法覆盖率要求（125%），计算需铸造的XTZH数量（估值×125%）。</w:t>
      </w:r>
    </w:p>
    <w:p>
      <w:pPr>
        <w:numPr>
          <w:numId w:val="5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调用XTZH合约</w:t>
      </w:r>
      <w:r>
        <w:rPr>
          <w:rFonts w:eastAsia="Consolas" w:ascii="Consolas" w:cs="Consolas" w:hAnsi="Consolas"/>
          <w:sz w:val="22"/>
          <w:shd w:fill="EFF0F1"/>
        </w:rPr>
        <w:t>mint</w:t>
      </w:r>
      <w:r>
        <w:rPr>
          <w:rFonts w:eastAsia="等线" w:ascii="Arial" w:cs="Arial" w:hAnsi="Arial"/>
          <w:sz w:val="22"/>
        </w:rPr>
        <w:t>函数，将XTZH发行到资产发行方账户。</w:t>
      </w:r>
    </w:p>
    <w:p>
      <w:pPr>
        <w:numPr>
          <w:numId w:val="5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铸造记录关联资产DNA和托管凭证。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2.8 权益代币发行模块</w:t>
      </w:r>
      <w:bookmarkEnd w:id="11"/>
    </w:p>
    <w:p>
      <w:pPr>
        <w:numPr>
          <w:numId w:val="6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职责</w:t>
      </w:r>
      <w:r>
        <w:rPr>
          <w:rFonts w:eastAsia="等线" w:ascii="Arial" w:cs="Arial" w:hAnsi="Arial"/>
          <w:sz w:val="22"/>
        </w:rPr>
        <w:t>：发行代表资产权益的ACC-20/ACC-1400代币。</w:t>
      </w:r>
    </w:p>
    <w:p>
      <w:pPr>
        <w:numPr>
          <w:numId w:val="6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处理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6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根据资产类型选择合适模板（如收益权用ACC-20，股权用ACC-1400）。</w:t>
      </w:r>
    </w:p>
    <w:p>
      <w:pPr>
        <w:numPr>
          <w:numId w:val="6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调用Charter合约工厂部署新合约，设置GNACS、总供应量等。</w:t>
      </w:r>
    </w:p>
    <w:p>
      <w:pPr>
        <w:numPr>
          <w:numId w:val="6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将代币所有权转移给发行方或投资者。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2.9 链上公示模块</w:t>
      </w:r>
      <w:bookmarkEnd w:id="12"/>
    </w:p>
    <w:p>
      <w:pPr>
        <w:numPr>
          <w:numId w:val="6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职责</w:t>
      </w:r>
      <w:r>
        <w:rPr>
          <w:rFonts w:eastAsia="等线" w:ascii="Arial" w:cs="Arial" w:hAnsi="Arial"/>
          <w:sz w:val="22"/>
        </w:rPr>
        <w:t>：将资产信息自动推送到区块链浏览器、钱包和交易所。</w:t>
      </w:r>
    </w:p>
    <w:p>
      <w:pPr>
        <w:numPr>
          <w:numId w:val="6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处理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6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向区块链浏览器API注册资产（GNACS、代币地址、元数据）。</w:t>
      </w:r>
    </w:p>
    <w:p>
      <w:pPr>
        <w:numPr>
          <w:numId w:val="6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向合作钱包推送代币信息（自动添加至用户资产列表）。</w:t>
      </w:r>
    </w:p>
    <w:p>
      <w:pPr>
        <w:numPr>
          <w:numId w:val="6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向合作交易所提交上币申请（自动通过，因已合规）。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3" w:id="13"/>
      <w:r>
        <w:rPr>
          <w:rFonts w:eastAsia="等线" w:ascii="Arial" w:cs="Arial" w:hAnsi="Arial"/>
          <w:b w:val="true"/>
          <w:sz w:val="36"/>
        </w:rPr>
        <w:t>三、一键上链流程详解</w:t>
      </w:r>
      <w:bookmarkEnd w:id="1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3.1 用户提交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用户通过</w:t>
      </w:r>
      <w:r>
        <w:rPr>
          <w:rFonts w:eastAsia="Consolas" w:ascii="Consolas" w:cs="Consolas" w:hAnsi="Consolas"/>
          <w:sz w:val="22"/>
          <w:shd w:fill="EFF0F1"/>
        </w:rPr>
        <w:t>nac-toolbox</w:t>
      </w:r>
      <w:r>
        <w:rPr>
          <w:rFonts w:eastAsia="等线" w:ascii="Arial" w:cs="Arial" w:hAnsi="Arial"/>
          <w:sz w:val="22"/>
        </w:rPr>
        <w:t>执行：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bash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nac asset create --type real-estate --file asset-info.json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asset-info.json</w:t>
      </w:r>
      <w:r>
        <w:rPr>
          <w:rFonts w:eastAsia="等线" w:ascii="Arial" w:cs="Arial" w:hAnsi="Arial"/>
          <w:sz w:val="22"/>
        </w:rPr>
        <w:t>包含：</w:t>
      </w:r>
    </w:p>
    <w:p>
      <w:pPr>
        <w:numPr>
          <w:numId w:val="7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资产类型（如“商业地产”）</w:t>
      </w:r>
    </w:p>
    <w:p>
      <w:pPr>
        <w:numPr>
          <w:numId w:val="7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法律文件哈希（已上传IPFS）</w:t>
      </w:r>
    </w:p>
    <w:p>
      <w:pPr>
        <w:numPr>
          <w:numId w:val="7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发行方DID及KYC凭证</w:t>
      </w:r>
    </w:p>
    <w:p>
      <w:pPr>
        <w:numPr>
          <w:numId w:val="7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其他属性（面积、位置等）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编排引擎生成唯一</w:t>
      </w:r>
      <w:r>
        <w:rPr>
          <w:rFonts w:eastAsia="Consolas" w:ascii="Consolas" w:cs="Consolas" w:hAnsi="Consolas"/>
          <w:sz w:val="22"/>
          <w:shd w:fill="EFF0F1"/>
        </w:rPr>
        <w:t>AssetID</w:t>
      </w:r>
      <w:r>
        <w:rPr>
          <w:rFonts w:eastAsia="等线" w:ascii="Arial" w:cs="Arial" w:hAnsi="Arial"/>
          <w:sz w:val="22"/>
        </w:rPr>
        <w:t>，状态置为</w:t>
      </w:r>
      <w:r>
        <w:rPr>
          <w:rFonts w:eastAsia="Consolas" w:ascii="Consolas" w:cs="Consolas" w:hAnsi="Consolas"/>
          <w:sz w:val="22"/>
          <w:shd w:fill="EFF0F1"/>
        </w:rPr>
        <w:t>Pending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3.2 合规审查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编排引擎调用AI合规模块：</w:t>
      </w:r>
    </w:p>
    <w:p>
      <w:pPr>
        <w:numPr>
          <w:numId w:val="7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从宪法状态读取</w:t>
      </w:r>
      <w:r>
        <w:rPr>
          <w:rFonts w:eastAsia="Consolas" w:ascii="Consolas" w:cs="Consolas" w:hAnsi="Consolas"/>
          <w:sz w:val="22"/>
          <w:shd w:fill="EFF0F1"/>
        </w:rPr>
        <w:t>ASSET_COMPLIANCE_MIN_STANDARD</w:t>
      </w:r>
      <w:r>
        <w:rPr>
          <w:rFonts w:eastAsia="等线" w:ascii="Arial" w:cs="Arial" w:hAnsi="Arial"/>
          <w:sz w:val="22"/>
        </w:rPr>
        <w:t>（要求KYC≥2、法律意见书等）。</w:t>
      </w:r>
    </w:p>
    <w:p>
      <w:pPr>
        <w:numPr>
          <w:numId w:val="7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AI验证法律文件真伪，确认发行方KYC等级。</w:t>
      </w:r>
    </w:p>
    <w:p>
      <w:pPr>
        <w:numPr>
          <w:numId w:val="7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结果生成</w:t>
      </w:r>
      <w:r>
        <w:rPr>
          <w:rFonts w:eastAsia="Consolas" w:ascii="Consolas" w:cs="Consolas" w:hAnsi="Consolas"/>
          <w:sz w:val="22"/>
          <w:shd w:fill="EFF0F1"/>
        </w:rPr>
        <w:t>ComplianceResult</w:t>
      </w:r>
      <w:r>
        <w:rPr>
          <w:rFonts w:eastAsia="等线" w:ascii="Arial" w:cs="Arial" w:hAnsi="Arial"/>
          <w:sz w:val="22"/>
        </w:rPr>
        <w:t>，发送至CEE。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CEE验证结果与宪法一致，签发</w:t>
      </w:r>
      <w:r>
        <w:rPr>
          <w:rFonts w:eastAsia="Consolas" w:ascii="Consolas" w:cs="Consolas" w:hAnsi="Consolas"/>
          <w:sz w:val="22"/>
          <w:shd w:fill="EFF0F1"/>
        </w:rPr>
        <w:t>CR_compliance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若失败，状态置为</w:t>
      </w:r>
      <w:r>
        <w:rPr>
          <w:rFonts w:eastAsia="Consolas" w:ascii="Consolas" w:cs="Consolas" w:hAnsi="Consolas"/>
          <w:sz w:val="22"/>
          <w:shd w:fill="EFF0F1"/>
        </w:rPr>
        <w:t>Failed</w:t>
      </w:r>
      <w:r>
        <w:rPr>
          <w:rFonts w:eastAsia="等线" w:ascii="Arial" w:cs="Arial" w:hAnsi="Arial"/>
          <w:sz w:val="22"/>
        </w:rPr>
        <w:t>，通知用户。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3.3 资产估值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编排引擎调用AI估值模块：</w:t>
      </w:r>
    </w:p>
    <w:p>
      <w:pPr>
        <w:numPr>
          <w:numId w:val="7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聚合预言机数据（如区域房价指数）。</w:t>
      </w:r>
    </w:p>
    <w:p>
      <w:pPr>
        <w:numPr>
          <w:numId w:val="7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运行估值模型，输出</w:t>
      </w:r>
      <w:r>
        <w:rPr>
          <w:rFonts w:eastAsia="Consolas" w:ascii="Consolas" w:cs="Consolas" w:hAnsi="Consolas"/>
          <w:sz w:val="22"/>
          <w:shd w:fill="EFF0F1"/>
        </w:rPr>
        <w:t>ValuationResult</w:t>
      </w:r>
      <w:r>
        <w:rPr>
          <w:rFonts w:eastAsia="等线" w:ascii="Arial" w:cs="Arial" w:hAnsi="Arial"/>
          <w:sz w:val="22"/>
        </w:rPr>
        <w:t>（以SDR计价）。</w:t>
      </w:r>
    </w:p>
    <w:p>
      <w:pPr>
        <w:numPr>
          <w:numId w:val="7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发送至CEE，CEE验证估值方法是否符合宪法（如折现率参数），签发</w:t>
      </w:r>
      <w:r>
        <w:rPr>
          <w:rFonts w:eastAsia="Consolas" w:ascii="Consolas" w:cs="Consolas" w:hAnsi="Consolas"/>
          <w:sz w:val="22"/>
          <w:shd w:fill="EFF0F1"/>
        </w:rPr>
        <w:t>CR_valuation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3.4 DNA生成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编排引擎调用DNA生成模块：</w:t>
      </w:r>
    </w:p>
    <w:p>
      <w:pPr>
        <w:numPr>
          <w:numId w:val="8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根据资产类型、风险权重（从合规结果映射）、合规等级等生成GNACS。</w:t>
      </w:r>
    </w:p>
    <w:p>
      <w:pPr>
        <w:numPr>
          <w:numId w:val="8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创建DNA结构，计算DNA哈希。</w:t>
      </w:r>
    </w:p>
    <w:p>
      <w:pPr>
        <w:numPr>
          <w:numId w:val="8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发送至CEE，CEE验证GNACS格式（调用</w:t>
      </w:r>
      <w:r>
        <w:rPr>
          <w:rFonts w:eastAsia="Consolas" w:ascii="Consolas" w:cs="Consolas" w:hAnsi="Consolas"/>
          <w:sz w:val="22"/>
          <w:shd w:fill="EFF0F1"/>
        </w:rPr>
        <w:t>GNACS_VALIDATE</w:t>
      </w:r>
      <w:r>
        <w:rPr>
          <w:rFonts w:eastAsia="等线" w:ascii="Arial" w:cs="Arial" w:hAnsi="Arial"/>
          <w:sz w:val="22"/>
        </w:rPr>
        <w:t>指令），签发</w:t>
      </w:r>
      <w:r>
        <w:rPr>
          <w:rFonts w:eastAsia="Consolas" w:ascii="Consolas" w:cs="Consolas" w:hAnsi="Consolas"/>
          <w:sz w:val="22"/>
          <w:shd w:fill="EFF0F1"/>
        </w:rPr>
        <w:t>CR_dna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3.5 托管对接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编排引擎调用托管模块：</w:t>
      </w:r>
    </w:p>
    <w:p>
      <w:pPr>
        <w:numPr>
          <w:numId w:val="8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从宪法白名单中选择合适托管机构（根据资产类型、管辖权）。</w:t>
      </w:r>
    </w:p>
    <w:p>
      <w:pPr>
        <w:numPr>
          <w:numId w:val="8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向托管机构API发送请求，附带资产DNA、估值、法律文件。</w:t>
      </w:r>
    </w:p>
    <w:p>
      <w:pPr>
        <w:numPr>
          <w:numId w:val="8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托管机构返回</w:t>
      </w:r>
      <w:r>
        <w:rPr>
          <w:rFonts w:eastAsia="Consolas" w:ascii="Consolas" w:cs="Consolas" w:hAnsi="Consolas"/>
          <w:sz w:val="22"/>
          <w:shd w:fill="EFF0F1"/>
        </w:rPr>
        <w:t>CustodyReceipt</w:t>
      </w:r>
      <w:r>
        <w:rPr>
          <w:rFonts w:eastAsia="等线" w:ascii="Arial" w:cs="Arial" w:hAnsi="Arial"/>
          <w:sz w:val="22"/>
        </w:rPr>
        <w:t>（含数字签名）。</w:t>
      </w:r>
    </w:p>
    <w:p>
      <w:pPr>
        <w:numPr>
          <w:numId w:val="8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发送至CEE，CEE验证托管机构公钥在白名单内，签发</w:t>
      </w:r>
      <w:r>
        <w:rPr>
          <w:rFonts w:eastAsia="Consolas" w:ascii="Consolas" w:cs="Consolas" w:hAnsi="Consolas"/>
          <w:sz w:val="22"/>
          <w:shd w:fill="EFF0F1"/>
        </w:rPr>
        <w:t>CR_custody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3.6 XTZH铸造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编排引擎调用XTZH模块：</w:t>
      </w:r>
    </w:p>
    <w:p>
      <w:pPr>
        <w:numPr>
          <w:numId w:val="8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计算应铸造XTZH数量 = 估值 × 125%（宪法</w:t>
      </w:r>
      <w:r>
        <w:rPr>
          <w:rFonts w:eastAsia="Consolas" w:ascii="Consolas" w:cs="Consolas" w:hAnsi="Consolas"/>
          <w:sz w:val="22"/>
          <w:shd w:fill="EFF0F1"/>
        </w:rPr>
        <w:t>XTZH_GOLD_COVERAGE</w:t>
      </w:r>
      <w:r>
        <w:rPr>
          <w:rFonts w:eastAsia="等线" w:ascii="Arial" w:cs="Arial" w:hAnsi="Arial"/>
          <w:sz w:val="22"/>
        </w:rPr>
        <w:t>强制）。</w:t>
      </w:r>
    </w:p>
    <w:p>
      <w:pPr>
        <w:numPr>
          <w:numId w:val="8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构造铸造交易，附带</w:t>
      </w:r>
      <w:r>
        <w:rPr>
          <w:rFonts w:eastAsia="Consolas" w:ascii="Consolas" w:cs="Consolas" w:hAnsi="Consolas"/>
          <w:sz w:val="22"/>
          <w:shd w:fill="EFF0F1"/>
        </w:rPr>
        <w:t>CR_compliance</w:t>
      </w:r>
      <w:r>
        <w:rPr>
          <w:rFonts w:eastAsia="等线" w:ascii="Arial" w:cs="Arial" w:hAnsi="Arial"/>
          <w:sz w:val="22"/>
        </w:rPr>
        <w:t xml:space="preserve">, </w:t>
      </w:r>
      <w:r>
        <w:rPr>
          <w:rFonts w:eastAsia="Consolas" w:ascii="Consolas" w:cs="Consolas" w:hAnsi="Consolas"/>
          <w:sz w:val="22"/>
          <w:shd w:fill="EFF0F1"/>
        </w:rPr>
        <w:t>CR_valuation</w:t>
      </w:r>
      <w:r>
        <w:rPr>
          <w:rFonts w:eastAsia="等线" w:ascii="Arial" w:cs="Arial" w:hAnsi="Arial"/>
          <w:sz w:val="22"/>
        </w:rPr>
        <w:t xml:space="preserve">, </w:t>
      </w:r>
      <w:r>
        <w:rPr>
          <w:rFonts w:eastAsia="Consolas" w:ascii="Consolas" w:cs="Consolas" w:hAnsi="Consolas"/>
          <w:sz w:val="22"/>
          <w:shd w:fill="EFF0F1"/>
        </w:rPr>
        <w:t>CR_dna</w:t>
      </w:r>
      <w:r>
        <w:rPr>
          <w:rFonts w:eastAsia="等线" w:ascii="Arial" w:cs="Arial" w:hAnsi="Arial"/>
          <w:sz w:val="22"/>
        </w:rPr>
        <w:t xml:space="preserve">, </w:t>
      </w:r>
      <w:r>
        <w:rPr>
          <w:rFonts w:eastAsia="Consolas" w:ascii="Consolas" w:cs="Consolas" w:hAnsi="Consolas"/>
          <w:sz w:val="22"/>
          <w:shd w:fill="EFF0F1"/>
        </w:rPr>
        <w:t>CR_custody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8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提交交易至网络，CBP验证所有CR有效后打包。</w:t>
      </w:r>
    </w:p>
    <w:p>
      <w:pPr>
        <w:numPr>
          <w:numId w:val="9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XTZH铸造完成，发行方账户收到XTZH。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3.7 权益代币发行</w:t>
      </w:r>
      <w:bookmarkEnd w:id="2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编排引擎调用代币发行模块：</w:t>
      </w:r>
    </w:p>
    <w:p>
      <w:pPr>
        <w:numPr>
          <w:numId w:val="9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根据资产类型选择合约模板（如</w:t>
      </w:r>
      <w:r>
        <w:rPr>
          <w:rFonts w:eastAsia="Consolas" w:ascii="Consolas" w:cs="Consolas" w:hAnsi="Consolas"/>
          <w:sz w:val="22"/>
          <w:shd w:fill="EFF0F1"/>
        </w:rPr>
        <w:t>RealEstateToken.charter</w:t>
      </w:r>
      <w:r>
        <w:rPr>
          <w:rFonts w:eastAsia="等线" w:ascii="Arial" w:cs="Arial" w:hAnsi="Arial"/>
          <w:sz w:val="22"/>
        </w:rPr>
        <w:t>）。</w:t>
      </w:r>
    </w:p>
    <w:p>
      <w:pPr>
        <w:numPr>
          <w:numId w:val="9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部署合约，设置GNACS、总供应量、初始持有者（发行方）。</w:t>
      </w:r>
    </w:p>
    <w:p>
      <w:pPr>
        <w:numPr>
          <w:numId w:val="9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交易中附带所有历史CR，确保合规。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3.8 链上公示</w:t>
      </w:r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编排引擎调用公示模块：</w:t>
      </w:r>
    </w:p>
    <w:p>
      <w:pPr>
        <w:numPr>
          <w:numId w:val="9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向浏览器API注册资产元数据。</w:t>
      </w:r>
    </w:p>
    <w:p>
      <w:pPr>
        <w:numPr>
          <w:numId w:val="9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向合作钱包推送代币信息。</w:t>
      </w:r>
    </w:p>
    <w:p>
      <w:pPr>
        <w:numPr>
          <w:numId w:val="9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向合作交易所提交自动上币申请（交易所节点验证CR后自动通过）。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3.9 完成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状态置为</w:t>
      </w:r>
      <w:r>
        <w:rPr>
          <w:rFonts w:eastAsia="Consolas" w:ascii="Consolas" w:cs="Consolas" w:hAnsi="Consolas"/>
          <w:sz w:val="22"/>
          <w:shd w:fill="EFF0F1"/>
        </w:rPr>
        <w:t>Listed</w:t>
      </w:r>
      <w:r>
        <w:rPr>
          <w:rFonts w:eastAsia="等线" w:ascii="Arial" w:cs="Arial" w:hAnsi="Arial"/>
          <w:sz w:val="22"/>
        </w:rPr>
        <w:t>，用户收到通知。整个流程可在数分钟内完成（取决于托管机构响应）。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3" w:id="23"/>
      <w:r>
        <w:rPr>
          <w:rFonts w:eastAsia="等线" w:ascii="Arial" w:cs="Arial" w:hAnsi="Arial"/>
          <w:b w:val="true"/>
          <w:sz w:val="36"/>
        </w:rPr>
        <w:t>四、技术实现细节</w:t>
      </w:r>
      <w:bookmarkEnd w:id="2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4.1 宪法规则示例（CNNL）</w:t>
      </w:r>
      <w:bookmarkEnd w:id="2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constitution ASSET_COMPLIANCE_MIN_STANDARD</w:t>
              <w:br/>
              <w:t xml:space="preserve">    level strategic</w:t>
              <w:br/>
              <w:t xml:space="preserve">    description "资产上链最低合规要求"</w:t>
              <w:br/>
              <w:t xml:space="preserve">    for_each asset</w:t>
              <w:br/>
              <w:t xml:space="preserve">    requires:</w:t>
              <w:br/>
              <w:t xml:space="preserve">        asset.issuer.kyc_level &gt;= 2 and</w:t>
              <w:br/>
              <w:t xml:space="preserve">        exists legal_opinion (legal_opinion.asset == asset) and</w:t>
              <w:br/>
              <w:t xml:space="preserve">        exists custody_pro</w:t>
            </w:r>
            <w:r>
              <w:rPr>
                <w:rFonts w:eastAsia="Consolas" w:ascii="Consolas" w:cs="Consolas" w:hAnsi="Consolas"/>
                <w:sz w:val="22"/>
              </w:rPr>
              <w:t>of (custody_proof.asset == asset)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宪法状态文件自动生成相应常量，供AI模块调用。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5" w:id="25"/>
      <w:r>
        <w:rPr>
          <w:rFonts w:eastAsia="等线" w:ascii="Arial" w:cs="Arial" w:hAnsi="Arial"/>
          <w:b w:val="true"/>
          <w:sz w:val="32"/>
        </w:rPr>
        <w:t>4.2 AI合规模型</w:t>
      </w:r>
      <w:bookmarkEnd w:id="25"/>
    </w:p>
    <w:p>
      <w:pPr>
        <w:numPr>
          <w:numId w:val="9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使用预训练NLP模型分析法律文件（如BERT变体），输出真伪评分。</w:t>
      </w:r>
    </w:p>
    <w:p>
      <w:pPr>
        <w:numPr>
          <w:numId w:val="9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模型在TEE中运行，结果附带远程认证报告。</w:t>
      </w:r>
    </w:p>
    <w:p>
      <w:pPr>
        <w:numPr>
          <w:numId w:val="9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模型版本由宪法附录管理，升级需辖区协商。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6" w:id="26"/>
      <w:r>
        <w:rPr>
          <w:rFonts w:eastAsia="等线" w:ascii="Arial" w:cs="Arial" w:hAnsi="Arial"/>
          <w:b w:val="true"/>
          <w:sz w:val="32"/>
        </w:rPr>
        <w:t>4.3 托管机构对接</w:t>
      </w:r>
      <w:bookmarkEnd w:id="26"/>
    </w:p>
    <w:p>
      <w:pPr>
        <w:numPr>
          <w:numId w:val="10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托管机构需在NAC注册，公钥存入宪法白名单。</w:t>
      </w:r>
    </w:p>
    <w:p>
      <w:pPr>
        <w:numPr>
          <w:numId w:val="10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托管API要求HTTPS + 数字签名，返回数据必须包含托管机构签名。</w:t>
      </w:r>
    </w:p>
    <w:p>
      <w:pPr>
        <w:numPr>
          <w:numId w:val="10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托管凭证哈希上链，后续审计可追溯。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7" w:id="27"/>
      <w:r>
        <w:rPr>
          <w:rFonts w:eastAsia="等线" w:ascii="Arial" w:cs="Arial" w:hAnsi="Arial"/>
          <w:b w:val="true"/>
          <w:sz w:val="32"/>
        </w:rPr>
        <w:t>4.4 宪法收据聚合</w:t>
      </w:r>
      <w:bookmarkEnd w:id="2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一笔上链交易可能包含多个CR，区块中存储</w:t>
      </w:r>
      <w:r>
        <w:rPr>
          <w:rFonts w:eastAsia="Consolas" w:ascii="Consolas" w:cs="Consolas" w:hAnsi="Consolas"/>
          <w:sz w:val="22"/>
          <w:shd w:fill="EFF0F1"/>
        </w:rPr>
        <w:t>receipt_root</w:t>
      </w:r>
      <w:r>
        <w:rPr>
          <w:rFonts w:eastAsia="等线" w:ascii="Arial" w:cs="Arial" w:hAnsi="Arial"/>
          <w:sz w:val="22"/>
        </w:rPr>
        <w:t>，所有CR的默克尔根。节点验证时并行验证所有CR。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8" w:id="28"/>
      <w:r>
        <w:rPr>
          <w:rFonts w:eastAsia="等线" w:ascii="Arial" w:cs="Arial" w:hAnsi="Arial"/>
          <w:b w:val="true"/>
          <w:sz w:val="32"/>
        </w:rPr>
        <w:t>4.5 一键上链CLI</w:t>
      </w:r>
      <w:bookmarkEnd w:id="28"/>
    </w:p>
    <w:p>
      <w:p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sz w:val="22"/>
          <w:shd w:fill="EFF0F1"/>
        </w:rPr>
        <w:t>nac-toolbox</w:t>
      </w:r>
      <w:r>
        <w:rPr>
          <w:rFonts w:eastAsia="等线" w:ascii="Arial" w:cs="Arial" w:hAnsi="Arial"/>
          <w:sz w:val="22"/>
        </w:rPr>
        <w:t>新增命令：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bash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nac asset create          # 交互式创建资产</w:t>
              <w:br/>
              <w:t>nac asset status &lt;id&gt;     # 查看进度</w:t>
              <w:br/>
              <w:t xml:space="preserve">nac asset list           </w:t>
            </w:r>
            <w:r>
              <w:rPr>
                <w:rFonts w:eastAsia="Consolas" w:ascii="Consolas" w:cs="Consolas" w:hAnsi="Consolas"/>
                <w:sz w:val="22"/>
              </w:rPr>
              <w:t xml:space="preserve"> # 列出用户资产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9" w:id="29"/>
      <w:r>
        <w:rPr>
          <w:rFonts w:eastAsia="等线" w:ascii="Arial" w:cs="Arial" w:hAnsi="Arial"/>
          <w:b w:val="true"/>
          <w:sz w:val="32"/>
        </w:rPr>
        <w:t>4.6 宪法沙箱支持</w:t>
      </w:r>
      <w:bookmarkEnd w:id="2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用户可在提交前使用</w:t>
      </w:r>
      <w:r>
        <w:rPr>
          <w:rFonts w:eastAsia="Consolas" w:ascii="Consolas" w:cs="Consolas" w:hAnsi="Consolas"/>
          <w:sz w:val="22"/>
          <w:shd w:fill="EFF0F1"/>
        </w:rPr>
        <w:t>nac sandbox</w:t>
      </w:r>
      <w:r>
        <w:rPr>
          <w:rFonts w:eastAsia="等线" w:ascii="Arial" w:cs="Arial" w:hAnsi="Arial"/>
          <w:sz w:val="22"/>
        </w:rPr>
        <w:t>模拟上链流程，查看合规性和估值结果。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0" w:id="30"/>
      <w:r>
        <w:rPr>
          <w:rFonts w:eastAsia="等线" w:ascii="Arial" w:cs="Arial" w:hAnsi="Arial"/>
          <w:b w:val="true"/>
          <w:sz w:val="36"/>
        </w:rPr>
        <w:t>五、安全与合规</w:t>
      </w:r>
      <w:bookmarkEnd w:id="3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1" w:id="31"/>
      <w:r>
        <w:rPr>
          <w:rFonts w:eastAsia="等线" w:ascii="Arial" w:cs="Arial" w:hAnsi="Arial"/>
          <w:b w:val="true"/>
          <w:sz w:val="32"/>
        </w:rPr>
        <w:t>5.1 宪法保障</w:t>
      </w:r>
      <w:bookmarkEnd w:id="31"/>
    </w:p>
    <w:p>
      <w:pPr>
        <w:numPr>
          <w:numId w:val="10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所有规则来自宪法，AI无权自行决定。</w:t>
      </w:r>
    </w:p>
    <w:p>
      <w:pPr>
        <w:numPr>
          <w:numId w:val="10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宪法升级需辖区协商，保证规则稳定。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2" w:id="32"/>
      <w:r>
        <w:rPr>
          <w:rFonts w:eastAsia="等线" w:ascii="Arial" w:cs="Arial" w:hAnsi="Arial"/>
          <w:b w:val="true"/>
          <w:sz w:val="32"/>
        </w:rPr>
        <w:t>5.2 数据隐私</w:t>
      </w:r>
      <w:bookmarkEnd w:id="32"/>
    </w:p>
    <w:p>
      <w:pPr>
        <w:numPr>
          <w:numId w:val="10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法律文件等敏感信息仅存IPFS，链上存哈希。</w:t>
      </w:r>
    </w:p>
    <w:p>
      <w:pPr>
        <w:numPr>
          <w:numId w:val="10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AI模块在TEE中运行，保证数据不外泄。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3" w:id="33"/>
      <w:r>
        <w:rPr>
          <w:rFonts w:eastAsia="等线" w:ascii="Arial" w:cs="Arial" w:hAnsi="Arial"/>
          <w:b w:val="true"/>
          <w:sz w:val="32"/>
        </w:rPr>
        <w:t>5.3 抗攻击</w:t>
      </w:r>
      <w:bookmarkEnd w:id="33"/>
    </w:p>
    <w:p>
      <w:pPr>
        <w:numPr>
          <w:numId w:val="10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预言机数据采用中位数聚合，抗单点操纵。</w:t>
      </w:r>
    </w:p>
    <w:p>
      <w:pPr>
        <w:numPr>
          <w:numId w:val="10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托管机构白名单由宪法管理，定期审计。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4" w:id="34"/>
      <w:r>
        <w:rPr>
          <w:rFonts w:eastAsia="等线" w:ascii="Arial" w:cs="Arial" w:hAnsi="Arial"/>
          <w:b w:val="true"/>
          <w:sz w:val="32"/>
        </w:rPr>
        <w:t>5.4 审计追踪</w:t>
      </w:r>
      <w:bookmarkEnd w:id="3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每一步生成CR，全流程可追溯。宪法免疫系统实时监控异常。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5" w:id="35"/>
      <w:r>
        <w:rPr>
          <w:rFonts w:eastAsia="等线" w:ascii="Arial" w:cs="Arial" w:hAnsi="Arial"/>
          <w:b w:val="true"/>
          <w:sz w:val="36"/>
        </w:rPr>
        <w:t>六、治理与宪法约束</w:t>
      </w:r>
      <w:bookmarkEnd w:id="3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6" w:id="36"/>
      <w:r>
        <w:rPr>
          <w:rFonts w:eastAsia="等线" w:ascii="Arial" w:cs="Arial" w:hAnsi="Arial"/>
          <w:b w:val="true"/>
          <w:sz w:val="32"/>
        </w:rPr>
        <w:t>6.1 资产类型扩展</w:t>
      </w:r>
      <w:bookmarkEnd w:id="3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新资产类型需通过宪法修正案添加，定义其合规规则、估值模型参数。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7" w:id="37"/>
      <w:r>
        <w:rPr>
          <w:rFonts w:eastAsia="等线" w:ascii="Arial" w:cs="Arial" w:hAnsi="Arial"/>
          <w:b w:val="true"/>
          <w:sz w:val="32"/>
        </w:rPr>
        <w:t>6.2 托管机构准入/退出</w:t>
      </w:r>
      <w:bookmarkEnd w:id="3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托管机构加入需辖区代表签署，列入宪法白名单。退出需提前通知，并完成已托管资产的交接。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8" w:id="38"/>
      <w:r>
        <w:rPr>
          <w:rFonts w:eastAsia="等线" w:ascii="Arial" w:cs="Arial" w:hAnsi="Arial"/>
          <w:b w:val="true"/>
          <w:sz w:val="32"/>
        </w:rPr>
        <w:t>6.3 XTZH铸造参数</w:t>
      </w:r>
      <w:bookmarkEnd w:id="3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宪法条款</w:t>
      </w:r>
      <w:r>
        <w:rPr>
          <w:rFonts w:eastAsia="Consolas" w:ascii="Consolas" w:cs="Consolas" w:hAnsi="Consolas"/>
          <w:sz w:val="22"/>
          <w:shd w:fill="EFF0F1"/>
        </w:rPr>
        <w:t>XTZH_GOLD_COVERAGE</w:t>
      </w:r>
      <w:r>
        <w:rPr>
          <w:rFonts w:eastAsia="等线" w:ascii="Arial" w:cs="Arial" w:hAnsi="Arial"/>
          <w:sz w:val="22"/>
        </w:rPr>
        <w:t>定义覆盖率底线（125%），任何修改需辖区协商。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9" w:id="39"/>
      <w:r>
        <w:rPr>
          <w:rFonts w:eastAsia="等线" w:ascii="Arial" w:cs="Arial" w:hAnsi="Arial"/>
          <w:b w:val="true"/>
          <w:sz w:val="32"/>
        </w:rPr>
        <w:t>6.4 估值模型更新</w:t>
      </w:r>
      <w:bookmarkEnd w:id="3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估值模型版本由宪法附录管理，升级需辖区代表三分之二同意。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0" w:id="40"/>
      <w:r>
        <w:rPr>
          <w:rFonts w:eastAsia="等线" w:ascii="Arial" w:cs="Arial" w:hAnsi="Arial"/>
          <w:b w:val="true"/>
          <w:sz w:val="36"/>
        </w:rPr>
        <w:t>七、实施路线图</w:t>
      </w:r>
      <w:bookmarkEnd w:id="4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阶段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时间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交付物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Phase 1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</w:t>
            </w:r>
            <w:r>
              <w:rPr>
                <w:rFonts w:eastAsia="等线" w:ascii="Arial" w:cs="Arial" w:hAnsi="Arial"/>
                <w:sz w:val="22"/>
              </w:rPr>
              <w:t>6.02-03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一键上链编排引擎原型，支持基本资产</w:t>
            </w:r>
            <w:r>
              <w:rPr>
                <w:rFonts w:eastAsia="等线" w:ascii="Arial" w:cs="Arial" w:hAnsi="Arial"/>
                <w:sz w:val="22"/>
              </w:rPr>
              <w:t>类型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Phase 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</w:t>
            </w:r>
            <w:r>
              <w:rPr>
                <w:rFonts w:eastAsia="等线" w:ascii="Arial" w:cs="Arial" w:hAnsi="Arial"/>
                <w:sz w:val="22"/>
              </w:rPr>
              <w:t>03-04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AI合规/估值模块集成，宪法收据签发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Phase 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2026.04-05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托管机构对接协议标准化，首个试点托管</w:t>
            </w:r>
            <w:r>
              <w:rPr>
                <w:rFonts w:eastAsia="等线" w:ascii="Arial" w:cs="Arial" w:hAnsi="Arial"/>
                <w:sz w:val="22"/>
              </w:rPr>
              <w:t>机构接入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Phase 4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</w:t>
            </w:r>
            <w:r>
              <w:rPr>
                <w:rFonts w:eastAsia="等线" w:ascii="Arial" w:cs="Arial" w:hAnsi="Arial"/>
                <w:sz w:val="22"/>
              </w:rPr>
              <w:t>.05-06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XTZH铸造与代币发行模块，浏览器/钱包</w:t>
            </w:r>
            <w:r>
              <w:rPr>
                <w:rFonts w:eastAsia="等线" w:ascii="Arial" w:cs="Arial" w:hAnsi="Arial"/>
                <w:sz w:val="22"/>
              </w:rPr>
              <w:t>自动注册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Phase 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</w:t>
            </w:r>
            <w:r>
              <w:rPr>
                <w:rFonts w:eastAsia="等线" w:ascii="Arial" w:cs="Arial" w:hAnsi="Arial"/>
                <w:sz w:val="22"/>
              </w:rPr>
              <w:t>.06-07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交易所自动上币对接，宪法沙箱支持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Phase 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2026.07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主网上线，首批资产一键上链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1" w:id="41"/>
      <w:r>
        <w:rPr>
          <w:rFonts w:eastAsia="等线" w:ascii="Arial" w:cs="Arial" w:hAnsi="Arial"/>
          <w:b w:val="true"/>
          <w:sz w:val="36"/>
        </w:rPr>
        <w:t>八、结论</w:t>
      </w:r>
      <w:bookmarkEnd w:id="4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公链的一键上链系统，通过宪法驱动、AI执行、全流程自动化，彻底改变了RWA上链的方式。它不再是耗时数周、成本高昂的复杂工程，而是普通用户也能轻松操作的“一键式”服务。所有规则透明、可审计、不可干预，确保合规与安全。这是NAC“完美中心化框架下的去中心化”理念在资产上链领域的最佳实践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：NAC资产上链工作组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254697">
    <w:lvl>
      <w:numFmt w:val="bullet"/>
      <w:suff w:val="tab"/>
      <w:lvlText w:val="•"/>
      <w:rPr>
        <w:color w:val="3370ff"/>
      </w:rPr>
    </w:lvl>
  </w:abstractNum>
  <w:abstractNum w:abstractNumId="254698">
    <w:lvl>
      <w:numFmt w:val="bullet"/>
      <w:suff w:val="tab"/>
      <w:lvlText w:val="•"/>
      <w:rPr>
        <w:color w:val="3370ff"/>
      </w:rPr>
    </w:lvl>
  </w:abstractNum>
  <w:abstractNum w:abstractNumId="254699">
    <w:lvl>
      <w:numFmt w:val="bullet"/>
      <w:suff w:val="tab"/>
      <w:lvlText w:val="•"/>
      <w:rPr>
        <w:color w:val="3370ff"/>
      </w:rPr>
    </w:lvl>
  </w:abstractNum>
  <w:abstractNum w:abstractNumId="254700">
    <w:lvl>
      <w:numFmt w:val="bullet"/>
      <w:suff w:val="tab"/>
      <w:lvlText w:val="•"/>
      <w:rPr>
        <w:color w:val="3370ff"/>
      </w:rPr>
    </w:lvl>
  </w:abstractNum>
  <w:abstractNum w:abstractNumId="254701">
    <w:lvl>
      <w:numFmt w:val="bullet"/>
      <w:suff w:val="tab"/>
      <w:lvlText w:val="•"/>
      <w:rPr>
        <w:color w:val="3370ff"/>
      </w:rPr>
    </w:lvl>
  </w:abstractNum>
  <w:abstractNum w:abstractNumId="254702">
    <w:lvl>
      <w:numFmt w:val="bullet"/>
      <w:suff w:val="tab"/>
      <w:lvlText w:val="•"/>
      <w:rPr>
        <w:color w:val="3370ff"/>
      </w:rPr>
    </w:lvl>
  </w:abstractNum>
  <w:abstractNum w:abstractNumId="254703">
    <w:lvl>
      <w:numFmt w:val="bullet"/>
      <w:suff w:val="tab"/>
      <w:lvlText w:val="•"/>
      <w:rPr>
        <w:color w:val="3370ff"/>
      </w:rPr>
    </w:lvl>
  </w:abstractNum>
  <w:abstractNum w:abstractNumId="254704">
    <w:lvl>
      <w:numFmt w:val="bullet"/>
      <w:suff w:val="tab"/>
      <w:lvlText w:val="•"/>
      <w:rPr>
        <w:color w:val="3370ff"/>
      </w:rPr>
    </w:lvl>
  </w:abstractNum>
  <w:abstractNum w:abstractNumId="254705">
    <w:lvl>
      <w:numFmt w:val="bullet"/>
      <w:suff w:val="tab"/>
      <w:lvlText w:val="•"/>
      <w:rPr>
        <w:color w:val="3370ff"/>
      </w:rPr>
    </w:lvl>
  </w:abstractNum>
  <w:abstractNum w:abstractNumId="254706">
    <w:lvl>
      <w:numFmt w:val="bullet"/>
      <w:suff w:val="tab"/>
      <w:lvlText w:val="•"/>
      <w:rPr>
        <w:color w:val="3370ff"/>
      </w:rPr>
    </w:lvl>
  </w:abstractNum>
  <w:abstractNum w:abstractNumId="254707">
    <w:lvl>
      <w:numFmt w:val="bullet"/>
      <w:suff w:val="tab"/>
      <w:lvlText w:val="•"/>
      <w:rPr>
        <w:color w:val="3370ff"/>
      </w:rPr>
    </w:lvl>
  </w:abstractNum>
  <w:abstractNum w:abstractNumId="254708">
    <w:lvl>
      <w:numFmt w:val="bullet"/>
      <w:suff w:val="tab"/>
      <w:lvlText w:val="•"/>
      <w:rPr>
        <w:color w:val="3370ff"/>
      </w:rPr>
    </w:lvl>
  </w:abstractNum>
  <w:abstractNum w:abstractNumId="254709">
    <w:lvl>
      <w:numFmt w:val="bullet"/>
      <w:suff w:val="tab"/>
      <w:lvlText w:val="•"/>
      <w:rPr>
        <w:color w:val="3370ff"/>
      </w:rPr>
    </w:lvl>
  </w:abstractNum>
  <w:abstractNum w:abstractNumId="254710">
    <w:lvl>
      <w:numFmt w:val="bullet"/>
      <w:suff w:val="tab"/>
      <w:lvlText w:val="•"/>
      <w:rPr>
        <w:color w:val="3370ff"/>
      </w:rPr>
    </w:lvl>
  </w:abstractNum>
  <w:abstractNum w:abstractNumId="254711">
    <w:lvl>
      <w:numFmt w:val="bullet"/>
      <w:suff w:val="tab"/>
      <w:lvlText w:val="•"/>
      <w:rPr>
        <w:color w:val="3370ff"/>
      </w:rPr>
    </w:lvl>
  </w:abstractNum>
  <w:abstractNum w:abstractNumId="254712">
    <w:lvl>
      <w:numFmt w:val="bullet"/>
      <w:suff w:val="tab"/>
      <w:lvlText w:val="￮"/>
      <w:rPr>
        <w:color w:val="3370ff"/>
      </w:rPr>
    </w:lvl>
  </w:abstractNum>
  <w:abstractNum w:abstractNumId="254713">
    <w:lvl>
      <w:numFmt w:val="bullet"/>
      <w:suff w:val="tab"/>
      <w:lvlText w:val="￮"/>
      <w:rPr>
        <w:color w:val="3370ff"/>
      </w:rPr>
    </w:lvl>
  </w:abstractNum>
  <w:abstractNum w:abstractNumId="254714">
    <w:lvl>
      <w:numFmt w:val="bullet"/>
      <w:suff w:val="tab"/>
      <w:lvlText w:val="￮"/>
      <w:rPr>
        <w:color w:val="3370ff"/>
      </w:rPr>
    </w:lvl>
  </w:abstractNum>
  <w:abstractNum w:abstractNumId="254715">
    <w:lvl>
      <w:numFmt w:val="bullet"/>
      <w:suff w:val="tab"/>
      <w:lvlText w:val="￮"/>
      <w:rPr>
        <w:color w:val="3370ff"/>
      </w:rPr>
    </w:lvl>
  </w:abstractNum>
  <w:abstractNum w:abstractNumId="254716">
    <w:lvl>
      <w:numFmt w:val="bullet"/>
      <w:suff w:val="tab"/>
      <w:lvlText w:val="￮"/>
      <w:rPr>
        <w:color w:val="3370ff"/>
      </w:rPr>
    </w:lvl>
  </w:abstractNum>
  <w:abstractNum w:abstractNumId="254717">
    <w:lvl>
      <w:numFmt w:val="bullet"/>
      <w:suff w:val="tab"/>
      <w:lvlText w:val="￮"/>
      <w:rPr>
        <w:color w:val="3370ff"/>
      </w:rPr>
    </w:lvl>
  </w:abstractNum>
  <w:abstractNum w:abstractNumId="254718">
    <w:lvl>
      <w:numFmt w:val="bullet"/>
      <w:suff w:val="tab"/>
      <w:lvlText w:val="￮"/>
      <w:rPr>
        <w:color w:val="3370ff"/>
      </w:rPr>
    </w:lvl>
  </w:abstractNum>
  <w:abstractNum w:abstractNumId="254719">
    <w:lvl>
      <w:numFmt w:val="bullet"/>
      <w:suff w:val="tab"/>
      <w:lvlText w:val="￮"/>
      <w:rPr>
        <w:color w:val="3370ff"/>
      </w:rPr>
    </w:lvl>
  </w:abstractNum>
  <w:abstractNum w:abstractNumId="254720">
    <w:lvl>
      <w:numFmt w:val="bullet"/>
      <w:suff w:val="tab"/>
      <w:lvlText w:val="￮"/>
      <w:rPr>
        <w:color w:val="3370ff"/>
      </w:rPr>
    </w:lvl>
  </w:abstractNum>
  <w:abstractNum w:abstractNumId="254721">
    <w:lvl>
      <w:numFmt w:val="bullet"/>
      <w:suff w:val="tab"/>
      <w:lvlText w:val="•"/>
      <w:rPr>
        <w:color w:val="3370ff"/>
      </w:rPr>
    </w:lvl>
  </w:abstractNum>
  <w:abstractNum w:abstractNumId="254722">
    <w:lvl>
      <w:numFmt w:val="bullet"/>
      <w:suff w:val="tab"/>
      <w:lvlText w:val="•"/>
      <w:rPr>
        <w:color w:val="3370ff"/>
      </w:rPr>
    </w:lvl>
  </w:abstractNum>
  <w:abstractNum w:abstractNumId="254723">
    <w:lvl>
      <w:numFmt w:val="bullet"/>
      <w:suff w:val="tab"/>
      <w:lvlText w:val="•"/>
      <w:rPr>
        <w:color w:val="3370ff"/>
      </w:rPr>
    </w:lvl>
  </w:abstractNum>
  <w:abstractNum w:abstractNumId="254724">
    <w:lvl>
      <w:start w:val="1"/>
      <w:numFmt w:val="lowerLetter"/>
      <w:suff w:val="tab"/>
      <w:lvlText w:val="%1."/>
      <w:rPr>
        <w:color w:val="3370ff"/>
      </w:rPr>
    </w:lvl>
  </w:abstractNum>
  <w:abstractNum w:abstractNumId="254725">
    <w:lvl>
      <w:start w:val="2"/>
      <w:numFmt w:val="lowerLetter"/>
      <w:suff w:val="tab"/>
      <w:lvlText w:val="%1."/>
      <w:rPr>
        <w:color w:val="3370ff"/>
      </w:rPr>
    </w:lvl>
  </w:abstractNum>
  <w:abstractNum w:abstractNumId="254726">
    <w:lvl>
      <w:start w:val="3"/>
      <w:numFmt w:val="lowerLetter"/>
      <w:suff w:val="tab"/>
      <w:lvlText w:val="%1."/>
      <w:rPr>
        <w:color w:val="3370ff"/>
      </w:rPr>
    </w:lvl>
  </w:abstractNum>
  <w:abstractNum w:abstractNumId="254727">
    <w:lvl>
      <w:start w:val="4"/>
      <w:numFmt w:val="lowerLetter"/>
      <w:suff w:val="tab"/>
      <w:lvlText w:val="%1."/>
      <w:rPr>
        <w:color w:val="3370ff"/>
      </w:rPr>
    </w:lvl>
  </w:abstractNum>
  <w:abstractNum w:abstractNumId="254728">
    <w:lvl>
      <w:numFmt w:val="bullet"/>
      <w:suff w:val="tab"/>
      <w:lvlText w:val="•"/>
      <w:rPr>
        <w:color w:val="3370ff"/>
      </w:rPr>
    </w:lvl>
  </w:abstractNum>
  <w:abstractNum w:abstractNumId="254729">
    <w:lvl>
      <w:numFmt w:val="bullet"/>
      <w:suff w:val="tab"/>
      <w:lvlText w:val="•"/>
      <w:rPr>
        <w:color w:val="3370ff"/>
      </w:rPr>
    </w:lvl>
  </w:abstractNum>
  <w:abstractNum w:abstractNumId="254730">
    <w:lvl>
      <w:numFmt w:val="bullet"/>
      <w:suff w:val="tab"/>
      <w:lvlText w:val="•"/>
      <w:rPr>
        <w:color w:val="3370ff"/>
      </w:rPr>
    </w:lvl>
  </w:abstractNum>
  <w:abstractNum w:abstractNumId="254731">
    <w:lvl>
      <w:start w:val="1"/>
      <w:numFmt w:val="lowerLetter"/>
      <w:suff w:val="tab"/>
      <w:lvlText w:val="%1."/>
      <w:rPr>
        <w:color w:val="3370ff"/>
      </w:rPr>
    </w:lvl>
  </w:abstractNum>
  <w:abstractNum w:abstractNumId="254732">
    <w:lvl>
      <w:start w:val="2"/>
      <w:numFmt w:val="lowerLetter"/>
      <w:suff w:val="tab"/>
      <w:lvlText w:val="%1."/>
      <w:rPr>
        <w:color w:val="3370ff"/>
      </w:rPr>
    </w:lvl>
  </w:abstractNum>
  <w:abstractNum w:abstractNumId="254733">
    <w:lvl>
      <w:start w:val="3"/>
      <w:numFmt w:val="lowerLetter"/>
      <w:suff w:val="tab"/>
      <w:lvlText w:val="%1."/>
      <w:rPr>
        <w:color w:val="3370ff"/>
      </w:rPr>
    </w:lvl>
  </w:abstractNum>
  <w:abstractNum w:abstractNumId="254734">
    <w:lvl>
      <w:numFmt w:val="bullet"/>
      <w:suff w:val="tab"/>
      <w:lvlText w:val="•"/>
      <w:rPr>
        <w:color w:val="3370ff"/>
      </w:rPr>
    </w:lvl>
  </w:abstractNum>
  <w:abstractNum w:abstractNumId="254735">
    <w:lvl>
      <w:numFmt w:val="bullet"/>
      <w:suff w:val="tab"/>
      <w:lvlText w:val="•"/>
      <w:rPr>
        <w:color w:val="3370ff"/>
      </w:rPr>
    </w:lvl>
  </w:abstractNum>
  <w:abstractNum w:abstractNumId="254736">
    <w:lvl>
      <w:numFmt w:val="bullet"/>
      <w:suff w:val="tab"/>
      <w:lvlText w:val="•"/>
      <w:rPr>
        <w:color w:val="3370ff"/>
      </w:rPr>
    </w:lvl>
  </w:abstractNum>
  <w:abstractNum w:abstractNumId="254737">
    <w:lvl>
      <w:start w:val="1"/>
      <w:numFmt w:val="lowerLetter"/>
      <w:suff w:val="tab"/>
      <w:lvlText w:val="%1."/>
      <w:rPr>
        <w:color w:val="3370ff"/>
      </w:rPr>
    </w:lvl>
  </w:abstractNum>
  <w:abstractNum w:abstractNumId="254738">
    <w:lvl>
      <w:start w:val="2"/>
      <w:numFmt w:val="lowerLetter"/>
      <w:suff w:val="tab"/>
      <w:lvlText w:val="%1."/>
      <w:rPr>
        <w:color w:val="3370ff"/>
      </w:rPr>
    </w:lvl>
  </w:abstractNum>
  <w:abstractNum w:abstractNumId="254739">
    <w:lvl>
      <w:start w:val="3"/>
      <w:numFmt w:val="lowerLetter"/>
      <w:suff w:val="tab"/>
      <w:lvlText w:val="%1."/>
      <w:rPr>
        <w:color w:val="3370ff"/>
      </w:rPr>
    </w:lvl>
  </w:abstractNum>
  <w:abstractNum w:abstractNumId="254740">
    <w:lvl>
      <w:numFmt w:val="bullet"/>
      <w:suff w:val="tab"/>
      <w:lvlText w:val="•"/>
      <w:rPr>
        <w:color w:val="3370ff"/>
      </w:rPr>
    </w:lvl>
  </w:abstractNum>
  <w:abstractNum w:abstractNumId="254741">
    <w:lvl>
      <w:numFmt w:val="bullet"/>
      <w:suff w:val="tab"/>
      <w:lvlText w:val="•"/>
      <w:rPr>
        <w:color w:val="3370ff"/>
      </w:rPr>
    </w:lvl>
  </w:abstractNum>
  <w:abstractNum w:abstractNumId="254742">
    <w:lvl>
      <w:numFmt w:val="bullet"/>
      <w:suff w:val="tab"/>
      <w:lvlText w:val="•"/>
      <w:rPr>
        <w:color w:val="3370ff"/>
      </w:rPr>
    </w:lvl>
  </w:abstractNum>
  <w:abstractNum w:abstractNumId="254743">
    <w:lvl>
      <w:numFmt w:val="bullet"/>
      <w:suff w:val="tab"/>
      <w:lvlText w:val="￮"/>
      <w:rPr>
        <w:color w:val="3370ff"/>
      </w:rPr>
    </w:lvl>
  </w:abstractNum>
  <w:abstractNum w:abstractNumId="254744">
    <w:lvl>
      <w:numFmt w:val="bullet"/>
      <w:suff w:val="tab"/>
      <w:lvlText w:val="￮"/>
      <w:rPr>
        <w:color w:val="3370ff"/>
      </w:rPr>
    </w:lvl>
  </w:abstractNum>
  <w:abstractNum w:abstractNumId="254745">
    <w:lvl>
      <w:numFmt w:val="bullet"/>
      <w:suff w:val="tab"/>
      <w:lvlText w:val="•"/>
      <w:rPr>
        <w:color w:val="3370ff"/>
      </w:rPr>
    </w:lvl>
  </w:abstractNum>
  <w:abstractNum w:abstractNumId="254746">
    <w:lvl>
      <w:numFmt w:val="bullet"/>
      <w:suff w:val="tab"/>
      <w:lvlText w:val="•"/>
      <w:rPr>
        <w:color w:val="3370ff"/>
      </w:rPr>
    </w:lvl>
  </w:abstractNum>
  <w:abstractNum w:abstractNumId="254747">
    <w:lvl>
      <w:start w:val="1"/>
      <w:numFmt w:val="lowerLetter"/>
      <w:suff w:val="tab"/>
      <w:lvlText w:val="%1."/>
      <w:rPr>
        <w:color w:val="3370ff"/>
      </w:rPr>
    </w:lvl>
  </w:abstractNum>
  <w:abstractNum w:abstractNumId="254748">
    <w:lvl>
      <w:start w:val="2"/>
      <w:numFmt w:val="lowerLetter"/>
      <w:suff w:val="tab"/>
      <w:lvlText w:val="%1."/>
      <w:rPr>
        <w:color w:val="3370ff"/>
      </w:rPr>
    </w:lvl>
  </w:abstractNum>
  <w:abstractNum w:abstractNumId="254749">
    <w:lvl>
      <w:start w:val="3"/>
      <w:numFmt w:val="lowerLetter"/>
      <w:suff w:val="tab"/>
      <w:lvlText w:val="%1."/>
      <w:rPr>
        <w:color w:val="3370ff"/>
      </w:rPr>
    </w:lvl>
  </w:abstractNum>
  <w:abstractNum w:abstractNumId="254750">
    <w:lvl>
      <w:numFmt w:val="bullet"/>
      <w:suff w:val="tab"/>
      <w:lvlText w:val="•"/>
      <w:rPr>
        <w:color w:val="3370ff"/>
      </w:rPr>
    </w:lvl>
  </w:abstractNum>
  <w:abstractNum w:abstractNumId="254751">
    <w:lvl>
      <w:numFmt w:val="bullet"/>
      <w:suff w:val="tab"/>
      <w:lvlText w:val="•"/>
      <w:rPr>
        <w:color w:val="3370ff"/>
      </w:rPr>
    </w:lvl>
  </w:abstractNum>
  <w:abstractNum w:abstractNumId="254752">
    <w:lvl>
      <w:numFmt w:val="bullet"/>
      <w:suff w:val="tab"/>
      <w:lvlText w:val="•"/>
      <w:rPr>
        <w:color w:val="3370ff"/>
      </w:rPr>
    </w:lvl>
  </w:abstractNum>
  <w:abstractNum w:abstractNumId="254753">
    <w:lvl>
      <w:start w:val="1"/>
      <w:numFmt w:val="lowerLetter"/>
      <w:suff w:val="tab"/>
      <w:lvlText w:val="%1."/>
      <w:rPr>
        <w:color w:val="3370ff"/>
      </w:rPr>
    </w:lvl>
  </w:abstractNum>
  <w:abstractNum w:abstractNumId="254754">
    <w:lvl>
      <w:start w:val="2"/>
      <w:numFmt w:val="lowerLetter"/>
      <w:suff w:val="tab"/>
      <w:lvlText w:val="%1."/>
      <w:rPr>
        <w:color w:val="3370ff"/>
      </w:rPr>
    </w:lvl>
  </w:abstractNum>
  <w:abstractNum w:abstractNumId="254755">
    <w:lvl>
      <w:start w:val="3"/>
      <w:numFmt w:val="lowerLetter"/>
      <w:suff w:val="tab"/>
      <w:lvlText w:val="%1."/>
      <w:rPr>
        <w:color w:val="3370ff"/>
      </w:rPr>
    </w:lvl>
  </w:abstractNum>
  <w:abstractNum w:abstractNumId="254756">
    <w:lvl>
      <w:numFmt w:val="bullet"/>
      <w:suff w:val="tab"/>
      <w:lvlText w:val="•"/>
      <w:rPr>
        <w:color w:val="3370ff"/>
      </w:rPr>
    </w:lvl>
  </w:abstractNum>
  <w:abstractNum w:abstractNumId="254757">
    <w:lvl>
      <w:numFmt w:val="bullet"/>
      <w:suff w:val="tab"/>
      <w:lvlText w:val="•"/>
      <w:rPr>
        <w:color w:val="3370ff"/>
      </w:rPr>
    </w:lvl>
  </w:abstractNum>
  <w:abstractNum w:abstractNumId="254758">
    <w:lvl>
      <w:start w:val="1"/>
      <w:numFmt w:val="lowerLetter"/>
      <w:suff w:val="tab"/>
      <w:lvlText w:val="%1."/>
      <w:rPr>
        <w:color w:val="3370ff"/>
      </w:rPr>
    </w:lvl>
  </w:abstractNum>
  <w:abstractNum w:abstractNumId="254759">
    <w:lvl>
      <w:start w:val="2"/>
      <w:numFmt w:val="lowerLetter"/>
      <w:suff w:val="tab"/>
      <w:lvlText w:val="%1."/>
      <w:rPr>
        <w:color w:val="3370ff"/>
      </w:rPr>
    </w:lvl>
  </w:abstractNum>
  <w:abstractNum w:abstractNumId="254760">
    <w:lvl>
      <w:start w:val="3"/>
      <w:numFmt w:val="lowerLetter"/>
      <w:suff w:val="tab"/>
      <w:lvlText w:val="%1."/>
      <w:rPr>
        <w:color w:val="3370ff"/>
      </w:rPr>
    </w:lvl>
  </w:abstractNum>
  <w:abstractNum w:abstractNumId="254761">
    <w:lvl>
      <w:numFmt w:val="bullet"/>
      <w:suff w:val="tab"/>
      <w:lvlText w:val="•"/>
      <w:rPr>
        <w:color w:val="3370ff"/>
      </w:rPr>
    </w:lvl>
  </w:abstractNum>
  <w:abstractNum w:abstractNumId="254762">
    <w:lvl>
      <w:numFmt w:val="bullet"/>
      <w:suff w:val="tab"/>
      <w:lvlText w:val="•"/>
      <w:rPr>
        <w:color w:val="3370ff"/>
      </w:rPr>
    </w:lvl>
  </w:abstractNum>
  <w:abstractNum w:abstractNumId="254763">
    <w:lvl>
      <w:start w:val="1"/>
      <w:numFmt w:val="lowerLetter"/>
      <w:suff w:val="tab"/>
      <w:lvlText w:val="%1."/>
      <w:rPr>
        <w:color w:val="3370ff"/>
      </w:rPr>
    </w:lvl>
  </w:abstractNum>
  <w:abstractNum w:abstractNumId="254764">
    <w:lvl>
      <w:start w:val="2"/>
      <w:numFmt w:val="lowerLetter"/>
      <w:suff w:val="tab"/>
      <w:lvlText w:val="%1."/>
      <w:rPr>
        <w:color w:val="3370ff"/>
      </w:rPr>
    </w:lvl>
  </w:abstractNum>
  <w:abstractNum w:abstractNumId="254765">
    <w:lvl>
      <w:start w:val="3"/>
      <w:numFmt w:val="lowerLetter"/>
      <w:suff w:val="tab"/>
      <w:lvlText w:val="%1."/>
      <w:rPr>
        <w:color w:val="3370ff"/>
      </w:rPr>
    </w:lvl>
  </w:abstractNum>
  <w:abstractNum w:abstractNumId="254766">
    <w:lvl>
      <w:numFmt w:val="bullet"/>
      <w:suff w:val="tab"/>
      <w:lvlText w:val="•"/>
      <w:rPr>
        <w:color w:val="3370ff"/>
      </w:rPr>
    </w:lvl>
  </w:abstractNum>
  <w:abstractNum w:abstractNumId="254767">
    <w:lvl>
      <w:numFmt w:val="bullet"/>
      <w:suff w:val="tab"/>
      <w:lvlText w:val="•"/>
      <w:rPr>
        <w:color w:val="3370ff"/>
      </w:rPr>
    </w:lvl>
  </w:abstractNum>
  <w:abstractNum w:abstractNumId="254768">
    <w:lvl>
      <w:numFmt w:val="bullet"/>
      <w:suff w:val="tab"/>
      <w:lvlText w:val="•"/>
      <w:rPr>
        <w:color w:val="3370ff"/>
      </w:rPr>
    </w:lvl>
  </w:abstractNum>
  <w:abstractNum w:abstractNumId="254769">
    <w:lvl>
      <w:numFmt w:val="bullet"/>
      <w:suff w:val="tab"/>
      <w:lvlText w:val="•"/>
      <w:rPr>
        <w:color w:val="3370ff"/>
      </w:rPr>
    </w:lvl>
  </w:abstractNum>
  <w:abstractNum w:abstractNumId="254770">
    <w:lvl>
      <w:numFmt w:val="bullet"/>
      <w:suff w:val="tab"/>
      <w:lvlText w:val="•"/>
      <w:rPr>
        <w:color w:val="3370ff"/>
      </w:rPr>
    </w:lvl>
  </w:abstractNum>
  <w:abstractNum w:abstractNumId="254771">
    <w:lvl>
      <w:numFmt w:val="bullet"/>
      <w:suff w:val="tab"/>
      <w:lvlText w:val="•"/>
      <w:rPr>
        <w:color w:val="3370ff"/>
      </w:rPr>
    </w:lvl>
  </w:abstractNum>
  <w:abstractNum w:abstractNumId="254772">
    <w:lvl>
      <w:numFmt w:val="bullet"/>
      <w:suff w:val="tab"/>
      <w:lvlText w:val="•"/>
      <w:rPr>
        <w:color w:val="3370ff"/>
      </w:rPr>
    </w:lvl>
  </w:abstractNum>
  <w:abstractNum w:abstractNumId="254773">
    <w:lvl>
      <w:numFmt w:val="bullet"/>
      <w:suff w:val="tab"/>
      <w:lvlText w:val="•"/>
      <w:rPr>
        <w:color w:val="3370ff"/>
      </w:rPr>
    </w:lvl>
  </w:abstractNum>
  <w:abstractNum w:abstractNumId="254774">
    <w:lvl>
      <w:numFmt w:val="bullet"/>
      <w:suff w:val="tab"/>
      <w:lvlText w:val="•"/>
      <w:rPr>
        <w:color w:val="3370ff"/>
      </w:rPr>
    </w:lvl>
  </w:abstractNum>
  <w:abstractNum w:abstractNumId="254775">
    <w:lvl>
      <w:numFmt w:val="bullet"/>
      <w:suff w:val="tab"/>
      <w:lvlText w:val="•"/>
      <w:rPr>
        <w:color w:val="3370ff"/>
      </w:rPr>
    </w:lvl>
  </w:abstractNum>
  <w:abstractNum w:abstractNumId="254776">
    <w:lvl>
      <w:numFmt w:val="bullet"/>
      <w:suff w:val="tab"/>
      <w:lvlText w:val="•"/>
      <w:rPr>
        <w:color w:val="3370ff"/>
      </w:rPr>
    </w:lvl>
  </w:abstractNum>
  <w:abstractNum w:abstractNumId="254777">
    <w:lvl>
      <w:numFmt w:val="bullet"/>
      <w:suff w:val="tab"/>
      <w:lvlText w:val="•"/>
      <w:rPr>
        <w:color w:val="3370ff"/>
      </w:rPr>
    </w:lvl>
  </w:abstractNum>
  <w:abstractNum w:abstractNumId="254778">
    <w:lvl>
      <w:numFmt w:val="bullet"/>
      <w:suff w:val="tab"/>
      <w:lvlText w:val="•"/>
      <w:rPr>
        <w:color w:val="3370ff"/>
      </w:rPr>
    </w:lvl>
  </w:abstractNum>
  <w:abstractNum w:abstractNumId="254779">
    <w:lvl>
      <w:numFmt w:val="bullet"/>
      <w:suff w:val="tab"/>
      <w:lvlText w:val="•"/>
      <w:rPr>
        <w:color w:val="3370ff"/>
      </w:rPr>
    </w:lvl>
  </w:abstractNum>
  <w:abstractNum w:abstractNumId="254780">
    <w:lvl>
      <w:numFmt w:val="bullet"/>
      <w:suff w:val="tab"/>
      <w:lvlText w:val="•"/>
      <w:rPr>
        <w:color w:val="3370ff"/>
      </w:rPr>
    </w:lvl>
  </w:abstractNum>
  <w:abstractNum w:abstractNumId="254781">
    <w:lvl>
      <w:numFmt w:val="bullet"/>
      <w:suff w:val="tab"/>
      <w:lvlText w:val="•"/>
      <w:rPr>
        <w:color w:val="3370ff"/>
      </w:rPr>
    </w:lvl>
  </w:abstractNum>
  <w:abstractNum w:abstractNumId="254782">
    <w:lvl>
      <w:numFmt w:val="bullet"/>
      <w:suff w:val="tab"/>
      <w:lvlText w:val="•"/>
      <w:rPr>
        <w:color w:val="3370ff"/>
      </w:rPr>
    </w:lvl>
  </w:abstractNum>
  <w:abstractNum w:abstractNumId="254783">
    <w:lvl>
      <w:numFmt w:val="bullet"/>
      <w:suff w:val="tab"/>
      <w:lvlText w:val="•"/>
      <w:rPr>
        <w:color w:val="3370ff"/>
      </w:rPr>
    </w:lvl>
  </w:abstractNum>
  <w:abstractNum w:abstractNumId="254784">
    <w:lvl>
      <w:numFmt w:val="bullet"/>
      <w:suff w:val="tab"/>
      <w:lvlText w:val="•"/>
      <w:rPr>
        <w:color w:val="3370ff"/>
      </w:rPr>
    </w:lvl>
  </w:abstractNum>
  <w:abstractNum w:abstractNumId="254785">
    <w:lvl>
      <w:numFmt w:val="bullet"/>
      <w:suff w:val="tab"/>
      <w:lvlText w:val="•"/>
      <w:rPr>
        <w:color w:val="3370ff"/>
      </w:rPr>
    </w:lvl>
  </w:abstractNum>
  <w:abstractNum w:abstractNumId="254786">
    <w:lvl>
      <w:numFmt w:val="bullet"/>
      <w:suff w:val="tab"/>
      <w:lvlText w:val="•"/>
      <w:rPr>
        <w:color w:val="3370ff"/>
      </w:rPr>
    </w:lvl>
  </w:abstractNum>
  <w:abstractNum w:abstractNumId="254787">
    <w:lvl>
      <w:numFmt w:val="bullet"/>
      <w:suff w:val="tab"/>
      <w:lvlText w:val="•"/>
      <w:rPr>
        <w:color w:val="3370ff"/>
      </w:rPr>
    </w:lvl>
  </w:abstractNum>
  <w:abstractNum w:abstractNumId="254788">
    <w:lvl>
      <w:numFmt w:val="bullet"/>
      <w:suff w:val="tab"/>
      <w:lvlText w:val="•"/>
      <w:rPr>
        <w:color w:val="3370ff"/>
      </w:rPr>
    </w:lvl>
  </w:abstractNum>
  <w:abstractNum w:abstractNumId="254789">
    <w:lvl>
      <w:numFmt w:val="bullet"/>
      <w:suff w:val="tab"/>
      <w:lvlText w:val="•"/>
      <w:rPr>
        <w:color w:val="3370ff"/>
      </w:rPr>
    </w:lvl>
  </w:abstractNum>
  <w:abstractNum w:abstractNumId="254790">
    <w:lvl>
      <w:numFmt w:val="bullet"/>
      <w:suff w:val="tab"/>
      <w:lvlText w:val="•"/>
      <w:rPr>
        <w:color w:val="3370ff"/>
      </w:rPr>
    </w:lvl>
  </w:abstractNum>
  <w:abstractNum w:abstractNumId="254791">
    <w:lvl>
      <w:numFmt w:val="bullet"/>
      <w:suff w:val="tab"/>
      <w:lvlText w:val="•"/>
      <w:rPr>
        <w:color w:val="3370ff"/>
      </w:rPr>
    </w:lvl>
  </w:abstractNum>
  <w:abstractNum w:abstractNumId="254792">
    <w:lvl>
      <w:numFmt w:val="bullet"/>
      <w:suff w:val="tab"/>
      <w:lvlText w:val="•"/>
      <w:rPr>
        <w:color w:val="3370ff"/>
      </w:rPr>
    </w:lvl>
  </w:abstractNum>
  <w:abstractNum w:abstractNumId="254793">
    <w:lvl>
      <w:numFmt w:val="bullet"/>
      <w:suff w:val="tab"/>
      <w:lvlText w:val="•"/>
      <w:rPr>
        <w:color w:val="3370ff"/>
      </w:rPr>
    </w:lvl>
  </w:abstractNum>
  <w:abstractNum w:abstractNumId="254794">
    <w:lvl>
      <w:numFmt w:val="bullet"/>
      <w:suff w:val="tab"/>
      <w:lvlText w:val="•"/>
      <w:rPr>
        <w:color w:val="3370ff"/>
      </w:rPr>
    </w:lvl>
  </w:abstractNum>
  <w:abstractNum w:abstractNumId="254795">
    <w:lvl>
      <w:numFmt w:val="bullet"/>
      <w:suff w:val="tab"/>
      <w:lvlText w:val="•"/>
      <w:rPr>
        <w:color w:val="3370ff"/>
      </w:rPr>
    </w:lvl>
  </w:abstractNum>
  <w:abstractNum w:abstractNumId="254796">
    <w:lvl>
      <w:numFmt w:val="bullet"/>
      <w:suff w:val="tab"/>
      <w:lvlText w:val="•"/>
      <w:rPr>
        <w:color w:val="3370ff"/>
      </w:rPr>
    </w:lvl>
  </w:abstractNum>
  <w:abstractNum w:abstractNumId="254797">
    <w:lvl>
      <w:numFmt w:val="bullet"/>
      <w:suff w:val="tab"/>
      <w:lvlText w:val="•"/>
      <w:rPr>
        <w:color w:val="3370ff"/>
      </w:rPr>
    </w:lvl>
  </w:abstractNum>
  <w:abstractNum w:abstractNumId="254798">
    <w:lvl>
      <w:numFmt w:val="bullet"/>
      <w:suff w:val="tab"/>
      <w:lvlText w:val="•"/>
      <w:rPr>
        <w:color w:val="3370ff"/>
      </w:rPr>
    </w:lvl>
  </w:abstractNum>
  <w:abstractNum w:abstractNumId="254799">
    <w:lvl>
      <w:numFmt w:val="bullet"/>
      <w:suff w:val="tab"/>
      <w:lvlText w:val="•"/>
      <w:rPr>
        <w:color w:val="3370ff"/>
      </w:rPr>
    </w:lvl>
  </w:abstractNum>
  <w:abstractNum w:abstractNumId="254800">
    <w:lvl>
      <w:numFmt w:val="bullet"/>
      <w:suff w:val="tab"/>
      <w:lvlText w:val="•"/>
      <w:rPr>
        <w:color w:val="3370ff"/>
      </w:rPr>
    </w:lvl>
  </w:abstractNum>
  <w:abstractNum w:abstractNumId="254801">
    <w:lvl>
      <w:numFmt w:val="bullet"/>
      <w:suff w:val="tab"/>
      <w:lvlText w:val="•"/>
      <w:rPr>
        <w:color w:val="3370ff"/>
      </w:rPr>
    </w:lvl>
  </w:abstractNum>
  <w:abstractNum w:abstractNumId="254802">
    <w:lvl>
      <w:numFmt w:val="bullet"/>
      <w:suff w:val="tab"/>
      <w:lvlText w:val="•"/>
      <w:rPr>
        <w:color w:val="3370ff"/>
      </w:rPr>
    </w:lvl>
  </w:abstractNum>
  <w:abstractNum w:abstractNumId="254803">
    <w:lvl>
      <w:numFmt w:val="bullet"/>
      <w:suff w:val="tab"/>
      <w:lvlText w:val="•"/>
      <w:rPr>
        <w:color w:val="3370ff"/>
      </w:rPr>
    </w:lvl>
  </w:abstractNum>
  <w:abstractNum w:abstractNumId="254804">
    <w:lvl>
      <w:numFmt w:val="bullet"/>
      <w:suff w:val="tab"/>
      <w:lvlText w:val="•"/>
      <w:rPr>
        <w:color w:val="3370ff"/>
      </w:rPr>
    </w:lvl>
  </w:abstractNum>
  <w:num w:numId="1">
    <w:abstractNumId w:val="254697"/>
  </w:num>
  <w:num w:numId="2">
    <w:abstractNumId w:val="254698"/>
  </w:num>
  <w:num w:numId="3">
    <w:abstractNumId w:val="254699"/>
  </w:num>
  <w:num w:numId="4">
    <w:abstractNumId w:val="254700"/>
  </w:num>
  <w:num w:numId="5">
    <w:abstractNumId w:val="254701"/>
  </w:num>
  <w:num w:numId="6">
    <w:abstractNumId w:val="254702"/>
  </w:num>
  <w:num w:numId="7">
    <w:abstractNumId w:val="254703"/>
  </w:num>
  <w:num w:numId="8">
    <w:abstractNumId w:val="254704"/>
  </w:num>
  <w:num w:numId="9">
    <w:abstractNumId w:val="254705"/>
  </w:num>
  <w:num w:numId="10">
    <w:abstractNumId w:val="254706"/>
  </w:num>
  <w:num w:numId="11">
    <w:abstractNumId w:val="254707"/>
  </w:num>
  <w:num w:numId="12">
    <w:abstractNumId w:val="254708"/>
  </w:num>
  <w:num w:numId="13">
    <w:abstractNumId w:val="254709"/>
  </w:num>
  <w:num w:numId="14">
    <w:abstractNumId w:val="254710"/>
  </w:num>
  <w:num w:numId="15">
    <w:abstractNumId w:val="254711"/>
  </w:num>
  <w:num w:numId="16">
    <w:abstractNumId w:val="254712"/>
  </w:num>
  <w:num w:numId="17">
    <w:abstractNumId w:val="254713"/>
  </w:num>
  <w:num w:numId="18">
    <w:abstractNumId w:val="254714"/>
  </w:num>
  <w:num w:numId="19">
    <w:abstractNumId w:val="254715"/>
  </w:num>
  <w:num w:numId="20">
    <w:abstractNumId w:val="254716"/>
  </w:num>
  <w:num w:numId="21">
    <w:abstractNumId w:val="254717"/>
  </w:num>
  <w:num w:numId="22">
    <w:abstractNumId w:val="254718"/>
  </w:num>
  <w:num w:numId="23">
    <w:abstractNumId w:val="254719"/>
  </w:num>
  <w:num w:numId="24">
    <w:abstractNumId w:val="254720"/>
  </w:num>
  <w:num w:numId="25">
    <w:abstractNumId w:val="254721"/>
  </w:num>
  <w:num w:numId="26">
    <w:abstractNumId w:val="254722"/>
  </w:num>
  <w:num w:numId="27">
    <w:abstractNumId w:val="254723"/>
  </w:num>
  <w:num w:numId="28">
    <w:abstractNumId w:val="254724"/>
  </w:num>
  <w:num w:numId="29">
    <w:abstractNumId w:val="254725"/>
  </w:num>
  <w:num w:numId="30">
    <w:abstractNumId w:val="254726"/>
  </w:num>
  <w:num w:numId="31">
    <w:abstractNumId w:val="254727"/>
  </w:num>
  <w:num w:numId="32">
    <w:abstractNumId w:val="254728"/>
  </w:num>
  <w:num w:numId="33">
    <w:abstractNumId w:val="254729"/>
  </w:num>
  <w:num w:numId="34">
    <w:abstractNumId w:val="254730"/>
  </w:num>
  <w:num w:numId="35">
    <w:abstractNumId w:val="254731"/>
  </w:num>
  <w:num w:numId="36">
    <w:abstractNumId w:val="254732"/>
  </w:num>
  <w:num w:numId="37">
    <w:abstractNumId w:val="254733"/>
  </w:num>
  <w:num w:numId="38">
    <w:abstractNumId w:val="254734"/>
  </w:num>
  <w:num w:numId="39">
    <w:abstractNumId w:val="254735"/>
  </w:num>
  <w:num w:numId="40">
    <w:abstractNumId w:val="254736"/>
  </w:num>
  <w:num w:numId="41">
    <w:abstractNumId w:val="254737"/>
  </w:num>
  <w:num w:numId="42">
    <w:abstractNumId w:val="254738"/>
  </w:num>
  <w:num w:numId="43">
    <w:abstractNumId w:val="254739"/>
  </w:num>
  <w:num w:numId="44">
    <w:abstractNumId w:val="254740"/>
  </w:num>
  <w:num w:numId="45">
    <w:abstractNumId w:val="254741"/>
  </w:num>
  <w:num w:numId="46">
    <w:abstractNumId w:val="254742"/>
  </w:num>
  <w:num w:numId="47">
    <w:abstractNumId w:val="254743"/>
  </w:num>
  <w:num w:numId="48">
    <w:abstractNumId w:val="254744"/>
  </w:num>
  <w:num w:numId="49">
    <w:abstractNumId w:val="254745"/>
  </w:num>
  <w:num w:numId="50">
    <w:abstractNumId w:val="254746"/>
  </w:num>
  <w:num w:numId="51">
    <w:abstractNumId w:val="254747"/>
  </w:num>
  <w:num w:numId="52">
    <w:abstractNumId w:val="254748"/>
  </w:num>
  <w:num w:numId="53">
    <w:abstractNumId w:val="254749"/>
  </w:num>
  <w:num w:numId="54">
    <w:abstractNumId w:val="254750"/>
  </w:num>
  <w:num w:numId="55">
    <w:abstractNumId w:val="254751"/>
  </w:num>
  <w:num w:numId="56">
    <w:abstractNumId w:val="254752"/>
  </w:num>
  <w:num w:numId="57">
    <w:abstractNumId w:val="254753"/>
  </w:num>
  <w:num w:numId="58">
    <w:abstractNumId w:val="254754"/>
  </w:num>
  <w:num w:numId="59">
    <w:abstractNumId w:val="254755"/>
  </w:num>
  <w:num w:numId="60">
    <w:abstractNumId w:val="254756"/>
  </w:num>
  <w:num w:numId="61">
    <w:abstractNumId w:val="254757"/>
  </w:num>
  <w:num w:numId="62">
    <w:abstractNumId w:val="254758"/>
  </w:num>
  <w:num w:numId="63">
    <w:abstractNumId w:val="254759"/>
  </w:num>
  <w:num w:numId="64">
    <w:abstractNumId w:val="254760"/>
  </w:num>
  <w:num w:numId="65">
    <w:abstractNumId w:val="254761"/>
  </w:num>
  <w:num w:numId="66">
    <w:abstractNumId w:val="254762"/>
  </w:num>
  <w:num w:numId="67">
    <w:abstractNumId w:val="254763"/>
  </w:num>
  <w:num w:numId="68">
    <w:abstractNumId w:val="254764"/>
  </w:num>
  <w:num w:numId="69">
    <w:abstractNumId w:val="254765"/>
  </w:num>
  <w:num w:numId="70">
    <w:abstractNumId w:val="254766"/>
  </w:num>
  <w:num w:numId="71">
    <w:abstractNumId w:val="254767"/>
  </w:num>
  <w:num w:numId="72">
    <w:abstractNumId w:val="254768"/>
  </w:num>
  <w:num w:numId="73">
    <w:abstractNumId w:val="254769"/>
  </w:num>
  <w:num w:numId="74">
    <w:abstractNumId w:val="254770"/>
  </w:num>
  <w:num w:numId="75">
    <w:abstractNumId w:val="254771"/>
  </w:num>
  <w:num w:numId="76">
    <w:abstractNumId w:val="254772"/>
  </w:num>
  <w:num w:numId="77">
    <w:abstractNumId w:val="254773"/>
  </w:num>
  <w:num w:numId="78">
    <w:abstractNumId w:val="254774"/>
  </w:num>
  <w:num w:numId="79">
    <w:abstractNumId w:val="254775"/>
  </w:num>
  <w:num w:numId="80">
    <w:abstractNumId w:val="254776"/>
  </w:num>
  <w:num w:numId="81">
    <w:abstractNumId w:val="254777"/>
  </w:num>
  <w:num w:numId="82">
    <w:abstractNumId w:val="254778"/>
  </w:num>
  <w:num w:numId="83">
    <w:abstractNumId w:val="254779"/>
  </w:num>
  <w:num w:numId="84">
    <w:abstractNumId w:val="254780"/>
  </w:num>
  <w:num w:numId="85">
    <w:abstractNumId w:val="254781"/>
  </w:num>
  <w:num w:numId="86">
    <w:abstractNumId w:val="254782"/>
  </w:num>
  <w:num w:numId="87">
    <w:abstractNumId w:val="254783"/>
  </w:num>
  <w:num w:numId="88">
    <w:abstractNumId w:val="254784"/>
  </w:num>
  <w:num w:numId="89">
    <w:abstractNumId w:val="254785"/>
  </w:num>
  <w:num w:numId="90">
    <w:abstractNumId w:val="254786"/>
  </w:num>
  <w:num w:numId="91">
    <w:abstractNumId w:val="254787"/>
  </w:num>
  <w:num w:numId="92">
    <w:abstractNumId w:val="254788"/>
  </w:num>
  <w:num w:numId="93">
    <w:abstractNumId w:val="254789"/>
  </w:num>
  <w:num w:numId="94">
    <w:abstractNumId w:val="254790"/>
  </w:num>
  <w:num w:numId="95">
    <w:abstractNumId w:val="254791"/>
  </w:num>
  <w:num w:numId="96">
    <w:abstractNumId w:val="254792"/>
  </w:num>
  <w:num w:numId="97">
    <w:abstractNumId w:val="254793"/>
  </w:num>
  <w:num w:numId="98">
    <w:abstractNumId w:val="254794"/>
  </w:num>
  <w:num w:numId="99">
    <w:abstractNumId w:val="254795"/>
  </w:num>
  <w:num w:numId="100">
    <w:abstractNumId w:val="254796"/>
  </w:num>
  <w:num w:numId="101">
    <w:abstractNumId w:val="254797"/>
  </w:num>
  <w:num w:numId="102">
    <w:abstractNumId w:val="254798"/>
  </w:num>
  <w:num w:numId="103">
    <w:abstractNumId w:val="254799"/>
  </w:num>
  <w:num w:numId="104">
    <w:abstractNumId w:val="254800"/>
  </w:num>
  <w:num w:numId="105">
    <w:abstractNumId w:val="254801"/>
  </w:num>
  <w:num w:numId="106">
    <w:abstractNumId w:val="254802"/>
  </w:num>
  <w:num w:numId="107">
    <w:abstractNumId w:val="254803"/>
  </w:num>
  <w:num w:numId="108">
    <w:abstractNumId w:val="254804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2026-02-14T15:29:23Z</dcterms:created>
  <dc:creator>Apache POI</dc:creator>
</cp:coreProperties>
</file>