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NAC公链ACC-1644协议规范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——宪法授权控制器操作协议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发布日期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0. 引言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ERC1644定义了控制器操作（Controller Operation）标准，允许监管机构执行强制转账、冻结等特殊操作，并记录法律依据。该标准尝试为合规干预提供标准接口，但其权限设计模糊，无法区分不同层级的监管者。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NAC的ACC-1644协议将控制器操作严格限制在宪法授权角色内，并通过宪法收据和GNACS状态字段实现操作的完全可追溯。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一、核心概念重构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1.1 GNACS状态字段扩展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ACC-1644在GNACS的动态基因中增加控制状态字段（第41-44位），用于标识资产的监管状态：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455"/>
        <w:gridCol w:w="1740"/>
        <w:gridCol w:w="1455"/>
        <w:gridCol w:w="3630"/>
      </w:tblGrid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位置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字段名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长度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语义</w:t>
            </w:r>
          </w:p>
        </w:tc>
      </w:tr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41-42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control_level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2位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控制级别（00=正常，01=部分冻结，10=全面冻结，11=接管）</w:t>
            </w:r>
          </w:p>
        </w:tc>
      </w:tr>
      <w:tr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43-44</w:t>
            </w:r>
          </w:p>
        </w:tc>
        <w:tc>
          <w:tcPr>
            <w:tcW w:w="174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controller_id</w:t>
            </w:r>
          </w:p>
        </w:tc>
        <w:tc>
          <w:tcPr>
            <w:tcW w:w="1455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2位</w:t>
            </w:r>
          </w:p>
        </w:tc>
        <w:tc>
          <w:tcPr>
            <w:tcW w:w="363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执行控制的监管机构ID（映射宪法附录中的监管机构列表）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1.2 控制器角色层级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宪法附录定义三种控制器角色：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800"/>
        <w:gridCol w:w="3000"/>
        <w:gridCol w:w="3000"/>
      </w:tblGrid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角色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权限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来源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REGULATOR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普通监管机构：可冻结资产、要求披露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宪法法院授权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SUPER_REGULATOR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超级监管机构：可强制转账、修改参数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多辖区联合授权</w:t>
            </w:r>
          </w:p>
        </w:tc>
      </w:tr>
      <w:tr>
        <w:tc>
          <w:tcPr>
            <w:tcW w:w="18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EMERGENCY_CONTROLLER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紧急控制器：熔断时临时接管</w:t>
            </w:r>
          </w:p>
        </w:tc>
        <w:tc>
          <w:tcPr>
            <w:tcW w:w="300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宪法法院紧急令状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二、ACC-1644协议接口</w:t>
      </w:r>
      <w:bookmarkEnd w:id="4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2.1 核心接口定义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charter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// ACC-1644 宪法授权控制器操作协议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contract interface IACC1644 {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查询当前控制器（如有）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controller() -&gt; Address;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查询控制器层级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controllerLevel() -&gt; uint8;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冻结资产（分区级或全局）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@Role("REGULATOR")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freeze(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        // 0表示全局冻结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reason: bytes,               // 法律依据（如法院令哈希）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evidence: bytes              // 证据哈希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解冻资产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@Role("REGULATOR")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unfreeze(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reason: bytes,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evidence: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强制转账（需超级监管权限）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@Role("SUPER_REGULATOR")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forceTransfer(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from: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to: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legalBasis: bytes32,         // 法律文书哈希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evidence: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强制赎回（需超级监管权限）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@Role("SUPER_REGULATOR")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forceRedeem(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partitionId: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from: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amount: uint256,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legalBasis: bytes32,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evidence: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接管资产（紧急控制器权限）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@Role("EMERGENCY_CONTROLLER")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@RequiresConstitutionalReceipt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takeControl(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newController: Address,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duration: uint64,            // 接管时长（秒）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reason: bytes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放弃控制权（主动或到期）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relinquishControl();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/// 获取操作历史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@view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func getControlActions(from: uint64, to: uint64) -&gt; ControlAction[];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struct ControlAction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uint8 actionType;             // 0=冻结，1=解冻，2=强制转账，3=接管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partitionId;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from;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to;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amount;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legalBasis;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uint64 timestamp;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receiptHash;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// ---------- 事件 ----------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Frozen(bytes32 indexed partition, address indexed controller, bytes32 legalBasis);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Unfrozen(bytes32 indexed partition, address indexed controller, bytes32 legalBasis);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event ForceTransfer(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indexed partition,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from,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address indexed to,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uint256 amount,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bytes32 legalBasis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ControlTaken(address indexed newController, uint64 duration);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event ControlRelinquished(address indexed oldController);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三、与NAC架构的深度集成</w:t>
      </w:r>
      <w:bookmarkEnd w:id="6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3.1 宪法收据与控制器权限</w:t>
      </w:r>
      <w:bookmarkEnd w:id="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所有控制器操作必须附带宪法收据，CEE将验证：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1.  调用者是否在宪法附录的控制器白名单中。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2.  操作类型是否在其权限范围内。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3.  法律依据（如法院令）哈希是否有效（可链接到链上存证）。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3.2 GNACS状态自动更新</w:t>
      </w:r>
      <w:bookmarkEnd w:id="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当控制器执行freeze时，合约自动更新资产GNACS的control_level字段，并记录controller_id。此状态变更会触发DNA进化。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3.3 接管到期自动释放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takeControl指定接管时长，到期后relinquishControl可被任何人调用（或系统自动触发），恢复control_level为00。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</w:t>
      </w: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四、与ERC1644的差异总结</w:t>
      </w:r>
      <w:bookmarkEnd w:id="1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760"/>
        <w:gridCol w:w="345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特性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ERC1644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ACC-1644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权限层级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单一控制器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三层控制器（REGULATOR/SUPER/EMERGENCY）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法律依据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bytes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强制要求法律依据哈希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状态同步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GNACS控制状态字段实时更新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宪法绑定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控制器白名单宪法附录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DNA进化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无</w:t>
            </w:r>
          </w:p>
        </w:tc>
        <w:tc>
          <w:tcPr>
            <w:tcW w:w="34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每次控制操作触发DNA进化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制定人</w:t>
      </w:r>
      <w:r>
        <w:rPr>
          <w:rFonts w:eastAsia="等线" w:ascii="Arial" w:cs="Arial" w:hAnsi="Arial"/>
          <w:sz w:val="22"/>
        </w:rPr>
        <w:t>：NAC资产协议工作组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最后更新</w:t>
      </w:r>
      <w:r>
        <w:rPr>
          <w:rFonts w:eastAsia="等线" w:ascii="Arial" w:cs="Arial" w:hAnsi="Arial"/>
          <w:sz w:val="22"/>
        </w:rPr>
        <w:t>：2026年2月14日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文档状态</w:t>
      </w:r>
      <w:r>
        <w:rPr>
          <w:rFonts w:eastAsia="等线" w:ascii="Arial" w:cs="Arial" w:hAnsi="Arial"/>
          <w:sz w:val="22"/>
        </w:rPr>
        <w:t>：正式发布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2026-02-14T16:53:20Z</dcterms:created>
  <dc:creator>Apache POI</dc:creator>
</cp:coreProperties>
</file>