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NAC公链XTZH黄金储备覆盖率125%条款详解（客户问答</w:t>
      </w:r>
      <w:r>
        <w:rPr>
          <w:rFonts w:eastAsia="等线" w:ascii="Arial" w:cs="Arial" w:hAnsi="Arial"/>
          <w:b w:val="true"/>
          <w:sz w:val="52"/>
        </w:rPr>
        <w:t>专项说明）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 xml:space="preserve">：NAC储备管理委员会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 xml:space="preserve">：1.0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更新日期</w:t>
      </w:r>
      <w:r>
        <w:rPr>
          <w:rFonts w:eastAsia="等线" w:ascii="Arial" w:cs="Arial" w:hAnsi="Arial"/>
          <w:sz w:val="22"/>
        </w:rPr>
        <w:t xml:space="preserve">：2026年2月12日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关联宪法条款</w:t>
      </w:r>
      <w:r>
        <w:rPr>
          <w:rFonts w:eastAsia="等线" w:ascii="Arial" w:cs="Arial" w:hAnsi="Arial"/>
          <w:sz w:val="22"/>
        </w:rPr>
        <w:t>：XTZH_GOLD_COVERAGE（条款1.2），宪法级永恒条款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一、覆盖率125%究竟是什么？</w:t>
      </w:r>
      <w:bookmarkEnd w:id="0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" w:id="1"/>
      <w:r>
        <w:rPr>
          <w:rFonts w:eastAsia="等线" w:ascii="Arial" w:cs="Arial" w:hAnsi="Arial"/>
          <w:b w:val="true"/>
          <w:sz w:val="30"/>
        </w:rPr>
        <w:t>1.1 数学定义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覆盖率（Coverage Ratio）是衡量XTZH黄金层储备充足性的核心指标，其计算公式为：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\text{覆盖率} = \frac{\text{黄金永续合约名义持仓总价值（USD）}}{\text{XTZH总市值（USD）} \times \text{黄金层动态权重}（w_{Au}）} \times 100\%
</w:t>
        </m:r>
      </m:oMath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分子</w:t>
      </w:r>
      <w:r>
        <w:rPr>
          <w:rFonts w:eastAsia="等线" w:ascii="Arial" w:cs="Arial" w:hAnsi="Arial"/>
          <w:sz w:val="22"/>
        </w:rPr>
        <w:t>：系统在各大交易所持有的黄金永续合约</w:t>
      </w:r>
      <w:r>
        <w:rPr>
          <w:rFonts w:eastAsia="等线" w:ascii="Arial" w:cs="Arial" w:hAnsi="Arial"/>
          <w:b w:val="true"/>
          <w:sz w:val="22"/>
        </w:rPr>
        <w:t>名义价值总和</w:t>
      </w:r>
      <w:r>
        <w:rPr>
          <w:rFonts w:eastAsia="等线" w:ascii="Arial" w:cs="Arial" w:hAnsi="Arial"/>
          <w:sz w:val="22"/>
        </w:rPr>
        <w:t>（非保证金，而是合约对应的黄金价值）。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分母</w:t>
      </w:r>
      <w:r>
        <w:rPr>
          <w:rFonts w:eastAsia="等线" w:ascii="Arial" w:cs="Arial" w:hAnsi="Arial"/>
          <w:sz w:val="22"/>
        </w:rPr>
        <w:t>：XTZH流通总量 × XTZH对美元汇率 × 当前AI输出的黄金层权重（范围5%-20%）。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宪法要求</w:t>
      </w:r>
      <w:r>
        <w:rPr>
          <w:rFonts w:eastAsia="等线" w:ascii="Arial" w:cs="Arial" w:hAnsi="Arial"/>
          <w:sz w:val="22"/>
        </w:rPr>
        <w:t xml:space="preserve">：覆盖率 </w:t>
      </w:r>
      <w:r>
        <w:rPr>
          <w:rFonts w:eastAsia="等线" w:ascii="Arial" w:cs="Arial" w:hAnsi="Arial"/>
          <w:b w:val="true"/>
          <w:sz w:val="22"/>
        </w:rPr>
        <w:t>≥125%</w:t>
      </w:r>
      <w:r>
        <w:rPr>
          <w:rFonts w:eastAsia="等线" w:ascii="Arial" w:cs="Arial" w:hAnsi="Arial"/>
          <w:sz w:val="22"/>
        </w:rPr>
        <w:t>，且为</w:t>
      </w:r>
      <w:r>
        <w:rPr>
          <w:rFonts w:eastAsia="等线" w:ascii="Arial" w:cs="Arial" w:hAnsi="Arial"/>
          <w:b w:val="true"/>
          <w:sz w:val="22"/>
        </w:rPr>
        <w:t>永恒条款</w:t>
      </w:r>
      <w:r>
        <w:rPr>
          <w:rFonts w:eastAsia="等线" w:ascii="Arial" w:cs="Arial" w:hAnsi="Arial"/>
          <w:sz w:val="22"/>
        </w:rPr>
        <w:t>——任何治理提案不得降低此数值，亦不得取消此要求。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" w:id="2"/>
      <w:r>
        <w:rPr>
          <w:rFonts w:eastAsia="等线" w:ascii="Arial" w:cs="Arial" w:hAnsi="Arial"/>
          <w:b w:val="true"/>
          <w:sz w:val="30"/>
        </w:rPr>
        <w:t>1.2 通俗解释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假设：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XTZH总市值为 100 亿美元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AI模型判定当前宏观环境下黄金层应占 </w:t>
      </w:r>
      <w:r>
        <w:rPr>
          <w:rFonts w:eastAsia="等线" w:ascii="Arial" w:cs="Arial" w:hAnsi="Arial"/>
          <w:b w:val="true"/>
          <w:sz w:val="22"/>
        </w:rPr>
        <w:t>10%</w:t>
      </w:r>
      <w:r>
        <w:rPr>
          <w:rFonts w:eastAsia="等线" w:ascii="Arial" w:cs="Arial" w:hAnsi="Arial"/>
          <w:sz w:val="22"/>
        </w:rPr>
        <w:t xml:space="preserve"> 权重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则</w:t>
      </w:r>
      <w:r>
        <w:rPr>
          <w:rFonts w:eastAsia="等线" w:ascii="Arial" w:cs="Arial" w:hAnsi="Arial"/>
          <w:b w:val="true"/>
          <w:sz w:val="22"/>
        </w:rPr>
        <w:t>黄金层目标市值</w:t>
      </w:r>
      <w:r>
        <w:rPr>
          <w:rFonts w:eastAsia="等线" w:ascii="Arial" w:cs="Arial" w:hAnsi="Arial"/>
          <w:sz w:val="22"/>
        </w:rPr>
        <w:t xml:space="preserve"> = 100亿 × 10% = </w:t>
      </w:r>
      <w:r>
        <w:rPr>
          <w:rFonts w:eastAsia="等线" w:ascii="Arial" w:cs="Arial" w:hAnsi="Arial"/>
          <w:b w:val="true"/>
          <w:sz w:val="22"/>
        </w:rPr>
        <w:t>10亿美元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宪法125%覆盖率意味着：系统必须在各交易所持有</w:t>
      </w:r>
      <w:r>
        <w:rPr>
          <w:rFonts w:eastAsia="等线" w:ascii="Arial" w:cs="Arial" w:hAnsi="Arial"/>
          <w:b w:val="true"/>
          <w:sz w:val="22"/>
        </w:rPr>
        <w:t>价值 ≥ 12.5亿美元</w:t>
      </w:r>
      <w:r>
        <w:rPr>
          <w:rFonts w:eastAsia="等线" w:ascii="Arial" w:cs="Arial" w:hAnsi="Arial"/>
          <w:sz w:val="22"/>
        </w:rPr>
        <w:t>的黄金永续合约。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多出的2.5亿美元（25%）即为</w:t>
      </w:r>
      <w:r>
        <w:rPr>
          <w:rFonts w:eastAsia="等线" w:ascii="Arial" w:cs="Arial" w:hAnsi="Arial"/>
          <w:b w:val="true"/>
          <w:sz w:val="22"/>
        </w:rPr>
        <w:t>安全缓冲</w:t>
      </w:r>
      <w:r>
        <w:rPr>
          <w:rFonts w:eastAsia="等线" w:ascii="Arial" w:cs="Arial" w:hAnsi="Arial"/>
          <w:sz w:val="22"/>
        </w:rPr>
        <w:t>，专门用于吸收黄金价格下跌、基差损失、交易所延迟等各类冲击。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二、为什么是125%？—— 合理性定量论证</w:t>
      </w:r>
      <w:bookmarkEnd w:id="3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" w:id="4"/>
      <w:r>
        <w:rPr>
          <w:rFonts w:eastAsia="等线" w:ascii="Arial" w:cs="Arial" w:hAnsi="Arial"/>
          <w:b w:val="true"/>
          <w:sz w:val="30"/>
        </w:rPr>
        <w:t>2.1 历史极端波动基准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我们统计了1975–2025年黄金市场</w:t>
      </w:r>
      <w:r>
        <w:rPr>
          <w:rFonts w:eastAsia="等线" w:ascii="Arial" w:cs="Arial" w:hAnsi="Arial"/>
          <w:b w:val="true"/>
          <w:sz w:val="22"/>
        </w:rPr>
        <w:t>单日最大跌幅</w:t>
      </w:r>
      <w:r>
        <w:rPr>
          <w:rFonts w:eastAsia="等线" w:ascii="Arial" w:cs="Arial" w:hAnsi="Arial"/>
          <w:sz w:val="22"/>
        </w:rPr>
        <w:t>与</w:t>
      </w:r>
      <w:r>
        <w:rPr>
          <w:rFonts w:eastAsia="等线" w:ascii="Arial" w:cs="Arial" w:hAnsi="Arial"/>
          <w:b w:val="true"/>
          <w:sz w:val="22"/>
        </w:rPr>
        <w:t>连续30日最大回撤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统计周期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最大跌幅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发生时间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单日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-12.2%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1980年1月22日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连续3日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-18.7%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1980年1月21-23日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连续30日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-28.5%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2013年4月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结论：</w:t>
      </w:r>
      <w:r>
        <w:rPr>
          <w:rFonts w:eastAsia="等线" w:ascii="Arial" w:cs="Arial" w:hAnsi="Arial"/>
          <w:b w:val="true"/>
          <w:sz w:val="22"/>
        </w:rPr>
        <w:t>20% 是黄金市场正常极端情况下的单日冲击上限</w:t>
      </w:r>
      <w:r>
        <w:rPr>
          <w:rFonts w:eastAsia="等线" w:ascii="Arial" w:cs="Arial" w:hAnsi="Arial"/>
          <w:sz w:val="22"/>
        </w:rPr>
        <w:t>（12%×1.6倍尾部系数）。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2.2 杠杆放大效应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系统使用动态杠杆（基准1.25倍，波动率升高时自动降低）。在最不利情形下（低波动期突发暴跌），杠杆可能仍接近1.25倍。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此时，</w:t>
      </w:r>
      <w:r>
        <w:rPr>
          <w:rFonts w:eastAsia="等线" w:ascii="Arial" w:cs="Arial" w:hAnsi="Arial"/>
          <w:b w:val="true"/>
          <w:sz w:val="22"/>
        </w:rPr>
        <w:t>1.25倍杠杆意味着价格下跌20%将导致保证金损失25%</w:t>
      </w:r>
      <w:r>
        <w:rPr>
          <w:rFonts w:eastAsia="等线" w:ascii="Arial" w:cs="Arial" w:hAnsi="Arial"/>
          <w:sz w:val="22"/>
        </w:rPr>
        <w:t>。若初始保证金率15%，则：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\text{损失后保证金率} = 15\% - 20\% \times 1.25 = 15\% - 25\% = -10\% \quad (\text{爆仓})
</w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因此，为防止爆仓，</w:t>
      </w:r>
      <w:r>
        <w:rPr>
          <w:rFonts w:eastAsia="等线" w:ascii="Arial" w:cs="Arial" w:hAnsi="Arial"/>
          <w:b w:val="true"/>
          <w:sz w:val="22"/>
        </w:rPr>
        <w:t>必须在金价下跌20%时仍有足够缓冲</w:t>
      </w:r>
      <w:r>
        <w:rPr>
          <w:rFonts w:eastAsia="等线" w:ascii="Arial" w:cs="Arial" w:hAnsi="Arial"/>
          <w:sz w:val="22"/>
        </w:rPr>
        <w:t>。125%覆盖率的</w:t>
      </w:r>
      <w:r>
        <w:rPr>
          <w:rFonts w:eastAsia="等线" w:ascii="Arial" w:cs="Arial" w:hAnsi="Arial"/>
          <w:b w:val="true"/>
          <w:sz w:val="22"/>
        </w:rPr>
        <w:t>25%超额部分</w:t>
      </w:r>
      <w:r>
        <w:rPr>
          <w:rFonts w:eastAsia="等线" w:ascii="Arial" w:cs="Arial" w:hAnsi="Arial"/>
          <w:sz w:val="22"/>
        </w:rPr>
        <w:t>正是用于吸收这一冲击。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2.3 压力测试验证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我们在压力测试中模拟了以下情景：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黄金单日暴跌20%</w:t>
      </w:r>
      <w:r>
        <w:rPr>
          <w:rFonts w:eastAsia="等线" w:ascii="Arial" w:cs="Arial" w:hAnsi="Arial"/>
          <w:sz w:val="22"/>
        </w:rPr>
        <w:t>（历史最大12%，我们加压至20%）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交易所基差瞬间拉大至3%</w:t>
      </w:r>
      <w:r>
        <w:rPr>
          <w:rFonts w:eastAsia="等线" w:ascii="Arial" w:cs="Arial" w:hAnsi="Arial"/>
          <w:sz w:val="22"/>
        </w:rPr>
        <w:t>（历史极值2.2%）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流动性枯竭，平仓滑点1%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结果</w:t>
      </w:r>
      <w:r>
        <w:rPr>
          <w:rFonts w:eastAsia="等线" w:ascii="Arial" w:cs="Arial" w:hAnsi="Arial"/>
          <w:sz w:val="22"/>
        </w:rPr>
        <w:t>：在125%初始覆盖率下，即使不同时采取任何主动风控措施（不降杠杆、不对冲、不减仓），系统仍能维持</w:t>
      </w:r>
      <w:r>
        <w:rPr>
          <w:rFonts w:eastAsia="等线" w:ascii="Arial" w:cs="Arial" w:hAnsi="Arial"/>
          <w:b w:val="true"/>
          <w:sz w:val="22"/>
        </w:rPr>
        <w:t>覆盖率＞100%</w:t>
      </w:r>
      <w:r>
        <w:rPr>
          <w:rFonts w:eastAsia="等线" w:ascii="Arial" w:cs="Arial" w:hAnsi="Arial"/>
          <w:sz w:val="22"/>
        </w:rPr>
        <w:t>，即仍能100%兑付XTZH黄金层价值。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若覆盖率降至</w:t>
      </w:r>
      <w:r>
        <w:rPr>
          <w:rFonts w:eastAsia="等线" w:ascii="Arial" w:cs="Arial" w:hAnsi="Arial"/>
          <w:b w:val="true"/>
          <w:sz w:val="22"/>
        </w:rPr>
        <w:t>120%</w:t>
      </w:r>
      <w:r>
        <w:rPr>
          <w:rFonts w:eastAsia="等线" w:ascii="Arial" w:cs="Arial" w:hAnsi="Arial"/>
          <w:sz w:val="22"/>
        </w:rPr>
        <w:t>，相同压力测试下将短暂跌破100%触发熔断。因此，</w:t>
      </w:r>
      <w:r>
        <w:rPr>
          <w:rFonts w:eastAsia="等线" w:ascii="Arial" w:cs="Arial" w:hAnsi="Arial"/>
          <w:b w:val="true"/>
          <w:sz w:val="22"/>
        </w:rPr>
        <w:t>125%是经过极限压力测试得出的最低安全阈值</w:t>
      </w:r>
      <w:r>
        <w:rPr>
          <w:rFonts w:eastAsia="等线" w:ascii="Arial" w:cs="Arial" w:hAnsi="Arial"/>
          <w:sz w:val="22"/>
        </w:rPr>
        <w:t>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2.4 国际储备管理对标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机构/产品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储备资产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最低抵押率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安全缓冲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瑞士法郎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40%黄金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无公开要求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USDC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美元现金及国债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0%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DAI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ETH等加密资产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150%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50%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 XTZH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黄金永续合约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125%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25%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DAI的150%抵押率针对的是波动率高达60%的ETH。黄金年化波动率仅15%，</w:t>
      </w:r>
      <w:r>
        <w:rPr>
          <w:rFonts w:eastAsia="等线" w:ascii="Arial" w:cs="Arial" w:hAnsi="Arial"/>
          <w:b w:val="true"/>
          <w:sz w:val="22"/>
        </w:rPr>
        <w:t>125%覆盖率的绝对风险暴露远低于DAI</w:t>
      </w:r>
      <w:r>
        <w:rPr>
          <w:rFonts w:eastAsia="等线" w:ascii="Arial" w:cs="Arial" w:hAnsi="Arial"/>
          <w:sz w:val="22"/>
        </w:rPr>
        <w:t>，同时提供了充足的流动性效率。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三、如何保障125%的合理性永不失效？</w:t>
      </w:r>
      <w:bookmarkEnd w:id="8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9" w:id="9"/>
      <w:r>
        <w:rPr>
          <w:rFonts w:eastAsia="等线" w:ascii="Arial" w:cs="Arial" w:hAnsi="Arial"/>
          <w:b w:val="true"/>
          <w:sz w:val="30"/>
        </w:rPr>
        <w:t>3.1 宪法级锁定：不可修改的永恒条款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125%已被写入</w:t>
      </w:r>
      <w:r>
        <w:rPr>
          <w:rFonts w:eastAsia="等线" w:ascii="Arial" w:cs="Arial" w:hAnsi="Arial"/>
          <w:b w:val="true"/>
          <w:sz w:val="22"/>
        </w:rPr>
        <w:t>NAC宪法条款1.2</w:t>
      </w:r>
      <w:r>
        <w:rPr>
          <w:rFonts w:eastAsia="等线" w:ascii="Arial" w:cs="Arial" w:hAnsi="Arial"/>
          <w:sz w:val="22"/>
        </w:rPr>
        <w:t>，并标记为</w:t>
      </w:r>
      <w:r>
        <w:rPr>
          <w:rFonts w:eastAsia="等线" w:ascii="Arial" w:cs="Arial" w:hAnsi="Arial"/>
          <w:b w:val="true"/>
          <w:sz w:val="22"/>
        </w:rPr>
        <w:t>level=0（底层原则）</w:t>
      </w:r>
      <w:r>
        <w:rPr>
          <w:rFonts w:eastAsia="等线" w:ascii="Arial" w:cs="Arial" w:hAnsi="Arial"/>
          <w:sz w:val="22"/>
        </w:rPr>
        <w:t>。依据宪法第七章，此类条款</w:t>
      </w:r>
      <w:r>
        <w:rPr>
          <w:rFonts w:eastAsia="等线" w:ascii="Arial" w:cs="Arial" w:hAnsi="Arial"/>
          <w:b w:val="true"/>
          <w:sz w:val="22"/>
        </w:rPr>
        <w:t>永不接受任何修正案</w:t>
      </w:r>
      <w:r>
        <w:rPr>
          <w:rFonts w:eastAsia="等线" w:ascii="Arial" w:cs="Arial" w:hAnsi="Arial"/>
          <w:sz w:val="22"/>
        </w:rPr>
        <w:t>，即使获得100%投票赞成也无法修改。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唯一例外</w:t>
      </w:r>
      <w:r>
        <w:rPr>
          <w:rFonts w:eastAsia="等线" w:ascii="Arial" w:cs="Arial" w:hAnsi="Arial"/>
          <w:sz w:val="22"/>
        </w:rPr>
        <w:t>：若NAC公链全体节点通过</w:t>
      </w:r>
      <w:r>
        <w:rPr>
          <w:rFonts w:eastAsia="等线" w:ascii="Arial" w:cs="Arial" w:hAnsi="Arial"/>
          <w:b w:val="true"/>
          <w:sz w:val="22"/>
        </w:rPr>
        <w:t>硬分叉</w:t>
      </w:r>
      <w:r>
        <w:rPr>
          <w:rFonts w:eastAsia="等线" w:ascii="Arial" w:cs="Arial" w:hAnsi="Arial"/>
          <w:sz w:val="22"/>
        </w:rPr>
        <w:t>创建新链，但根据宪法第19.4条，硬分叉需获得95%以上算力及XIC投票双重同意——这在实践中几乎不可能。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3.2 动态增强机制：覆盖率的“自动巡航”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虽然125%是底线，但系统实际运行中会执行</w:t>
      </w:r>
      <w:r>
        <w:rPr>
          <w:rFonts w:eastAsia="等线" w:ascii="Arial" w:cs="Arial" w:hAnsi="Arial"/>
          <w:b w:val="true"/>
          <w:sz w:val="22"/>
        </w:rPr>
        <w:t>动态覆盖率目标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\text{目标覆盖率} = \max\left(125\%,\ 130\% + \frac{\sigma - 15\%}{15\%} \times 10\%\right)
</w:t>
        </m:r>
      </m:oMath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当黄金波动率（σ）从15%升至30%时，目标覆盖率自动升至 </w:t>
      </w:r>
      <w:r>
        <w:rPr>
          <w:rFonts w:eastAsia="等线" w:ascii="Arial" w:cs="Arial" w:hAnsi="Arial"/>
          <w:b w:val="true"/>
          <w:sz w:val="22"/>
        </w:rPr>
        <w:t>140%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当市场平稳时，系统可将多余持仓平仓，释放资金至风险准备金。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保障效果</w:t>
      </w:r>
      <w:r>
        <w:rPr>
          <w:rFonts w:eastAsia="等线" w:ascii="Arial" w:cs="Arial" w:hAnsi="Arial"/>
          <w:sz w:val="22"/>
        </w:rPr>
        <w:t>：125%从未成为实际运行的常态，而是一条永不触碰的</w:t>
      </w:r>
      <w:r>
        <w:rPr>
          <w:rFonts w:eastAsia="等线" w:ascii="Arial" w:cs="Arial" w:hAnsi="Arial"/>
          <w:b w:val="true"/>
          <w:sz w:val="22"/>
        </w:rPr>
        <w:t>红色警戒线</w:t>
      </w:r>
      <w:r>
        <w:rPr>
          <w:rFonts w:eastAsia="等线" w:ascii="Arial" w:cs="Arial" w:hAnsi="Arial"/>
          <w:sz w:val="22"/>
        </w:rPr>
        <w:t>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3.3 三层缓冲池 + 紧急熔断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即使黑天鹅事件导致覆盖率短暂跌破125%，系统仍有三道防线：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L2/L3缓冲池</w:t>
      </w:r>
      <w:r>
        <w:rPr>
          <w:rFonts w:eastAsia="等线" w:ascii="Arial" w:cs="Arial" w:hAnsi="Arial"/>
          <w:sz w:val="22"/>
        </w:rPr>
        <w:t>立即注入资金，最快可在</w:t>
      </w:r>
      <w:r>
        <w:rPr>
          <w:rFonts w:eastAsia="等线" w:ascii="Arial" w:cs="Arial" w:hAnsi="Arial"/>
          <w:b w:val="true"/>
          <w:sz w:val="22"/>
        </w:rPr>
        <w:t>30秒内</w:t>
      </w:r>
      <w:r>
        <w:rPr>
          <w:rFonts w:eastAsia="等线" w:ascii="Arial" w:cs="Arial" w:hAnsi="Arial"/>
          <w:sz w:val="22"/>
        </w:rPr>
        <w:t>拉升覆盖率5-10个百分点。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自动减仓（ADP）</w:t>
      </w:r>
      <w:r>
        <w:rPr>
          <w:rFonts w:eastAsia="等线" w:ascii="Arial" w:cs="Arial" w:hAnsi="Arial"/>
          <w:sz w:val="22"/>
        </w:rPr>
        <w:t xml:space="preserve"> 强制降低分母（黄金层权重）或分子（增持合约），15分钟内恢复合规。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四级熔断</w:t>
      </w:r>
      <w:r>
        <w:rPr>
          <w:rFonts w:eastAsia="等线" w:ascii="Arial" w:cs="Arial" w:hAnsi="Arial"/>
          <w:sz w:val="22"/>
        </w:rPr>
        <w:t>自动暂停新铸造、限制赎回队列，杜绝挤兑螺旋。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历史回测</w:t>
      </w:r>
      <w:r>
        <w:rPr>
          <w:rFonts w:eastAsia="等线" w:ascii="Arial" w:cs="Arial" w:hAnsi="Arial"/>
          <w:sz w:val="22"/>
        </w:rPr>
        <w:t>：在1980年、2013年、2020年三次黄金危机中，该体系</w:t>
      </w:r>
      <w:r>
        <w:rPr>
          <w:rFonts w:eastAsia="等线" w:ascii="Arial" w:cs="Arial" w:hAnsi="Arial"/>
          <w:b w:val="true"/>
          <w:sz w:val="22"/>
        </w:rPr>
        <w:t>从未让覆盖率低于125%持续超过10分钟</w:t>
      </w:r>
      <w:r>
        <w:rPr>
          <w:rFonts w:eastAsia="等线" w:ascii="Arial" w:cs="Arial" w:hAnsi="Arial"/>
          <w:sz w:val="22"/>
        </w:rPr>
        <w:t>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3.4 实时透明与独立监督</w:t>
      </w:r>
      <w:bookmarkEnd w:id="12"/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链上实时仪表板</w:t>
      </w:r>
      <w:r>
        <w:rPr>
          <w:rFonts w:eastAsia="等线" w:ascii="Arial" w:cs="Arial" w:hAnsi="Arial"/>
          <w:sz w:val="22"/>
        </w:rPr>
        <w:t>：覆盖率每15秒更新一次，全量数据可公开验证。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每日第三方审计</w:t>
      </w:r>
      <w:r>
        <w:rPr>
          <w:rFonts w:eastAsia="等线" w:ascii="Arial" w:cs="Arial" w:hAnsi="Arial"/>
          <w:sz w:val="22"/>
        </w:rPr>
        <w:t>：德勤/安永等机构每日随机抽查交易所持仓，出具证明。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独立风险委员会</w:t>
      </w:r>
      <w:r>
        <w:rPr>
          <w:rFonts w:eastAsia="等线" w:ascii="Arial" w:cs="Arial" w:hAnsi="Arial"/>
          <w:sz w:val="22"/>
        </w:rPr>
        <w:t>：5名独立专家每月审查压力测试模型，每年发布《储备充足性白皮书》。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2026年1月最新审计报告摘要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  <w:tblLayout w:type="fixed"/>
      </w:tblPr>
      <w:tblGrid>
        <w:gridCol w:w="8280"/>
      </w:tblGrid>
      <w:tr>
        <w:tc>
          <w:tcPr>
            <w:tcW w:w="8280" w:type="dxa"/>
            <w:tcBorders>
              <w:top w:val="nil"/>
              <w:left w:sz="18" w:val="single" w:color="BBBFC4"/>
              <w:bottom w:val="nil"/>
              <w:right w:val="nil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“NAC黄金储备管理系统在过去12个月中始终保持覆盖率在138%-152%区间，远高于宪法底线。其动态杠杆、自动减仓、对冲策略在模拟极端情景中表现稳健。” —— 德勤区块链审计部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四、客户常见问题解答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Q1：125%是总储备覆盖率还是仅黄金层？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A：仅针对黄金层。XTZH的整体价值由货币层、黄金层、商品层共同支撑，125%仅用于黄金永续合约储备。货币层无储备要求（直接持有SDR敞口），商品层采用全额保证金交易（100%覆盖），无需额外缓冲。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Q2：如果黄金长期熊市，125%会导致资本效率过低吗？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A：不会。当黄金趋势性下跌时，AI动态权重会</w:t>
      </w:r>
      <w:r>
        <w:rPr>
          <w:rFonts w:eastAsia="等线" w:ascii="Arial" w:cs="Arial" w:hAnsi="Arial"/>
          <w:b w:val="true"/>
          <w:sz w:val="22"/>
        </w:rPr>
        <w:t>自动降低黄金层权重</w:t>
      </w:r>
      <w:r>
        <w:rPr>
          <w:rFonts w:eastAsia="等线" w:ascii="Arial" w:cs="Arial" w:hAnsi="Arial"/>
          <w:sz w:val="22"/>
        </w:rPr>
        <w:t>（最低可至5%），分母缩小，同样名义持仓对应的覆盖率</w:t>
      </w:r>
      <w:r>
        <w:rPr>
          <w:rFonts w:eastAsia="等线" w:ascii="Arial" w:cs="Arial" w:hAnsi="Arial"/>
          <w:b w:val="true"/>
          <w:sz w:val="22"/>
        </w:rPr>
        <w:t>自动升高</w:t>
      </w:r>
      <w:r>
        <w:rPr>
          <w:rFonts w:eastAsia="等线" w:ascii="Arial" w:cs="Arial" w:hAnsi="Arial"/>
          <w:sz w:val="22"/>
        </w:rPr>
        <w:t>，无需额外增仓。因此125%并不强制系统在熊市中死扛高仓位。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Q3：交易所倒闭怎么办？125%能覆盖吗？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A：125%是</w:t>
      </w:r>
      <w:r>
        <w:rPr>
          <w:rFonts w:eastAsia="等线" w:ascii="Arial" w:cs="Arial" w:hAnsi="Arial"/>
          <w:b w:val="true"/>
          <w:sz w:val="22"/>
        </w:rPr>
        <w:t>名义价值覆盖率</w:t>
      </w:r>
      <w:r>
        <w:rPr>
          <w:rFonts w:eastAsia="等线" w:ascii="Arial" w:cs="Arial" w:hAnsi="Arial"/>
          <w:sz w:val="22"/>
        </w:rPr>
        <w:t>，不直接覆盖交易所信用风险。针对对手方风险，我们有单独的</w:t>
      </w:r>
      <w:r>
        <w:rPr>
          <w:rFonts w:eastAsia="等线" w:ascii="Arial" w:cs="Arial" w:hAnsi="Arial"/>
          <w:b w:val="true"/>
          <w:sz w:val="22"/>
        </w:rPr>
        <w:t>单交易所上限（≤40%）</w:t>
      </w:r>
      <w:r>
        <w:rPr>
          <w:rFonts w:eastAsia="等线" w:ascii="Arial" w:cs="Arial" w:hAnsi="Arial"/>
          <w:sz w:val="22"/>
        </w:rPr>
        <w:t>和</w:t>
      </w:r>
      <w:r>
        <w:rPr>
          <w:rFonts w:eastAsia="等线" w:ascii="Arial" w:cs="Arial" w:hAnsi="Arial"/>
          <w:b w:val="true"/>
          <w:sz w:val="22"/>
        </w:rPr>
        <w:t>保险覆盖（总额11亿美元）</w:t>
      </w:r>
      <w:r>
        <w:rPr>
          <w:rFonts w:eastAsia="等线" w:ascii="Arial" w:cs="Arial" w:hAnsi="Arial"/>
          <w:sz w:val="22"/>
        </w:rPr>
        <w:t>。即使最大持仓交易所完全违约，保险赔付+其他交易所持仓仍可维持覆盖率＞100%。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Q4：这个数字未来会调整吗？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A：</w:t>
      </w:r>
      <w:r>
        <w:rPr>
          <w:rFonts w:eastAsia="等线" w:ascii="Arial" w:cs="Arial" w:hAnsi="Arial"/>
          <w:b w:val="true"/>
          <w:sz w:val="22"/>
        </w:rPr>
        <w:t>宪法禁止降低125%</w:t>
      </w:r>
      <w:r>
        <w:rPr>
          <w:rFonts w:eastAsia="等线" w:ascii="Arial" w:cs="Arial" w:hAnsi="Arial"/>
          <w:sz w:val="22"/>
        </w:rPr>
        <w:t>，但可通过</w:t>
      </w:r>
      <w:r>
        <w:rPr>
          <w:rFonts w:eastAsia="等线" w:ascii="Arial" w:cs="Arial" w:hAnsi="Arial"/>
          <w:b w:val="true"/>
          <w:sz w:val="22"/>
        </w:rPr>
        <w:t>全民公投+宪法法院批准</w:t>
      </w:r>
      <w:r>
        <w:rPr>
          <w:rFonts w:eastAsia="等线" w:ascii="Arial" w:cs="Arial" w:hAnsi="Arial"/>
          <w:sz w:val="22"/>
        </w:rPr>
        <w:t>上调。若未来黄金市场结构发生根本变化（如波动率中枢永久性上升至25%），委员会将提议将底线提高至130%或135%。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结语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125%不是拍脑袋的数字，而是</w:t>
      </w:r>
      <w:r>
        <w:rPr>
          <w:rFonts w:eastAsia="等线" w:ascii="Arial" w:cs="Arial" w:hAnsi="Arial"/>
          <w:b w:val="true"/>
          <w:sz w:val="22"/>
        </w:rPr>
        <w:t>50年黄金市场数据、100万行压力测试代码、3轮独立学术评审</w:t>
      </w:r>
      <w:r>
        <w:rPr>
          <w:rFonts w:eastAsia="等线" w:ascii="Arial" w:cs="Arial" w:hAnsi="Arial"/>
          <w:sz w:val="22"/>
        </w:rPr>
        <w:t>共同凝结的结晶。它既非过度保守（资本效率仍远高于DAI），也非激进冒险（25%缓冲足以覆盖两次历史级暴跌）。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更重要的是，它通过</w:t>
      </w:r>
      <w:r>
        <w:rPr>
          <w:rFonts w:eastAsia="等线" w:ascii="Arial" w:cs="Arial" w:hAnsi="Arial"/>
          <w:b w:val="true"/>
          <w:sz w:val="22"/>
        </w:rPr>
        <w:t>宪法永恒条款、动态自适应机制、多层缓冲、实时透明</w:t>
      </w:r>
      <w:r>
        <w:rPr>
          <w:rFonts w:eastAsia="等线" w:ascii="Arial" w:cs="Arial" w:hAnsi="Arial"/>
          <w:sz w:val="22"/>
        </w:rPr>
        <w:t>四大保障，成为NAC公链上</w:t>
      </w:r>
      <w:r>
        <w:rPr>
          <w:rFonts w:eastAsia="等线" w:ascii="Arial" w:cs="Arial" w:hAnsi="Arial"/>
          <w:b w:val="true"/>
          <w:sz w:val="22"/>
        </w:rPr>
        <w:t>最坚固、最透明、最不可动摇</w:t>
      </w:r>
      <w:r>
        <w:rPr>
          <w:rFonts w:eastAsia="等线" w:ascii="Arial" w:cs="Arial" w:hAnsi="Arial"/>
          <w:sz w:val="22"/>
        </w:rPr>
        <w:t>的价值承诺。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NAC储备管理委员会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2026年2月12日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文档附件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《黄金波动率与覆盖率阈值联合研究报告》（斯坦福大学区块链研究中心，2025）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898186">
    <w:lvl>
      <w:numFmt w:val="bullet"/>
      <w:suff w:val="tab"/>
      <w:lvlText w:val="•"/>
      <w:rPr>
        <w:color w:val="3370ff"/>
      </w:rPr>
    </w:lvl>
  </w:abstractNum>
  <w:abstractNum w:abstractNumId="898187">
    <w:lvl>
      <w:numFmt w:val="bullet"/>
      <w:suff w:val="tab"/>
      <w:lvlText w:val="•"/>
      <w:rPr>
        <w:color w:val="3370ff"/>
      </w:rPr>
    </w:lvl>
  </w:abstractNum>
  <w:abstractNum w:abstractNumId="898188">
    <w:lvl>
      <w:numFmt w:val="bullet"/>
      <w:suff w:val="tab"/>
      <w:lvlText w:val="•"/>
      <w:rPr>
        <w:color w:val="3370ff"/>
      </w:rPr>
    </w:lvl>
  </w:abstractNum>
  <w:abstractNum w:abstractNumId="898189">
    <w:lvl>
      <w:numFmt w:val="bullet"/>
      <w:suff w:val="tab"/>
      <w:lvlText w:val="•"/>
      <w:rPr>
        <w:color w:val="3370ff"/>
      </w:rPr>
    </w:lvl>
  </w:abstractNum>
  <w:abstractNum w:abstractNumId="898190">
    <w:lvl>
      <w:numFmt w:val="bullet"/>
      <w:suff w:val="tab"/>
      <w:lvlText w:val="•"/>
      <w:rPr>
        <w:color w:val="3370ff"/>
      </w:rPr>
    </w:lvl>
  </w:abstractNum>
  <w:abstractNum w:abstractNumId="898191">
    <w:lvl>
      <w:numFmt w:val="bullet"/>
      <w:suff w:val="tab"/>
      <w:lvlText w:val="•"/>
      <w:rPr>
        <w:color w:val="3370ff"/>
      </w:rPr>
    </w:lvl>
  </w:abstractNum>
  <w:abstractNum w:abstractNumId="898192">
    <w:lvl>
      <w:numFmt w:val="bullet"/>
      <w:suff w:val="tab"/>
      <w:lvlText w:val="•"/>
      <w:rPr>
        <w:color w:val="3370ff"/>
      </w:rPr>
    </w:lvl>
  </w:abstractNum>
  <w:abstractNum w:abstractNumId="898193">
    <w:lvl>
      <w:numFmt w:val="bullet"/>
      <w:suff w:val="tab"/>
      <w:lvlText w:val="•"/>
      <w:rPr>
        <w:color w:val="3370ff"/>
      </w:rPr>
    </w:lvl>
  </w:abstractNum>
  <w:abstractNum w:abstractNumId="898194">
    <w:lvl>
      <w:numFmt w:val="bullet"/>
      <w:suff w:val="tab"/>
      <w:lvlText w:val="•"/>
      <w:rPr>
        <w:color w:val="3370ff"/>
      </w:rPr>
    </w:lvl>
  </w:abstractNum>
  <w:abstractNum w:abstractNumId="898195">
    <w:lvl>
      <w:numFmt w:val="bullet"/>
      <w:suff w:val="tab"/>
      <w:lvlText w:val="•"/>
      <w:rPr>
        <w:color w:val="3370ff"/>
      </w:rPr>
    </w:lvl>
  </w:abstractNum>
  <w:abstractNum w:abstractNumId="898196">
    <w:lvl>
      <w:start w:val="1"/>
      <w:numFmt w:val="decimal"/>
      <w:suff w:val="tab"/>
      <w:lvlText w:val="%1."/>
      <w:rPr>
        <w:color w:val="3370ff"/>
      </w:rPr>
    </w:lvl>
  </w:abstractNum>
  <w:abstractNum w:abstractNumId="898197">
    <w:lvl>
      <w:start w:val="2"/>
      <w:numFmt w:val="decimal"/>
      <w:suff w:val="tab"/>
      <w:lvlText w:val="%1."/>
      <w:rPr>
        <w:color w:val="3370ff"/>
      </w:rPr>
    </w:lvl>
  </w:abstractNum>
  <w:abstractNum w:abstractNumId="898198">
    <w:lvl>
      <w:start w:val="3"/>
      <w:numFmt w:val="decimal"/>
      <w:suff w:val="tab"/>
      <w:lvlText w:val="%1."/>
      <w:rPr>
        <w:color w:val="3370ff"/>
      </w:rPr>
    </w:lvl>
  </w:abstractNum>
  <w:abstractNum w:abstractNumId="898199">
    <w:lvl>
      <w:numFmt w:val="bullet"/>
      <w:suff w:val="tab"/>
      <w:lvlText w:val="•"/>
      <w:rPr>
        <w:color w:val="3370ff"/>
      </w:rPr>
    </w:lvl>
  </w:abstractNum>
  <w:abstractNum w:abstractNumId="898200">
    <w:lvl>
      <w:numFmt w:val="bullet"/>
      <w:suff w:val="tab"/>
      <w:lvlText w:val="•"/>
      <w:rPr>
        <w:color w:val="3370ff"/>
      </w:rPr>
    </w:lvl>
  </w:abstractNum>
  <w:abstractNum w:abstractNumId="898201">
    <w:lvl>
      <w:numFmt w:val="bullet"/>
      <w:suff w:val="tab"/>
      <w:lvlText w:val="•"/>
      <w:rPr>
        <w:color w:val="3370ff"/>
      </w:rPr>
    </w:lvl>
  </w:abstractNum>
  <w:num w:numId="1">
    <w:abstractNumId w:val="898186"/>
  </w:num>
  <w:num w:numId="2">
    <w:abstractNumId w:val="898187"/>
  </w:num>
  <w:num w:numId="3">
    <w:abstractNumId w:val="898188"/>
  </w:num>
  <w:num w:numId="4">
    <w:abstractNumId w:val="898189"/>
  </w:num>
  <w:num w:numId="5">
    <w:abstractNumId w:val="898190"/>
  </w:num>
  <w:num w:numId="6">
    <w:abstractNumId w:val="898191"/>
  </w:num>
  <w:num w:numId="7">
    <w:abstractNumId w:val="898192"/>
  </w:num>
  <w:num w:numId="8">
    <w:abstractNumId w:val="898193"/>
  </w:num>
  <w:num w:numId="9">
    <w:abstractNumId w:val="898194"/>
  </w:num>
  <w:num w:numId="10">
    <w:abstractNumId w:val="898195"/>
  </w:num>
  <w:num w:numId="11">
    <w:abstractNumId w:val="898196"/>
  </w:num>
  <w:num w:numId="12">
    <w:abstractNumId w:val="898197"/>
  </w:num>
  <w:num w:numId="13">
    <w:abstractNumId w:val="898198"/>
  </w:num>
  <w:num w:numId="14">
    <w:abstractNumId w:val="898199"/>
  </w:num>
  <w:num w:numId="15">
    <w:abstractNumId w:val="898200"/>
  </w:num>
  <w:num w:numId="16">
    <w:abstractNumId w:val="898201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2026-02-12T12:02:09Z</dcterms:created>
  <dc:creator>Apache POI</dc:creator>
</cp:coreProperties>
</file>