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NAC公链XTZH黄金永续合约储备管理规范（精简重构版）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——作为XTZH三重锚定体系避险层的操作准则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  <w:br/>
      </w:r>
      <w:r>
        <w:rPr>
          <w:rFonts w:eastAsia="等线" w:ascii="Arial" w:cs="Arial" w:hAnsi="Arial"/>
          <w:b w:val="true"/>
          <w:sz w:val="22"/>
        </w:rPr>
        <w:t>制定日期</w:t>
      </w:r>
      <w:r>
        <w:rPr>
          <w:rFonts w:eastAsia="等线" w:ascii="Arial" w:cs="Arial" w:hAnsi="Arial"/>
          <w:sz w:val="22"/>
        </w:rPr>
        <w:t>：2026年2月</w:t>
        <w:br/>
      </w:r>
      <w:r>
        <w:rPr>
          <w:rFonts w:eastAsia="等线" w:ascii="Arial" w:cs="Arial" w:hAnsi="Arial"/>
          <w:b w:val="true"/>
          <w:sz w:val="22"/>
        </w:rPr>
        <w:t>制定机构</w:t>
      </w:r>
      <w:r>
        <w:rPr>
          <w:rFonts w:eastAsia="等线" w:ascii="Arial" w:cs="Arial" w:hAnsi="Arial"/>
          <w:sz w:val="22"/>
        </w:rPr>
        <w:t>：NAC储备管理委员会</w:t>
        <w:br/>
      </w: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：XTZH汇率定价模型 v1.0、ACC-20 v36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定位声明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本规范是</w:t>
      </w:r>
      <w:r>
        <w:rPr>
          <w:rFonts w:eastAsia="等线" w:ascii="Arial" w:cs="Arial" w:hAnsi="Arial"/>
          <w:b w:val="true"/>
          <w:sz w:val="22"/>
        </w:rPr>
        <w:t>XTZH三重锚定体系中“避险层（黄金）10%静态权重”的具体实现准则</w:t>
      </w:r>
      <w:r>
        <w:rPr>
          <w:rFonts w:eastAsia="等线" w:ascii="Arial" w:cs="Arial" w:hAnsi="Arial"/>
          <w:sz w:val="22"/>
        </w:rPr>
        <w:t>，并非XTZH的全部储备宪法。XTZH的整体价值由</w:t>
      </w:r>
      <w:r>
        <w:rPr>
          <w:rFonts w:eastAsia="等线" w:ascii="Arial" w:cs="Arial" w:hAnsi="Arial"/>
          <w:b w:val="true"/>
          <w:sz w:val="22"/>
        </w:rPr>
        <w:t>货币层（40%）、避险层（10%）、实体层（50%）</w:t>
      </w:r>
      <w:r>
        <w:rPr>
          <w:rFonts w:eastAsia="等线" w:ascii="Arial" w:cs="Arial" w:hAnsi="Arial"/>
          <w:sz w:val="22"/>
        </w:rPr>
        <w:t>通过AI动态权重共同锚定，黄金永续合约仅作为避险层的执行工具。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本规范旨在以</w:t>
      </w:r>
      <w:r>
        <w:rPr>
          <w:rFonts w:eastAsia="等线" w:ascii="Arial" w:cs="Arial" w:hAnsi="Arial"/>
          <w:b w:val="true"/>
          <w:sz w:val="22"/>
        </w:rPr>
        <w:t>安全、透明、可审计</w:t>
      </w:r>
      <w:r>
        <w:rPr>
          <w:rFonts w:eastAsia="等线" w:ascii="Arial" w:cs="Arial" w:hAnsi="Arial"/>
          <w:sz w:val="22"/>
        </w:rPr>
        <w:t>的方式管理黄金永续合约持仓，为XTZH提供稳定的黄金价格暴露，同时严格控制衍生品交易特有的对手方、基差与资金费率风险。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一、核心原则（三项铁律）</w:t>
      </w:r>
      <w:bookmarkEnd w:id="1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名义价值全额覆盖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黄金永续合约的名义持仓价值必须始终</w:t>
      </w:r>
      <w:r>
        <w:rPr>
          <w:rFonts w:eastAsia="等线" w:ascii="Arial" w:cs="Arial" w:hAnsi="Arial"/>
          <w:b w:val="true"/>
          <w:sz w:val="22"/>
        </w:rPr>
        <w:t>≥ XTZH避险层目标市值</w:t>
      </w:r>
      <w:r>
        <w:rPr>
          <w:rFonts w:eastAsia="等线" w:ascii="Arial" w:cs="Arial" w:hAnsi="Arial"/>
          <w:sz w:val="22"/>
        </w:rPr>
        <w:t>（即XTZH总市值 × 黄金层动态权重）。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交易所风险分散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任何单一交易所的持仓占比不得超过</w:t>
      </w:r>
      <w:r>
        <w:rPr>
          <w:rFonts w:eastAsia="等线" w:ascii="Arial" w:cs="Arial" w:hAnsi="Arial"/>
          <w:b w:val="true"/>
          <w:sz w:val="22"/>
        </w:rPr>
        <w:t>50%</w:t>
      </w:r>
      <w:r>
        <w:rPr>
          <w:rFonts w:eastAsia="等线" w:ascii="Arial" w:cs="Arial" w:hAnsi="Arial"/>
          <w:sz w:val="22"/>
        </w:rPr>
        <w:t>，且仅接受</w:t>
      </w:r>
      <w:r>
        <w:rPr>
          <w:rFonts w:eastAsia="等线" w:ascii="Arial" w:cs="Arial" w:hAnsi="Arial"/>
          <w:b w:val="true"/>
          <w:sz w:val="22"/>
        </w:rPr>
        <w:t>全球顶级监管机构（CFTC、FCA、MAS、HKEX等）持牌交易所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每日可验证透明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所有合约持仓、保证金、盈亏数据必须</w:t>
      </w:r>
      <w:r>
        <w:rPr>
          <w:rFonts w:eastAsia="等线" w:ascii="Arial" w:cs="Arial" w:hAnsi="Arial"/>
          <w:b w:val="true"/>
          <w:sz w:val="22"/>
        </w:rPr>
        <w:t>每日通过链上预言机及第三方审计双重验证</w:t>
      </w:r>
      <w:r>
        <w:rPr>
          <w:rFonts w:eastAsia="等线" w:ascii="Arial" w:cs="Arial" w:hAnsi="Arial"/>
          <w:sz w:val="22"/>
        </w:rPr>
        <w:t>，并向公众公开。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二、交易所准入与退出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准入标准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最低要求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监管牌照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必须持有主要司法辖区衍生品交易牌照（CFTC、FCA、MAS、HK</w:t>
            </w:r>
            <w:r>
              <w:rPr>
                <w:rFonts w:eastAsia="等线" w:ascii="Arial" w:cs="Arial" w:hAnsi="Arial"/>
                <w:sz w:val="22"/>
              </w:rPr>
              <w:t>EX、SHFE等）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运营历史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≥5年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安全记录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过去3年无重大安全事件</w:t>
            </w:r>
            <w:r>
              <w:rPr>
                <w:rFonts w:eastAsia="等线" w:ascii="Arial" w:cs="Arial" w:hAnsi="Arial"/>
                <w:sz w:val="22"/>
              </w:rPr>
              <w:t>（客户资产被盗）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流动性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黄金衍生品日交易量</w:t>
            </w:r>
            <w:r>
              <w:rPr>
                <w:rFonts w:eastAsia="等线" w:ascii="Arial" w:cs="Arial" w:hAnsi="Arial"/>
                <w:sz w:val="22"/>
              </w:rPr>
              <w:t>≥10亿美元，买卖价差≤0.05%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可审计性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提供每日资产证明（PoR）或允许第三方审计API直连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初始准入清单</w:t>
      </w:r>
      <w:r>
        <w:rPr>
          <w:rFonts w:eastAsia="等线" w:ascii="Arial" w:cs="Arial" w:hAnsi="Arial"/>
          <w:sz w:val="22"/>
        </w:rPr>
        <w:t>（动态更新）：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CME Group（主通道，上限50%）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上海期货交易所（通过合格境内机构，上限30%）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ICE（仅限与LBMA挂钩的黄金期货，上限20%）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香港交易所（上限20%）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禁止准入</w:t>
      </w:r>
      <w:r>
        <w:rPr>
          <w:rFonts w:eastAsia="等线" w:ascii="Arial" w:cs="Arial" w:hAnsi="Arial"/>
          <w:sz w:val="22"/>
        </w:rPr>
        <w:t>：任何不受监管的离岸交易所、场外交易对手、零售级数字资产交易所。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退出机制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当交易所出现以下情形时，启动</w:t>
      </w:r>
      <w:r>
        <w:rPr>
          <w:rFonts w:eastAsia="等线" w:ascii="Arial" w:cs="Arial" w:hAnsi="Arial"/>
          <w:b w:val="true"/>
          <w:sz w:val="22"/>
        </w:rPr>
        <w:t>30日内有序退出</w:t>
      </w:r>
      <w:r>
        <w:rPr>
          <w:rFonts w:eastAsia="等线" w:ascii="Arial" w:cs="Arial" w:hAnsi="Arial"/>
          <w:sz w:val="22"/>
        </w:rPr>
        <w:t>计划：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监管牌照被吊销或受限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连续30日流动性不达标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发生影响客户资产安全的事件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年度审计发现重大财务漏洞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三、持仓分配与再平衡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目标持仓计算公式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\text{目标名义价值} = \text{XTZH总市值} \times w_{Au}(t) \times (1 + \text{基差调整})
</w:t>
        </m:r>
      </m:oMath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>：黄金层动态权重（AI输出，范围5%–20%）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基差调整：当期货价格对LBMA现货的折溢价绝对值&gt;1%时，将目标价值向贴水交易所倾斜，幅度不超过±10%。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分配原则（简化）</w:t>
      </w:r>
      <w:bookmarkEnd w:id="7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安全优先</w:t>
      </w:r>
      <w:r>
        <w:rPr>
          <w:rFonts w:eastAsia="等线" w:ascii="Arial" w:cs="Arial" w:hAnsi="Arial"/>
          <w:sz w:val="22"/>
        </w:rPr>
        <w:t>：按交易所监管等级分配基础权重（CME 50%，其他合计50%）。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流动性平滑</w:t>
      </w:r>
      <w:r>
        <w:rPr>
          <w:rFonts w:eastAsia="等线" w:ascii="Arial" w:cs="Arial" w:hAnsi="Arial"/>
          <w:sz w:val="22"/>
        </w:rPr>
        <w:t>：单笔调仓规模不超过该交易所日交易量的2%。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成本考量</w:t>
      </w:r>
      <w:r>
        <w:rPr>
          <w:rFonts w:eastAsia="等线" w:ascii="Arial" w:cs="Arial" w:hAnsi="Arial"/>
          <w:sz w:val="22"/>
        </w:rPr>
        <w:t>：当某交易所资金费率连续5日高于其他交易所均值0.01%时，启动分批转移。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3.3 再平衡触发阈值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偏差程度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触发条件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执行要求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轻微偏离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实际持仓与目标偏差</w:t>
            </w:r>
            <w:r>
              <w:rPr>
                <w:rFonts w:eastAsia="等线" w:ascii="Arial" w:cs="Arial" w:hAnsi="Arial"/>
                <w:sz w:val="22"/>
              </w:rPr>
              <w:t>&gt;±2%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4小时内完成调整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显著偏离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偏差&gt;±5%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立即启动，1小时内</w:t>
            </w:r>
            <w:r>
              <w:rPr>
                <w:rFonts w:eastAsia="等线" w:ascii="Arial" w:cs="Arial" w:hAnsi="Arial"/>
                <w:sz w:val="22"/>
              </w:rPr>
              <w:t>完成50%调整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严重偏离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偏差&gt;±10%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紧急熔断，暂停新铸造，全员手动干预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每日强制再平衡</w:t>
      </w:r>
      <w:r>
        <w:rPr>
          <w:rFonts w:eastAsia="等线" w:ascii="Arial" w:cs="Arial" w:hAnsi="Arial"/>
          <w:sz w:val="22"/>
        </w:rPr>
        <w:t>：UTC 0:00，无论偏差大小，执行一次全量修正。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四、风险控制框架</w:t>
      </w:r>
      <w:bookmarkEnd w:id="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4.1 三层风险缓冲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资金规模（目标）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L1：运营保证金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XTZH市值的0.5%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铸造费的20%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支付资金费率、交易费、日常滑点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L2：风险准备金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XTZH市值的2%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永续合约盈利的50</w:t>
            </w:r>
            <w:r>
              <w:rPr>
                <w:rFonts w:eastAsia="等线" w:ascii="Arial" w:cs="Arial" w:hAnsi="Arial"/>
                <w:sz w:val="22"/>
              </w:rPr>
              <w:t>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覆盖基差损失、小额交易所违约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L3：超额抵押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XTZH市值的125%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名义持仓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极端行情下的最终兑付保证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L3与XTZH整体锚定模型的关系</w:t>
      </w:r>
      <w:r>
        <w:rPr>
          <w:rFonts w:eastAsia="等线" w:ascii="Arial" w:cs="Arial" w:hAnsi="Arial"/>
          <w:sz w:val="22"/>
        </w:rPr>
        <w:t>：避险层目标市值本身即为XTZH市值的5%-20%，持仓名义价值必须≥该目标。实际执行中，为防范基差波动，通常超配5%左右。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4.2 核心风险指标与监控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监控指标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预警阈值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处置措施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基差风险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各交易所期货-现货价差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&gt;1.5%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暂停该交易所新开</w:t>
            </w:r>
            <w:r>
              <w:rPr>
                <w:rFonts w:eastAsia="等线" w:ascii="Arial" w:cs="Arial" w:hAnsi="Arial"/>
                <w:sz w:val="22"/>
              </w:rPr>
              <w:t>仓，转移仓位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资金费率风险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年化资金成本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&gt;10%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启用期权对冲</w:t>
            </w:r>
            <w:r>
              <w:rPr>
                <w:rFonts w:eastAsia="等线" w:ascii="Arial" w:cs="Arial" w:hAnsi="Arial"/>
                <w:sz w:val="22"/>
              </w:rPr>
              <w:t>，或调减该所仓位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流动性风险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买卖价差&gt;0.1%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连续3日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降低该所目标权重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对手方风险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交易所信用评级下调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任何下调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启动退出评估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4.3 压力测试（月度）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每月模拟以下极端情景，评估生存能力并形成报告：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黄金单日暴跌20%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最大持仓交易所突然暂停提款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连续30天负资金费率（年化-30%）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测试结果向治理委员会和社区公开。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五、透明度与审计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5.1 实时仪表板（公开）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必须提供以下数据，</w:t>
      </w:r>
      <w:r>
        <w:rPr>
          <w:rFonts w:eastAsia="等线" w:ascii="Arial" w:cs="Arial" w:hAnsi="Arial"/>
          <w:b w:val="true"/>
          <w:sz w:val="22"/>
        </w:rPr>
        <w:t>延迟不超过15分钟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各交易所持仓量、名义价值、保证金率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整体覆盖率（持仓价值 / 避险层目标市值）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近30日资金费率支出/收入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最新审计证明哈希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5.2 审计制度（精简三层）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审计层级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公开性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链上自审计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NAC预言机网络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全量数据可验证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第三方验证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合作审计机构（如Chainsecurity）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每日摘要公开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全面审计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每季度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四大会计师</w:t>
            </w:r>
            <w:r>
              <w:rPr>
                <w:rFonts w:eastAsia="等线" w:ascii="Arial" w:cs="Arial" w:hAnsi="Arial"/>
                <w:sz w:val="22"/>
              </w:rPr>
              <w:t>事务所轮换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完整报告公开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5.3 储备证明协议（PoR）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每日生成包含以下内容的默克尔树证明，并上链存证：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各交易所持仓快照哈希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总持仓价值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覆盖率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三家独立审计节点的签名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任何用户均可通过轻客户端验证储备充足性。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六、治理与升级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6.1 参数分级与投票门槛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修改门槛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频率限制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最低覆盖率125%、储备资产类型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 XIC投票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每年≤1次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交易所准入清单、风险准备金比例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 XIC投票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每季度≤1次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再平衡阈值、单所上限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51% XIC投票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每月≤1次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技术参数、API</w:t>
            </w: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技术委员会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随时，需备案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6.2 紧急熔断与恢复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当满足以下任一条件时，</w:t>
      </w:r>
      <w:r>
        <w:rPr>
          <w:rFonts w:eastAsia="等线" w:ascii="Arial" w:cs="Arial" w:hAnsi="Arial"/>
          <w:b w:val="true"/>
          <w:sz w:val="22"/>
        </w:rPr>
        <w:t>自动触发1小时交易暂停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覆盖率跌破115%（125%是底线，115%为紧急线）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任一交易所API全部中断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黄金价格15分钟内波动&amp;gt;7%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熔断期间仅允许平仓、不允许开新仓或铸造XTZH。</w:t>
        <w:br/>
      </w:r>
      <w:r>
        <w:rPr>
          <w:rFonts w:eastAsia="等线" w:ascii="Arial" w:cs="Arial" w:hAnsi="Arial"/>
          <w:sz w:val="22"/>
        </w:rPr>
        <w:t>恢复需技术委员会确认风险解除，或通过XIC紧急提案授权。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七、与XTZH整体锚定模型的协同</w:t>
      </w:r>
      <w:bookmarkEnd w:id="20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黄金层权重由AI宏观引擎独立决定</w:t>
      </w:r>
      <w:r>
        <w:rPr>
          <w:rFonts w:eastAsia="等线" w:ascii="Arial" w:cs="Arial" w:hAnsi="Arial"/>
          <w:sz w:val="22"/>
        </w:rPr>
        <w:t>，本规范仅负责执行该权重对应的名义持仓。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永续合约的盈亏</w:t>
      </w:r>
      <w:r>
        <w:rPr>
          <w:rFonts w:eastAsia="等线" w:ascii="Arial" w:cs="Arial" w:hAnsi="Arial"/>
          <w:sz w:val="22"/>
        </w:rPr>
        <w:t>每日归集至风险准备金账户，作为XTZH整体风险缓冲的一部分，不直接计入XTZH汇率。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当黄金层动态权重上调时</w:t>
      </w:r>
      <w:r>
        <w:rPr>
          <w:rFonts w:eastAsia="等线" w:ascii="Arial" w:cs="Arial" w:hAnsi="Arial"/>
          <w:sz w:val="22"/>
        </w:rPr>
        <w:t>，系统必须在24小时内完成对应增仓；当权重下调时，优先平仓高资金费率交易所的头寸。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极端情形下</w:t>
      </w:r>
      <w:r>
        <w:rPr>
          <w:rFonts w:eastAsia="等线" w:ascii="Arial" w:cs="Arial" w:hAnsi="Arial"/>
          <w:sz w:val="22"/>
        </w:rPr>
        <w:t>（如覆盖率连续1小时&lt;125%），将触发XTZH整体熔断机制——暂停所有铸造，直至恢复。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八、附则</w:t>
      </w:r>
      <w:bookmarkEnd w:id="21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本规范自NAC主网激活第1,000,000个区块起生效。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每年12月由XIC治理委员会进行合规性复审，必要时修订。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任何个人或实体可提交改进提案，遵循标准治理流程。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制定者</w:t>
      </w:r>
      <w:r>
        <w:rPr>
          <w:rFonts w:eastAsia="等线" w:ascii="Arial" w:cs="Arial" w:hAnsi="Arial"/>
          <w:sz w:val="22"/>
        </w:rPr>
        <w:t>：NAC储备管理委员会</w:t>
        <w:br/>
      </w: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：2026年2月12日</w:t>
        <w:br/>
      </w:r>
      <w:r>
        <w:rPr>
          <w:rFonts w:eastAsia="等线" w:ascii="Arial" w:cs="Arial" w:hAnsi="Arial"/>
          <w:b w:val="true"/>
          <w:sz w:val="22"/>
        </w:rPr>
        <w:t>文档标识</w:t>
      </w:r>
      <w:r>
        <w:rPr>
          <w:rFonts w:eastAsia="等线" w:ascii="Arial" w:cs="Arial" w:hAnsi="Arial"/>
          <w:sz w:val="22"/>
        </w:rPr>
        <w:t>：NAC-RM-GOLD-001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本规范是对原法典的彻底重构</w:t>
      </w:r>
      <w:r>
        <w:rPr>
          <w:rFonts w:eastAsia="等线" w:ascii="Arial" w:cs="Arial" w:hAnsi="Arial"/>
          <w:sz w:val="22"/>
        </w:rPr>
        <w:t>，核心改进包括：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去除不切实际的复杂算法与海量预算数字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明确黄金永续合约仅为XTZH三层锚定中的</w:t>
      </w:r>
      <w:r>
        <w:rPr>
          <w:rFonts w:eastAsia="等线" w:ascii="Arial" w:cs="Arial" w:hAnsi="Arial"/>
          <w:b w:val="true"/>
          <w:sz w:val="22"/>
        </w:rPr>
        <w:t>避险层执行工具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将宪法级门槛从90%降至75%，增强可操作性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审计层级精简为三层，强调每日可验证而非多层冗余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简化法律架构，不设多余SPV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增加与XTZH整体模型的协同描述，消除孤立感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422347">
    <w:lvl>
      <w:start w:val="1"/>
      <w:numFmt w:val="decimal"/>
      <w:suff w:val="tab"/>
      <w:lvlText w:val="%1."/>
      <w:rPr>
        <w:color w:val="3370ff"/>
      </w:rPr>
    </w:lvl>
  </w:abstractNum>
  <w:abstractNum w:abstractNumId="2422348">
    <w:lvl>
      <w:start w:val="2"/>
      <w:numFmt w:val="decimal"/>
      <w:suff w:val="tab"/>
      <w:lvlText w:val="%1."/>
      <w:rPr>
        <w:color w:val="3370ff"/>
      </w:rPr>
    </w:lvl>
  </w:abstractNum>
  <w:abstractNum w:abstractNumId="2422349">
    <w:lvl>
      <w:start w:val="3"/>
      <w:numFmt w:val="decimal"/>
      <w:suff w:val="tab"/>
      <w:lvlText w:val="%1."/>
      <w:rPr>
        <w:color w:val="3370ff"/>
      </w:rPr>
    </w:lvl>
  </w:abstractNum>
  <w:abstractNum w:abstractNumId="2422350">
    <w:lvl>
      <w:numFmt w:val="bullet"/>
      <w:suff w:val="tab"/>
      <w:lvlText w:val="•"/>
      <w:rPr>
        <w:color w:val="3370ff"/>
      </w:rPr>
    </w:lvl>
  </w:abstractNum>
  <w:abstractNum w:abstractNumId="2422351">
    <w:lvl>
      <w:numFmt w:val="bullet"/>
      <w:suff w:val="tab"/>
      <w:lvlText w:val="•"/>
      <w:rPr>
        <w:color w:val="3370ff"/>
      </w:rPr>
    </w:lvl>
  </w:abstractNum>
  <w:abstractNum w:abstractNumId="2422352">
    <w:lvl>
      <w:numFmt w:val="bullet"/>
      <w:suff w:val="tab"/>
      <w:lvlText w:val="•"/>
      <w:rPr>
        <w:color w:val="3370ff"/>
      </w:rPr>
    </w:lvl>
  </w:abstractNum>
  <w:abstractNum w:abstractNumId="2422353">
    <w:lvl>
      <w:numFmt w:val="bullet"/>
      <w:suff w:val="tab"/>
      <w:lvlText w:val="•"/>
      <w:rPr>
        <w:color w:val="3370ff"/>
      </w:rPr>
    </w:lvl>
  </w:abstractNum>
  <w:abstractNum w:abstractNumId="2422354">
    <w:lvl>
      <w:numFmt w:val="bullet"/>
      <w:suff w:val="tab"/>
      <w:lvlText w:val="•"/>
      <w:rPr>
        <w:color w:val="3370ff"/>
      </w:rPr>
    </w:lvl>
  </w:abstractNum>
  <w:abstractNum w:abstractNumId="2422355">
    <w:lvl>
      <w:numFmt w:val="bullet"/>
      <w:suff w:val="tab"/>
      <w:lvlText w:val="•"/>
      <w:rPr>
        <w:color w:val="3370ff"/>
      </w:rPr>
    </w:lvl>
  </w:abstractNum>
  <w:abstractNum w:abstractNumId="2422356">
    <w:lvl>
      <w:numFmt w:val="bullet"/>
      <w:suff w:val="tab"/>
      <w:lvlText w:val="•"/>
      <w:rPr>
        <w:color w:val="3370ff"/>
      </w:rPr>
    </w:lvl>
  </w:abstractNum>
  <w:abstractNum w:abstractNumId="2422357">
    <w:lvl>
      <w:numFmt w:val="bullet"/>
      <w:suff w:val="tab"/>
      <w:lvlText w:val="•"/>
      <w:rPr>
        <w:color w:val="3370ff"/>
      </w:rPr>
    </w:lvl>
  </w:abstractNum>
  <w:abstractNum w:abstractNumId="2422358">
    <w:lvl>
      <w:numFmt w:val="bullet"/>
      <w:suff w:val="tab"/>
      <w:lvlText w:val="•"/>
      <w:rPr>
        <w:color w:val="3370ff"/>
      </w:rPr>
    </w:lvl>
  </w:abstractNum>
  <w:abstractNum w:abstractNumId="2422359">
    <w:lvl>
      <w:numFmt w:val="bullet"/>
      <w:suff w:val="tab"/>
      <w:lvlText w:val="•"/>
      <w:rPr>
        <w:color w:val="3370ff"/>
      </w:rPr>
    </w:lvl>
  </w:abstractNum>
  <w:abstractNum w:abstractNumId="2422360">
    <w:lvl>
      <w:start w:val="1"/>
      <w:numFmt w:val="decimal"/>
      <w:suff w:val="tab"/>
      <w:lvlText w:val="%1."/>
      <w:rPr>
        <w:color w:val="3370ff"/>
      </w:rPr>
    </w:lvl>
  </w:abstractNum>
  <w:abstractNum w:abstractNumId="2422361">
    <w:lvl>
      <w:start w:val="2"/>
      <w:numFmt w:val="decimal"/>
      <w:suff w:val="tab"/>
      <w:lvlText w:val="%1."/>
      <w:rPr>
        <w:color w:val="3370ff"/>
      </w:rPr>
    </w:lvl>
  </w:abstractNum>
  <w:abstractNum w:abstractNumId="2422362">
    <w:lvl>
      <w:start w:val="3"/>
      <w:numFmt w:val="decimal"/>
      <w:suff w:val="tab"/>
      <w:lvlText w:val="%1."/>
      <w:rPr>
        <w:color w:val="3370ff"/>
      </w:rPr>
    </w:lvl>
  </w:abstractNum>
  <w:abstractNum w:abstractNumId="2422363">
    <w:lvl>
      <w:numFmt w:val="bullet"/>
      <w:suff w:val="tab"/>
      <w:lvlText w:val="•"/>
      <w:rPr>
        <w:color w:val="3370ff"/>
      </w:rPr>
    </w:lvl>
  </w:abstractNum>
  <w:abstractNum w:abstractNumId="2422364">
    <w:lvl>
      <w:numFmt w:val="bullet"/>
      <w:suff w:val="tab"/>
      <w:lvlText w:val="•"/>
      <w:rPr>
        <w:color w:val="3370ff"/>
      </w:rPr>
    </w:lvl>
  </w:abstractNum>
  <w:abstractNum w:abstractNumId="2422365">
    <w:lvl>
      <w:numFmt w:val="bullet"/>
      <w:suff w:val="tab"/>
      <w:lvlText w:val="•"/>
      <w:rPr>
        <w:color w:val="3370ff"/>
      </w:rPr>
    </w:lvl>
  </w:abstractNum>
  <w:abstractNum w:abstractNumId="2422366">
    <w:lvl>
      <w:numFmt w:val="bullet"/>
      <w:suff w:val="tab"/>
      <w:lvlText w:val="•"/>
      <w:rPr>
        <w:color w:val="3370ff"/>
      </w:rPr>
    </w:lvl>
  </w:abstractNum>
  <w:abstractNum w:abstractNumId="2422367">
    <w:lvl>
      <w:numFmt w:val="bullet"/>
      <w:suff w:val="tab"/>
      <w:lvlText w:val="•"/>
      <w:rPr>
        <w:color w:val="3370ff"/>
      </w:rPr>
    </w:lvl>
  </w:abstractNum>
  <w:abstractNum w:abstractNumId="2422368">
    <w:lvl>
      <w:numFmt w:val="bullet"/>
      <w:suff w:val="tab"/>
      <w:lvlText w:val="•"/>
      <w:rPr>
        <w:color w:val="3370ff"/>
      </w:rPr>
    </w:lvl>
  </w:abstractNum>
  <w:abstractNum w:abstractNumId="2422369">
    <w:lvl>
      <w:numFmt w:val="bullet"/>
      <w:suff w:val="tab"/>
      <w:lvlText w:val="•"/>
      <w:rPr>
        <w:color w:val="3370ff"/>
      </w:rPr>
    </w:lvl>
  </w:abstractNum>
  <w:abstractNum w:abstractNumId="2422370">
    <w:lvl>
      <w:numFmt w:val="bullet"/>
      <w:suff w:val="tab"/>
      <w:lvlText w:val="•"/>
      <w:rPr>
        <w:color w:val="3370ff"/>
      </w:rPr>
    </w:lvl>
  </w:abstractNum>
  <w:abstractNum w:abstractNumId="2422371">
    <w:lvl>
      <w:numFmt w:val="bullet"/>
      <w:suff w:val="tab"/>
      <w:lvlText w:val="•"/>
      <w:rPr>
        <w:color w:val="3370ff"/>
      </w:rPr>
    </w:lvl>
  </w:abstractNum>
  <w:abstractNum w:abstractNumId="2422372">
    <w:lvl>
      <w:numFmt w:val="bullet"/>
      <w:suff w:val="tab"/>
      <w:lvlText w:val="•"/>
      <w:rPr>
        <w:color w:val="3370ff"/>
      </w:rPr>
    </w:lvl>
  </w:abstractNum>
  <w:abstractNum w:abstractNumId="2422373">
    <w:lvl>
      <w:numFmt w:val="bullet"/>
      <w:suff w:val="tab"/>
      <w:lvlText w:val="•"/>
      <w:rPr>
        <w:color w:val="3370ff"/>
      </w:rPr>
    </w:lvl>
  </w:abstractNum>
  <w:abstractNum w:abstractNumId="2422374">
    <w:lvl>
      <w:numFmt w:val="bullet"/>
      <w:suff w:val="tab"/>
      <w:lvlText w:val="•"/>
      <w:rPr>
        <w:color w:val="3370ff"/>
      </w:rPr>
    </w:lvl>
  </w:abstractNum>
  <w:abstractNum w:abstractNumId="2422375">
    <w:lvl>
      <w:numFmt w:val="bullet"/>
      <w:suff w:val="tab"/>
      <w:lvlText w:val="•"/>
      <w:rPr>
        <w:color w:val="3370ff"/>
      </w:rPr>
    </w:lvl>
  </w:abstractNum>
  <w:abstractNum w:abstractNumId="2422376">
    <w:lvl>
      <w:numFmt w:val="bullet"/>
      <w:suff w:val="tab"/>
      <w:lvlText w:val="•"/>
      <w:rPr>
        <w:color w:val="3370ff"/>
      </w:rPr>
    </w:lvl>
  </w:abstractNum>
  <w:abstractNum w:abstractNumId="2422377">
    <w:lvl>
      <w:start w:val="1"/>
      <w:numFmt w:val="decimal"/>
      <w:suff w:val="tab"/>
      <w:lvlText w:val="%1."/>
      <w:rPr>
        <w:color w:val="3370ff"/>
      </w:rPr>
    </w:lvl>
  </w:abstractNum>
  <w:abstractNum w:abstractNumId="2422378">
    <w:lvl>
      <w:start w:val="2"/>
      <w:numFmt w:val="decimal"/>
      <w:suff w:val="tab"/>
      <w:lvlText w:val="%1."/>
      <w:rPr>
        <w:color w:val="3370ff"/>
      </w:rPr>
    </w:lvl>
  </w:abstractNum>
  <w:abstractNum w:abstractNumId="2422379">
    <w:lvl>
      <w:start w:val="3"/>
      <w:numFmt w:val="decimal"/>
      <w:suff w:val="tab"/>
      <w:lvlText w:val="%1."/>
      <w:rPr>
        <w:color w:val="3370ff"/>
      </w:rPr>
    </w:lvl>
  </w:abstractNum>
  <w:abstractNum w:abstractNumId="2422380">
    <w:lvl>
      <w:start w:val="4"/>
      <w:numFmt w:val="decimal"/>
      <w:suff w:val="tab"/>
      <w:lvlText w:val="%1."/>
      <w:rPr>
        <w:color w:val="3370ff"/>
      </w:rPr>
    </w:lvl>
  </w:abstractNum>
  <w:abstractNum w:abstractNumId="2422381">
    <w:lvl>
      <w:start w:val="1"/>
      <w:numFmt w:val="decimal"/>
      <w:suff w:val="tab"/>
      <w:lvlText w:val="%1."/>
      <w:rPr>
        <w:color w:val="3370ff"/>
      </w:rPr>
    </w:lvl>
  </w:abstractNum>
  <w:abstractNum w:abstractNumId="2422382">
    <w:lvl>
      <w:start w:val="2"/>
      <w:numFmt w:val="decimal"/>
      <w:suff w:val="tab"/>
      <w:lvlText w:val="%1."/>
      <w:rPr>
        <w:color w:val="3370ff"/>
      </w:rPr>
    </w:lvl>
  </w:abstractNum>
  <w:abstractNum w:abstractNumId="2422383">
    <w:lvl>
      <w:start w:val="3"/>
      <w:numFmt w:val="decimal"/>
      <w:suff w:val="tab"/>
      <w:lvlText w:val="%1."/>
      <w:rPr>
        <w:color w:val="3370ff"/>
      </w:rPr>
    </w:lvl>
  </w:abstractNum>
  <w:abstractNum w:abstractNumId="2422384">
    <w:lvl>
      <w:numFmt w:val="bullet"/>
      <w:suff w:val="tab"/>
      <w:lvlText w:val="•"/>
      <w:rPr>
        <w:color w:val="3370ff"/>
      </w:rPr>
    </w:lvl>
  </w:abstractNum>
  <w:abstractNum w:abstractNumId="2422385">
    <w:lvl>
      <w:numFmt w:val="bullet"/>
      <w:suff w:val="tab"/>
      <w:lvlText w:val="•"/>
      <w:rPr>
        <w:color w:val="3370ff"/>
      </w:rPr>
    </w:lvl>
  </w:abstractNum>
  <w:abstractNum w:abstractNumId="2422386">
    <w:lvl>
      <w:numFmt w:val="bullet"/>
      <w:suff w:val="tab"/>
      <w:lvlText w:val="•"/>
      <w:rPr>
        <w:color w:val="3370ff"/>
      </w:rPr>
    </w:lvl>
  </w:abstractNum>
  <w:abstractNum w:abstractNumId="2422387">
    <w:lvl>
      <w:numFmt w:val="bullet"/>
      <w:suff w:val="tab"/>
      <w:lvlText w:val="•"/>
      <w:rPr>
        <w:color w:val="3370ff"/>
      </w:rPr>
    </w:lvl>
  </w:abstractNum>
  <w:abstractNum w:abstractNumId="2422388">
    <w:lvl>
      <w:numFmt w:val="bullet"/>
      <w:suff w:val="tab"/>
      <w:lvlText w:val="•"/>
      <w:rPr>
        <w:color w:val="3370ff"/>
      </w:rPr>
    </w:lvl>
  </w:abstractNum>
  <w:abstractNum w:abstractNumId="2422389">
    <w:lvl>
      <w:numFmt w:val="bullet"/>
      <w:suff w:val="tab"/>
      <w:lvlText w:val="•"/>
      <w:rPr>
        <w:color w:val="3370ff"/>
      </w:rPr>
    </w:lvl>
  </w:abstractNum>
  <w:num w:numId="1">
    <w:abstractNumId w:val="2422347"/>
  </w:num>
  <w:num w:numId="2">
    <w:abstractNumId w:val="2422348"/>
  </w:num>
  <w:num w:numId="3">
    <w:abstractNumId w:val="2422349"/>
  </w:num>
  <w:num w:numId="4">
    <w:abstractNumId w:val="2422350"/>
  </w:num>
  <w:num w:numId="5">
    <w:abstractNumId w:val="2422351"/>
  </w:num>
  <w:num w:numId="6">
    <w:abstractNumId w:val="2422352"/>
  </w:num>
  <w:num w:numId="7">
    <w:abstractNumId w:val="2422353"/>
  </w:num>
  <w:num w:numId="8">
    <w:abstractNumId w:val="2422354"/>
  </w:num>
  <w:num w:numId="9">
    <w:abstractNumId w:val="2422355"/>
  </w:num>
  <w:num w:numId="10">
    <w:abstractNumId w:val="2422356"/>
  </w:num>
  <w:num w:numId="11">
    <w:abstractNumId w:val="2422357"/>
  </w:num>
  <w:num w:numId="12">
    <w:abstractNumId w:val="2422358"/>
  </w:num>
  <w:num w:numId="13">
    <w:abstractNumId w:val="2422359"/>
  </w:num>
  <w:num w:numId="14">
    <w:abstractNumId w:val="2422360"/>
  </w:num>
  <w:num w:numId="15">
    <w:abstractNumId w:val="2422361"/>
  </w:num>
  <w:num w:numId="16">
    <w:abstractNumId w:val="2422362"/>
  </w:num>
  <w:num w:numId="17">
    <w:abstractNumId w:val="2422363"/>
  </w:num>
  <w:num w:numId="18">
    <w:abstractNumId w:val="2422364"/>
  </w:num>
  <w:num w:numId="19">
    <w:abstractNumId w:val="2422365"/>
  </w:num>
  <w:num w:numId="20">
    <w:abstractNumId w:val="2422366"/>
  </w:num>
  <w:num w:numId="21">
    <w:abstractNumId w:val="2422367"/>
  </w:num>
  <w:num w:numId="22">
    <w:abstractNumId w:val="2422368"/>
  </w:num>
  <w:num w:numId="23">
    <w:abstractNumId w:val="2422369"/>
  </w:num>
  <w:num w:numId="24">
    <w:abstractNumId w:val="2422370"/>
  </w:num>
  <w:num w:numId="25">
    <w:abstractNumId w:val="2422371"/>
  </w:num>
  <w:num w:numId="26">
    <w:abstractNumId w:val="2422372"/>
  </w:num>
  <w:num w:numId="27">
    <w:abstractNumId w:val="2422373"/>
  </w:num>
  <w:num w:numId="28">
    <w:abstractNumId w:val="2422374"/>
  </w:num>
  <w:num w:numId="29">
    <w:abstractNumId w:val="2422375"/>
  </w:num>
  <w:num w:numId="30">
    <w:abstractNumId w:val="2422376"/>
  </w:num>
  <w:num w:numId="31">
    <w:abstractNumId w:val="2422377"/>
  </w:num>
  <w:num w:numId="32">
    <w:abstractNumId w:val="2422378"/>
  </w:num>
  <w:num w:numId="33">
    <w:abstractNumId w:val="2422379"/>
  </w:num>
  <w:num w:numId="34">
    <w:abstractNumId w:val="2422380"/>
  </w:num>
  <w:num w:numId="35">
    <w:abstractNumId w:val="2422381"/>
  </w:num>
  <w:num w:numId="36">
    <w:abstractNumId w:val="2422382"/>
  </w:num>
  <w:num w:numId="37">
    <w:abstractNumId w:val="2422383"/>
  </w:num>
  <w:num w:numId="38">
    <w:abstractNumId w:val="2422384"/>
  </w:num>
  <w:num w:numId="39">
    <w:abstractNumId w:val="2422385"/>
  </w:num>
  <w:num w:numId="40">
    <w:abstractNumId w:val="2422386"/>
  </w:num>
  <w:num w:numId="41">
    <w:abstractNumId w:val="2422387"/>
  </w:num>
  <w:num w:numId="42">
    <w:abstractNumId w:val="2422388"/>
  </w:num>
  <w:num w:numId="43">
    <w:abstractNumId w:val="242238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2026-02-12T06:55:49Z</dcterms:created>
  <dc:creator>Apache POI</dc:creator>
</cp:coreProperties>
</file>