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NAC原生公链复杂架构技术方案（WORD适配</w:t>
      </w:r>
      <w:r>
        <w:rPr>
          <w:rFonts w:eastAsia="等线" w:ascii="Arial" w:cs="Arial" w:hAnsi="Arial"/>
          <w:b w:val="true"/>
          <w:sz w:val="52"/>
        </w:rPr>
        <w:t>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在NAC原生公链上实现"资产分叉+一币多链+一链多层+多链并行+一链多叉"的复杂架构，需要系统性的设计。以下是详细技术方案：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一、整体架构设计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 多链并行架构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┌─────────────────────────────────────────────────────┐</w:t>
              <w:br/>
              <w:t>│                 NAC根链（Root Chain）                  │</w:t>
              <w:br/>
              <w:t>│  - 资产注册中心  - 跨链路由  - 共识协调                 │</w:t>
              <w:br/>
              <w:t>└─────────────────┬───────────┬───────────────────────┘</w:t>
              <w:br/>
              <w:t xml:space="preserve">                  │           │</w:t>
              <w:br/>
              <w:t xml:space="preserve">    ┌─────────────▼─┐   ┌─────▼───────────┐</w:t>
              <w:br/>
              <w:t xml:space="preserve">    │  应用链A      │   │   应用链B        │</w:t>
              <w:br/>
              <w:t xml:space="preserve">    │  - Layer1主链 │   │  - Layer1主链    │</w:t>
              <w:br/>
              <w:t xml:space="preserve">    │  - Layer2扩展 │   │  - Layer2扩展    │</w:t>
              <w:br/>
              <w:t xml:space="preserve">    └───────────────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┘   └─────────────────┘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2. 核心组件</w:t>
      </w:r>
      <w:bookmarkEnd w:id="2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资产映射合约</w:t>
      </w:r>
      <w:r>
        <w:rPr>
          <w:rFonts w:eastAsia="等线" w:ascii="Arial" w:cs="Arial" w:hAnsi="Arial"/>
          <w:sz w:val="22"/>
        </w:rPr>
        <w:t>（Asset Mapping Contract, AMC）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跨链消息协议</w:t>
      </w:r>
      <w:r>
        <w:rPr>
          <w:rFonts w:eastAsia="等线" w:ascii="Arial" w:cs="Arial" w:hAnsi="Arial"/>
          <w:sz w:val="22"/>
        </w:rPr>
        <w:t>（NAC Cross-chain Protocol, NCP）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分层状态通道</w:t>
      </w:r>
      <w:r>
        <w:rPr>
          <w:rFonts w:eastAsia="等线" w:ascii="Arial" w:cs="Arial" w:hAnsi="Arial"/>
          <w:sz w:val="22"/>
        </w:rPr>
        <w:t>（Layer State Channel）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分叉管理器</w:t>
      </w:r>
      <w:r>
        <w:rPr>
          <w:rFonts w:eastAsia="等线" w:ascii="Arial" w:cs="Arial" w:hAnsi="Arial"/>
          <w:sz w:val="22"/>
        </w:rPr>
        <w:t>（Fork Manager）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二、具体实现方案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 一币多链实现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资产映射合约示例</w:t>
              <w:br/>
              <w:t>contract AssetMapper {</w:t>
              <w:br/>
              <w:t xml:space="preserve">    mapping(address =&gt; mapping(uint256 =&gt; uint256)) public chainBalances;</w:t>
              <w:br/>
              <w:t xml:space="preserve">    mapping(uint256 =&gt; bool) public supportedChains;</w:t>
              <w:br/>
              <w:t xml:space="preserve">    </w:t>
              <w:br/>
              <w:t xml:space="preserve">    // 跨链转移</w:t>
              <w:br/>
              <w:t xml:space="preserve">    function crossChainTransfer(</w:t>
              <w:br/>
              <w:t xml:space="preserve">        uint256 fromChainId,</w:t>
              <w:br/>
              <w:t xml:space="preserve">        uint256 toChainId,</w:t>
              <w:br/>
              <w:t xml:space="preserve">        uint256 amount,</w:t>
              <w:br/>
              <w:t xml:space="preserve">        bytes proof</w:t>
              <w:br/>
              <w:t xml:space="preserve">    ) external {</w:t>
              <w:br/>
              <w:t xml:space="preserve">        // 验证源链的锁定证明</w:t>
              <w:br/>
              <w:t xml:space="preserve">        require(verifyLockProof(fromChainId, msg.sender, amount, proof));</w:t>
              <w:br/>
              <w:t xml:space="preserve">        </w:t>
              <w:br/>
              <w:t xml:space="preserve">        // 在目标链上铸造等值资产</w:t>
              <w:br/>
              <w:t xml:space="preserve">        chainBalances[msg.sender][toChainId] += amount;</w:t>
              <w:br/>
              <w:t xml:space="preserve">        emit CrossChainTransfer(msg.sender, fromChainId, toChainId, amount);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 一链多层架构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Layer1（主链）：</w:t>
              <w:br/>
              <w:t xml:space="preserve">  - 资产所有权记录</w:t>
              <w:br/>
              <w:t xml:space="preserve">  - 最终结算层</w:t>
              <w:br/>
              <w:t xml:space="preserve">  - 跨链共识锚点</w:t>
              <w:br/>
              <w:br/>
              <w:t>Layer2（扩展层）：</w:t>
              <w:br/>
              <w:t xml:space="preserve">  - 状态通道（快速交易）</w:t>
              <w:br/>
              <w:t xml:space="preserve">  - 侧链（特定应用）</w:t>
              <w:br/>
              <w:t xml:space="preserve">  - Rollup（批量处理）</w:t>
              <w:br/>
              <w:br/>
              <w:t>Layer3（应用层）：</w:t>
              <w:br/>
              <w:t xml:space="preserve">  - 应用特定逻辑</w:t>
              <w:br/>
              <w:t xml:space="preserve">  - 临时状态存储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 资产分叉机制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分叉管理器</w:t>
              <w:br/>
              <w:t>contract ForkManager {</w:t>
              <w:br/>
              <w:t xml:space="preserve">    struct ForkRule {</w:t>
              <w:br/>
              <w:t xml:space="preserve">        uint256 snapshotHeight;</w:t>
              <w:br/>
              <w:t xml:space="preserve">        mapping(address =&gt; uint256) oldTokenBalance;</w:t>
              <w:br/>
              <w:t xml:space="preserve">        mapping(address =&gt; uint256) newTokenBalance;</w:t>
              <w:br/>
              <w:t xml:space="preserve">        address newTokenAddress;</w:t>
              <w:br/>
              <w:t xml:space="preserve">        uint256 ratio; // 分叉比例</w:t>
              <w:br/>
              <w:t xml:space="preserve">    }</w:t>
              <w:br/>
              <w:t xml:space="preserve">    </w:t>
              <w:br/>
              <w:t xml:space="preserve">    mapping(bytes32 =&gt; ForkRule) public forkRules;</w:t>
              <w:br/>
              <w:t xml:space="preserve">    </w:t>
              <w:br/>
              <w:t xml:space="preserve">    // 创建资产分叉</w:t>
              <w:br/>
              <w:t xml:space="preserve">    function createFork(</w:t>
              <w:br/>
              <w:t xml:space="preserve">        address originalToken,</w:t>
              <w:br/>
              <w:t xml:space="preserve">        address newToken,</w:t>
              <w:br/>
              <w:t xml:space="preserve">        uint256 ratio,</w:t>
              <w:br/>
              <w:t xml:space="preserve">        string memory forkName</w:t>
              <w:br/>
              <w:t xml:space="preserve">    ) external onlyGovernance {</w:t>
              <w:br/>
              <w:t xml:space="preserve">        bytes32 forkId = keccak256(abi.encodePacked(forkName));</w:t>
              <w:br/>
              <w:t xml:space="preserve">        </w:t>
              <w:br/>
              <w:t xml:space="preserve">        // 记录快照高度</w:t>
              <w:br/>
              <w:t xml:space="preserve">        forkRules[forkId].snapshotHeight = block.number;</w:t>
              <w:br/>
              <w:t xml:space="preserve">        forkRules[forkId].newTokenAddress = newToken;</w:t>
              <w:br/>
              <w:t xml:space="preserve">        forkRules[forkId].ratio = ratio;</w:t>
              <w:br/>
              <w:t xml:space="preserve">        </w:t>
              <w:br/>
              <w:t xml:space="preserve">        // 分发新资产</w:t>
              <w:br/>
              <w:t xml:space="preserve">        _distributeNewTokens(forkId, originalToken, ratio);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4. 多链并行执行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go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并行执行引擎</w:t>
              <w:br/>
              <w:t>type ParallelExecutor struct {</w:t>
              <w:br/>
              <w:t xml:space="preserve">    Chains      map[uint64]*ChainInstance</w:t>
              <w:br/>
              <w:t xml:space="preserve">    Router      *CrossChainRouter</w:t>
              <w:br/>
              <w:t xml:space="preserve">    StateSync   *StateSynchronizer</w:t>
              <w:br/>
              <w:t>}</w:t>
              <w:br/>
              <w:br/>
              <w:t>func (e *ParallelExecutor) ExecuteParallel(</w:t>
              <w:br/>
              <w:t xml:space="preserve">    transactions []CrossChainTx</w:t>
              <w:br/>
              <w:t>) []ExecutionResult {</w:t>
              <w:br/>
              <w:t xml:space="preserve">    // 分组交易到不同链</w:t>
              <w:br/>
              <w:t xml:space="preserve">    groupedTxs := e.Router.GroupByChain(transactions)</w:t>
              <w:br/>
              <w:t xml:space="preserve">    </w:t>
              <w:br/>
              <w:t xml:space="preserve">    // 并行执行</w:t>
              <w:br/>
              <w:t xml:space="preserve">    results := make([]ExecutionResult, len(transactions))</w:t>
              <w:br/>
              <w:t xml:space="preserve">    var wg sync.WaitGroup</w:t>
              <w:br/>
              <w:t xml:space="preserve">    </w:t>
              <w:br/>
              <w:t xml:space="preserve">    for chainID, txs := range groupedTxs {</w:t>
              <w:br/>
              <w:t xml:space="preserve">        wg.Add(1)</w:t>
              <w:br/>
              <w:t xml:space="preserve">        go func(id uint64, txList []Transaction) {</w:t>
              <w:br/>
              <w:t xml:space="preserve">            defer wg.Done()</w:t>
              <w:br/>
              <w:t xml:space="preserve">            chain := e.Chains[id]</w:t>
              <w:br/>
              <w:t xml:space="preserve">            chain.ExecuteBatch(txList)</w:t>
              <w:br/>
              <w:t xml:space="preserve">        }(chainID, txs)</w:t>
              <w:br/>
              <w:t xml:space="preserve">    }</w:t>
              <w:br/>
              <w:t xml:space="preserve">    </w:t>
              <w:br/>
              <w:t xml:space="preserve">    wg.Wait()</w:t>
              <w:br/>
              <w:t xml:space="preserve">    return results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三、关键技术创新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1. 统一资产标识协议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NAC资产URI格式：nac://{chainId}/{layer}/{contract}/{tokenId}</w:t>
              <w:br/>
              <w:t>示例：nac://1/layer2/0x123.../1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 跨链状态同步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rust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状态同步协议</w:t>
              <w:br/>
              <w:t>pub struct StateSyncProof {</w:t>
              <w:br/>
              <w:t xml:space="preserve">    pub merkle_root: Hash,</w:t>
              <w:br/>
              <w:t xml:space="preserve">    pub block_height: u64,</w:t>
              <w:br/>
              <w:t xml:space="preserve">    pub signatures: Vec&lt;Signature&gt;,</w:t>
              <w:br/>
              <w:t xml:space="preserve">    pub chain_id: u64,</w:t>
              <w:br/>
              <w:t>}</w:t>
              <w:br/>
              <w:br/>
              <w:t>impl StateSyncProof {</w:t>
              <w:br/>
              <w:t xml:space="preserve">    pub fn verify(&amp;self, state_root: Hash) -&gt; bool {</w:t>
              <w:br/>
              <w:t xml:space="preserve">        // 多签验证</w:t>
              <w:br/>
              <w:t xml:space="preserve">        // 状态根验证</w:t>
              <w:br/>
              <w:t xml:space="preserve">        // 链有效性验证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 分层共识机制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主链共识：DPoS + BFT</w:t>
              <w:br/>
              <w:t>侧链共识：根据应用需求定制（PoA, PoS, PoW）</w:t>
              <w:br/>
              <w:t>状态通道：</w:t>
            </w:r>
            <w:r>
              <w:rPr>
                <w:rFonts w:eastAsia="Consolas" w:ascii="Consolas" w:cs="Consolas" w:hAnsi="Consolas"/>
                <w:sz w:val="22"/>
              </w:rPr>
              <w:t>双方签名 + 超时机制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四、智能合约系统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1. 核心合约架构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contracts/</w:t>
              <w:br/>
              <w:t>├── interfaces/</w:t>
              <w:br/>
              <w:t>│   ├── IAssetMapper.sol</w:t>
              <w:br/>
              <w:t>│   ├── IForkManager.sol</w:t>
              <w:br/>
              <w:t>│   └── ICrossChain.sol</w:t>
              <w:br/>
              <w:t>├── core/</w:t>
              <w:br/>
              <w:t>│   ├── NACRootChain.sol</w:t>
              <w:br/>
              <w:t>│   ├── LayerManager.sol</w:t>
              <w:br/>
              <w:t>│   └── AssetRegistry.sol</w:t>
              <w:br/>
              <w:t>├── bridges/</w:t>
              <w:br/>
              <w:t>│   ├── CrossChainBridge.sol</w:t>
              <w:br/>
              <w:t>│   └── StateChannel.sol</w:t>
              <w:br/>
              <w:t>└── governance/</w:t>
              <w:br/>
              <w:t xml:space="preserve">    ├── ForkGovernance.sol</w:t>
              <w:br/>
              <w:t xml:space="preserve">    └── ChainRegistry</w:t>
            </w:r>
            <w:r>
              <w:rPr>
                <w:rFonts w:eastAsia="Consolas" w:ascii="Consolas" w:cs="Consolas" w:hAnsi="Consolas"/>
                <w:sz w:val="22"/>
              </w:rPr>
              <w:t>.sol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2. 分叉执行流程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一链多叉执行器</w:t>
              <w:br/>
              <w:t>contract MultiForkExecutor {</w:t>
              <w:br/>
              <w:t xml:space="preserve">    function executeFork(</w:t>
              <w:br/>
              <w:t xml:space="preserve">        address token,</w:t>
              <w:br/>
              <w:t xml:space="preserve">        ForkConfig[] memory forks</w:t>
              <w:br/>
              <w:t xml:space="preserve">    ) external {</w:t>
              <w:br/>
              <w:t xml:space="preserve">        // 1. 快照当前余额</w:t>
              <w:br/>
              <w:t xml:space="preserve">        uint256 snapshotBlock = block.number;</w:t>
              <w:br/>
              <w:t xml:space="preserve">        </w:t>
              <w:br/>
              <w:t xml:space="preserve">        // 2. 并行创建多个分叉</w:t>
              <w:br/>
              <w:t xml:space="preserve">        for (uint i = 0; i &lt; forks.length; i++) {</w:t>
              <w:br/>
              <w:t xml:space="preserve">            _createFork(token, forks[i], snapshotBlock);</w:t>
              <w:br/>
              <w:t xml:space="preserve">        }</w:t>
              <w:br/>
              <w:t xml:space="preserve">        </w:t>
              <w:br/>
              <w:t xml:space="preserve">        // 3. 更新资产关系映射</w:t>
              <w:br/>
              <w:t xml:space="preserve">        _updateAssetRelations(token, forks);</w:t>
              <w:br/>
              <w:t xml:space="preserve">  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五、技术栈建议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1. 底层技术</w:t>
      </w:r>
      <w:bookmarkEnd w:id="16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区块链框架</w:t>
      </w:r>
      <w:r>
        <w:rPr>
          <w:rFonts w:eastAsia="等线" w:ascii="Arial" w:cs="Arial" w:hAnsi="Arial"/>
          <w:sz w:val="22"/>
        </w:rPr>
        <w:t>: Substrate/Cosmos SDK（支持多链）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智能合约</w:t>
      </w:r>
      <w:r>
        <w:rPr>
          <w:rFonts w:eastAsia="等线" w:ascii="Arial" w:cs="Arial" w:hAnsi="Arial"/>
          <w:sz w:val="22"/>
        </w:rPr>
        <w:t>: Solidity + WASM（多语言支持）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存储</w:t>
      </w:r>
      <w:r>
        <w:rPr>
          <w:rFonts w:eastAsia="等线" w:ascii="Arial" w:cs="Arial" w:hAnsi="Arial"/>
          <w:sz w:val="22"/>
        </w:rPr>
        <w:t>: IPFS + 分布式数据库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</w:t>
      </w:r>
      <w:r>
        <w:rPr>
          <w:rFonts w:eastAsia="等线" w:ascii="Arial" w:cs="Arial" w:hAnsi="Arial"/>
          <w:sz w:val="22"/>
        </w:rPr>
        <w:t>: IBC协议 + 轻客户端验证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2. 关键参数配置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yaml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chain:</w:t>
              <w:br/>
              <w:t xml:space="preserve">  max_parallel_chains: 100</w:t>
              <w:br/>
              <w:t xml:space="preserve">  block_time: 3s</w:t>
              <w:br/>
              <w:t xml:space="preserve">  cross_chain_delay: 12 blocks</w:t>
              <w:br/>
              <w:t xml:space="preserve">  </w:t>
              <w:br/>
              <w:t>asset:</w:t>
              <w:br/>
              <w:t xml:space="preserve">  max_forks_per_asset: 10</w:t>
              <w:br/>
              <w:t xml:space="preserve">  fork_cooldown: 86400 # 24小时</w:t>
              <w:br/>
              <w:t xml:space="preserve">  </w:t>
              <w:br/>
              <w:t>layer:</w:t>
              <w:br/>
              <w:t xml:space="preserve">  layer1_finality: 30 blocks</w:t>
              <w:br/>
              <w:t xml:space="preserve">  layer2_finality: 1 block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六、安全考虑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1. 安全机制</w:t>
      </w:r>
      <w:bookmarkEnd w:id="19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跨链双花保护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分叉回滚保护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链分裂检测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治理攻击防护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2. 经济模型</w:t>
      </w:r>
      <w:bookmarkEnd w:id="20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跨链手续费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分叉创建成本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状态存储租金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治理代币质押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七、部署路线图</w:t>
      </w:r>
      <w:bookmarkEnd w:id="21"/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Phase 1</w:t>
      </w:r>
      <w:r>
        <w:rPr>
          <w:rFonts w:eastAsia="等线" w:ascii="Arial" w:cs="Arial" w:hAnsi="Arial"/>
          <w:sz w:val="22"/>
        </w:rPr>
        <w:t>: 基础链 + 资产映射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Phase 2</w:t>
      </w:r>
      <w:r>
        <w:rPr>
          <w:rFonts w:eastAsia="等线" w:ascii="Arial" w:cs="Arial" w:hAnsi="Arial"/>
          <w:sz w:val="22"/>
        </w:rPr>
        <w:t>: 跨链通信 + 状态同步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Phase 3</w:t>
      </w:r>
      <w:r>
        <w:rPr>
          <w:rFonts w:eastAsia="等线" w:ascii="Arial" w:cs="Arial" w:hAnsi="Arial"/>
          <w:sz w:val="22"/>
        </w:rPr>
        <w:t>: 分层架构实现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Phase 4</w:t>
      </w:r>
      <w:r>
        <w:rPr>
          <w:rFonts w:eastAsia="等线" w:ascii="Arial" w:cs="Arial" w:hAnsi="Arial"/>
          <w:sz w:val="22"/>
        </w:rPr>
        <w:t>: 多链并行优化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Phase 5</w:t>
      </w:r>
      <w:r>
        <w:rPr>
          <w:rFonts w:eastAsia="等线" w:ascii="Arial" w:cs="Arial" w:hAnsi="Arial"/>
          <w:sz w:val="22"/>
        </w:rPr>
        <w:t>: 分叉治理系统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该架构支持：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✅ 同一资产在多个链上流通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✅ 每条链可有多层扩展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✅ 多链同时处理交易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✅ 灵活创建资产分叉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5346529">
    <w:lvl>
      <w:numFmt w:val="bullet"/>
      <w:suff w:val="tab"/>
      <w:lvlText w:val="•"/>
      <w:rPr>
        <w:color w:val="3370ff"/>
      </w:rPr>
    </w:lvl>
  </w:abstractNum>
  <w:abstractNum w:abstractNumId="5346530">
    <w:lvl>
      <w:numFmt w:val="bullet"/>
      <w:suff w:val="tab"/>
      <w:lvlText w:val="•"/>
      <w:rPr>
        <w:color w:val="3370ff"/>
      </w:rPr>
    </w:lvl>
  </w:abstractNum>
  <w:abstractNum w:abstractNumId="5346531">
    <w:lvl>
      <w:numFmt w:val="bullet"/>
      <w:suff w:val="tab"/>
      <w:lvlText w:val="•"/>
      <w:rPr>
        <w:color w:val="3370ff"/>
      </w:rPr>
    </w:lvl>
  </w:abstractNum>
  <w:abstractNum w:abstractNumId="5346532">
    <w:lvl>
      <w:numFmt w:val="bullet"/>
      <w:suff w:val="tab"/>
      <w:lvlText w:val="•"/>
      <w:rPr>
        <w:color w:val="3370ff"/>
      </w:rPr>
    </w:lvl>
  </w:abstractNum>
  <w:abstractNum w:abstractNumId="5346533">
    <w:lvl>
      <w:numFmt w:val="bullet"/>
      <w:suff w:val="tab"/>
      <w:lvlText w:val="•"/>
      <w:rPr>
        <w:color w:val="3370ff"/>
      </w:rPr>
    </w:lvl>
  </w:abstractNum>
  <w:abstractNum w:abstractNumId="5346534">
    <w:lvl>
      <w:numFmt w:val="bullet"/>
      <w:suff w:val="tab"/>
      <w:lvlText w:val="•"/>
      <w:rPr>
        <w:color w:val="3370ff"/>
      </w:rPr>
    </w:lvl>
  </w:abstractNum>
  <w:abstractNum w:abstractNumId="5346535">
    <w:lvl>
      <w:numFmt w:val="bullet"/>
      <w:suff w:val="tab"/>
      <w:lvlText w:val="•"/>
      <w:rPr>
        <w:color w:val="3370ff"/>
      </w:rPr>
    </w:lvl>
  </w:abstractNum>
  <w:abstractNum w:abstractNumId="5346536">
    <w:lvl>
      <w:numFmt w:val="bullet"/>
      <w:suff w:val="tab"/>
      <w:lvlText w:val="•"/>
      <w:rPr>
        <w:color w:val="3370ff"/>
      </w:rPr>
    </w:lvl>
  </w:abstractNum>
  <w:abstractNum w:abstractNumId="5346537">
    <w:lvl>
      <w:numFmt w:val="bullet"/>
      <w:suff w:val="tab"/>
      <w:lvlText w:val="•"/>
      <w:rPr>
        <w:color w:val="3370ff"/>
      </w:rPr>
    </w:lvl>
  </w:abstractNum>
  <w:abstractNum w:abstractNumId="5346538">
    <w:lvl>
      <w:numFmt w:val="bullet"/>
      <w:suff w:val="tab"/>
      <w:lvlText w:val="•"/>
      <w:rPr>
        <w:color w:val="3370ff"/>
      </w:rPr>
    </w:lvl>
  </w:abstractNum>
  <w:abstractNum w:abstractNumId="5346539">
    <w:lvl>
      <w:numFmt w:val="bullet"/>
      <w:suff w:val="tab"/>
      <w:lvlText w:val="•"/>
      <w:rPr>
        <w:color w:val="3370ff"/>
      </w:rPr>
    </w:lvl>
  </w:abstractNum>
  <w:abstractNum w:abstractNumId="5346540">
    <w:lvl>
      <w:numFmt w:val="bullet"/>
      <w:suff w:val="tab"/>
      <w:lvlText w:val="•"/>
      <w:rPr>
        <w:color w:val="3370ff"/>
      </w:rPr>
    </w:lvl>
  </w:abstractNum>
  <w:abstractNum w:abstractNumId="5346541">
    <w:lvl>
      <w:numFmt w:val="bullet"/>
      <w:suff w:val="tab"/>
      <w:lvlText w:val="•"/>
      <w:rPr>
        <w:color w:val="3370ff"/>
      </w:rPr>
    </w:lvl>
  </w:abstractNum>
  <w:abstractNum w:abstractNumId="5346542">
    <w:lvl>
      <w:numFmt w:val="bullet"/>
      <w:suff w:val="tab"/>
      <w:lvlText w:val="•"/>
      <w:rPr>
        <w:color w:val="3370ff"/>
      </w:rPr>
    </w:lvl>
  </w:abstractNum>
  <w:abstractNum w:abstractNumId="5346543">
    <w:lvl>
      <w:numFmt w:val="bullet"/>
      <w:suff w:val="tab"/>
      <w:lvlText w:val="•"/>
      <w:rPr>
        <w:color w:val="3370ff"/>
      </w:rPr>
    </w:lvl>
  </w:abstractNum>
  <w:abstractNum w:abstractNumId="5346544">
    <w:lvl>
      <w:numFmt w:val="bullet"/>
      <w:suff w:val="tab"/>
      <w:lvlText w:val="•"/>
      <w:rPr>
        <w:color w:val="3370ff"/>
      </w:rPr>
    </w:lvl>
  </w:abstractNum>
  <w:abstractNum w:abstractNumId="5346545">
    <w:lvl>
      <w:numFmt w:val="bullet"/>
      <w:suff w:val="tab"/>
      <w:lvlText w:val="•"/>
      <w:rPr>
        <w:color w:val="3370ff"/>
      </w:rPr>
    </w:lvl>
  </w:abstractNum>
  <w:abstractNum w:abstractNumId="5346546">
    <w:lvl>
      <w:numFmt w:val="bullet"/>
      <w:suff w:val="tab"/>
      <w:lvlText w:val="•"/>
      <w:rPr>
        <w:color w:val="3370ff"/>
      </w:rPr>
    </w:lvl>
  </w:abstractNum>
  <w:abstractNum w:abstractNumId="5346547">
    <w:lvl>
      <w:numFmt w:val="bullet"/>
      <w:suff w:val="tab"/>
      <w:lvlText w:val="•"/>
      <w:rPr>
        <w:color w:val="3370ff"/>
      </w:rPr>
    </w:lvl>
  </w:abstractNum>
  <w:abstractNum w:abstractNumId="5346548">
    <w:lvl>
      <w:numFmt w:val="bullet"/>
      <w:suff w:val="tab"/>
      <w:lvlText w:val="•"/>
      <w:rPr>
        <w:color w:val="3370ff"/>
      </w:rPr>
    </w:lvl>
  </w:abstractNum>
  <w:abstractNum w:abstractNumId="5346549">
    <w:lvl>
      <w:numFmt w:val="bullet"/>
      <w:suff w:val="tab"/>
      <w:lvlText w:val="•"/>
      <w:rPr>
        <w:color w:val="3370ff"/>
      </w:rPr>
    </w:lvl>
  </w:abstractNum>
  <w:abstractNum w:abstractNumId="5346550">
    <w:lvl>
      <w:numFmt w:val="bullet"/>
      <w:suff w:val="tab"/>
      <w:lvlText w:val="•"/>
      <w:rPr>
        <w:color w:val="3370ff"/>
      </w:rPr>
    </w:lvl>
  </w:abstractNum>
  <w:abstractNum w:abstractNumId="5346551">
    <w:lvl>
      <w:numFmt w:val="bullet"/>
      <w:suff w:val="tab"/>
      <w:lvlText w:val="•"/>
      <w:rPr>
        <w:color w:val="3370ff"/>
      </w:rPr>
    </w:lvl>
  </w:abstractNum>
  <w:abstractNum w:abstractNumId="5346552">
    <w:lvl>
      <w:numFmt w:val="bullet"/>
      <w:suff w:val="tab"/>
      <w:lvlText w:val="•"/>
      <w:rPr>
        <w:color w:val="3370ff"/>
      </w:rPr>
    </w:lvl>
  </w:abstractNum>
  <w:abstractNum w:abstractNumId="5346553">
    <w:lvl>
      <w:numFmt w:val="bullet"/>
      <w:suff w:val="tab"/>
      <w:lvlText w:val="•"/>
      <w:rPr>
        <w:color w:val="3370ff"/>
      </w:rPr>
    </w:lvl>
  </w:abstractNum>
  <w:num w:numId="1">
    <w:abstractNumId w:val="5346529"/>
  </w:num>
  <w:num w:numId="2">
    <w:abstractNumId w:val="5346530"/>
  </w:num>
  <w:num w:numId="3">
    <w:abstractNumId w:val="5346531"/>
  </w:num>
  <w:num w:numId="4">
    <w:abstractNumId w:val="5346532"/>
  </w:num>
  <w:num w:numId="5">
    <w:abstractNumId w:val="5346533"/>
  </w:num>
  <w:num w:numId="6">
    <w:abstractNumId w:val="5346534"/>
  </w:num>
  <w:num w:numId="7">
    <w:abstractNumId w:val="5346535"/>
  </w:num>
  <w:num w:numId="8">
    <w:abstractNumId w:val="5346536"/>
  </w:num>
  <w:num w:numId="9">
    <w:abstractNumId w:val="5346537"/>
  </w:num>
  <w:num w:numId="10">
    <w:abstractNumId w:val="5346538"/>
  </w:num>
  <w:num w:numId="11">
    <w:abstractNumId w:val="5346539"/>
  </w:num>
  <w:num w:numId="12">
    <w:abstractNumId w:val="5346540"/>
  </w:num>
  <w:num w:numId="13">
    <w:abstractNumId w:val="5346541"/>
  </w:num>
  <w:num w:numId="14">
    <w:abstractNumId w:val="5346542"/>
  </w:num>
  <w:num w:numId="15">
    <w:abstractNumId w:val="5346543"/>
  </w:num>
  <w:num w:numId="16">
    <w:abstractNumId w:val="5346544"/>
  </w:num>
  <w:num w:numId="17">
    <w:abstractNumId w:val="5346545"/>
  </w:num>
  <w:num w:numId="18">
    <w:abstractNumId w:val="5346546"/>
  </w:num>
  <w:num w:numId="19">
    <w:abstractNumId w:val="5346547"/>
  </w:num>
  <w:num w:numId="20">
    <w:abstractNumId w:val="5346548"/>
  </w:num>
  <w:num w:numId="21">
    <w:abstractNumId w:val="5346549"/>
  </w:num>
  <w:num w:numId="22">
    <w:abstractNumId w:val="5346550"/>
  </w:num>
  <w:num w:numId="23">
    <w:abstractNumId w:val="5346551"/>
  </w:num>
  <w:num w:numId="24">
    <w:abstractNumId w:val="5346552"/>
  </w:num>
  <w:num w:numId="25">
    <w:abstractNumId w:val="534655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2026-02-04T15:07:55Z</dcterms:created>
  <dc:creator>Apache POI</dc:creator>
</cp:coreProperties>
</file>