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NAC原生资产代币发行说明书核心条款指引（综合</w:t>
      </w:r>
      <w:r>
        <w:rPr>
          <w:rFonts w:eastAsia="等线" w:ascii="Arial" w:cs="Arial" w:hAnsi="Arial"/>
          <w:b w:val="true"/>
          <w:sz w:val="52"/>
        </w:rPr>
        <w:t>版）V1.0</w:t>
      </w:r>
    </w:p>
    <w:p>
      <w:pPr>
        <w:pStyle w:val="2"/>
        <w:spacing w:before="320" w:after="120" w:line="288" w:lineRule="auto"/>
        <w:ind w:left="0"/>
        <w:jc w:val="left"/>
        <w:outlineLvl w:val="1"/>
      </w:pPr>
      <w:bookmarkStart w:name="heading_0" w:id="0"/>
      <w:r>
        <w:rPr>
          <w:rFonts w:eastAsia="等线" w:ascii="Arial" w:cs="Arial" w:hAnsi="Arial"/>
          <w:b w:val="true"/>
          <w:sz w:val="32"/>
        </w:rPr>
        <w:t>一、导言：本指引的目的、性质与适用范围</w:t>
      </w:r>
      <w:bookmarkEnd w:id="0"/>
    </w:p>
    <w:p>
      <w:pPr>
        <w:spacing w:before="120" w:after="120" w:line="288" w:lineRule="auto"/>
        <w:ind w:left="0"/>
        <w:jc w:val="left"/>
      </w:pPr>
      <w:r>
        <w:rPr>
          <w:rFonts w:eastAsia="等线" w:ascii="Arial" w:cs="Arial" w:hAnsi="Arial"/>
          <w:sz w:val="22"/>
        </w:rPr>
        <w:t>本指引旨在为发行人及其法律顾问，起草在</w:t>
      </w:r>
      <w:r>
        <w:rPr>
          <w:rFonts w:eastAsia="等线" w:ascii="Arial" w:cs="Arial" w:hAnsi="Arial"/>
          <w:b w:val="true"/>
          <w:sz w:val="22"/>
        </w:rPr>
        <w:t>NAC原生公链</w:t>
      </w:r>
      <w:r>
        <w:rPr>
          <w:rFonts w:eastAsia="等线" w:ascii="Arial" w:cs="Arial" w:hAnsi="Arial"/>
          <w:sz w:val="22"/>
        </w:rPr>
        <w:t xml:space="preserve"> 上发行代表不同类别现实世界资产（RWA）或数字资产权益的代币，提供一套</w:t>
      </w:r>
      <w:r>
        <w:rPr>
          <w:rFonts w:eastAsia="等线" w:ascii="Arial" w:cs="Arial" w:hAnsi="Arial"/>
          <w:b w:val="true"/>
          <w:sz w:val="22"/>
        </w:rPr>
        <w:t>结构化、可模块化适配</w:t>
      </w:r>
      <w:r>
        <w:rPr>
          <w:rFonts w:eastAsia="等线" w:ascii="Arial" w:cs="Arial" w:hAnsi="Arial"/>
          <w:sz w:val="22"/>
        </w:rPr>
        <w:t>的《发行说明书》核心条款框架。</w:t>
      </w:r>
    </w:p>
    <w:p>
      <w:pPr>
        <w:numPr>
          <w:numId w:val="1"/>
        </w:numPr>
        <w:spacing w:before="120" w:after="120" w:line="288" w:lineRule="auto"/>
        <w:ind w:left="0"/>
        <w:jc w:val="left"/>
      </w:pPr>
      <w:r>
        <w:rPr>
          <w:rFonts w:eastAsia="等线" w:ascii="Arial" w:cs="Arial" w:hAnsi="Arial"/>
          <w:b w:val="true"/>
          <w:sz w:val="22"/>
        </w:rPr>
        <w:t>法律地位与适配性</w:t>
      </w:r>
      <w:r>
        <w:rPr>
          <w:rFonts w:eastAsia="等线" w:ascii="Arial" w:cs="Arial" w:hAnsi="Arial"/>
          <w:sz w:val="22"/>
        </w:rPr>
        <w:t>：本指引提供通用框架与条款范本，</w:t>
      </w:r>
      <w:r>
        <w:rPr>
          <w:rFonts w:eastAsia="等线" w:ascii="Arial" w:cs="Arial" w:hAnsi="Arial"/>
          <w:b w:val="true"/>
          <w:sz w:val="22"/>
        </w:rPr>
        <w:t>不构成法律意见</w:t>
      </w:r>
      <w:r>
        <w:rPr>
          <w:rFonts w:eastAsia="等线" w:ascii="Arial" w:cs="Arial" w:hAnsi="Arial"/>
          <w:sz w:val="22"/>
        </w:rPr>
        <w:t>。发行方</w:t>
      </w:r>
      <w:r>
        <w:rPr>
          <w:rFonts w:eastAsia="等线" w:ascii="Arial" w:cs="Arial" w:hAnsi="Arial"/>
          <w:b w:val="true"/>
          <w:sz w:val="22"/>
        </w:rPr>
        <w:t>必须</w:t>
      </w:r>
      <w:r>
        <w:rPr>
          <w:rFonts w:eastAsia="等线" w:ascii="Arial" w:cs="Arial" w:hAnsi="Arial"/>
          <w:sz w:val="22"/>
        </w:rPr>
        <w:t>聘请目标销售市场所在地的合规律师，结合本指引、具体资产类别的《上链指引》及当地法律法规，起草和审定最终法律文件。</w:t>
      </w:r>
    </w:p>
    <w:p>
      <w:pPr>
        <w:numPr>
          <w:numId w:val="2"/>
        </w:numPr>
        <w:spacing w:before="120" w:after="120" w:line="288" w:lineRule="auto"/>
        <w:ind w:left="0"/>
        <w:jc w:val="left"/>
      </w:pPr>
      <w:r>
        <w:rPr>
          <w:rFonts w:eastAsia="等线" w:ascii="Arial" w:cs="Arial" w:hAnsi="Arial"/>
          <w:b w:val="true"/>
          <w:sz w:val="22"/>
        </w:rPr>
        <w:t>核心理念</w:t>
      </w:r>
      <w:r>
        <w:rPr>
          <w:rFonts w:eastAsia="等线" w:ascii="Arial" w:cs="Arial" w:hAnsi="Arial"/>
          <w:sz w:val="22"/>
        </w:rPr>
        <w:t>：本说明书是一份</w:t>
      </w:r>
      <w:r>
        <w:rPr>
          <w:rFonts w:eastAsia="等线" w:ascii="Arial" w:cs="Arial" w:hAnsi="Arial"/>
          <w:b w:val="true"/>
          <w:sz w:val="22"/>
        </w:rPr>
        <w:t>具备法律约束力的金融产品披露文件</w:t>
      </w:r>
      <w:r>
        <w:rPr>
          <w:rFonts w:eastAsia="等线" w:ascii="Arial" w:cs="Arial" w:hAnsi="Arial"/>
          <w:sz w:val="22"/>
        </w:rPr>
        <w:t>。其核心目标是</w:t>
      </w:r>
      <w:r>
        <w:rPr>
          <w:rFonts w:eastAsia="等线" w:ascii="Arial" w:cs="Arial" w:hAnsi="Arial"/>
          <w:b w:val="true"/>
          <w:sz w:val="22"/>
        </w:rPr>
        <w:t>在法律文本与链上智能合约之间建立不可否认的映射关系</w:t>
      </w:r>
      <w:r>
        <w:rPr>
          <w:rFonts w:eastAsia="等线" w:ascii="Arial" w:cs="Arial" w:hAnsi="Arial"/>
          <w:sz w:val="22"/>
        </w:rPr>
        <w:t>，使代码执行的结果具有明确的法律效力，反之亦然。</w:t>
      </w:r>
    </w:p>
    <w:p>
      <w:pPr>
        <w:numPr>
          <w:numId w:val="3"/>
        </w:numPr>
        <w:spacing w:before="120" w:after="120" w:line="288" w:lineRule="auto"/>
        <w:ind w:left="0"/>
        <w:jc w:val="left"/>
      </w:pPr>
      <w:r>
        <w:rPr>
          <w:rFonts w:eastAsia="等线" w:ascii="Arial" w:cs="Arial" w:hAnsi="Arial"/>
          <w:b w:val="true"/>
          <w:sz w:val="22"/>
        </w:rPr>
        <w:t>适用范围</w:t>
      </w:r>
      <w:r>
        <w:rPr>
          <w:rFonts w:eastAsia="等线" w:ascii="Arial" w:cs="Arial" w:hAnsi="Arial"/>
          <w:sz w:val="22"/>
        </w:rPr>
        <w:t>：本综合版指引覆盖以下六大类资产，发行人需根据所选资产类型，激活并填充相应的专用条款模块：</w:t>
        <w:br/>
        <w:t xml:space="preserve">        </w:t>
      </w:r>
    </w:p>
    <w:p>
      <w:pPr>
        <w:numPr>
          <w:numId w:val="4"/>
        </w:numPr>
        <w:spacing w:before="120" w:after="120" w:line="288" w:lineRule="auto"/>
        <w:ind w:left="453"/>
        <w:jc w:val="left"/>
      </w:pPr>
      <w:r>
        <w:rPr>
          <w:rFonts w:eastAsia="等线" w:ascii="Arial" w:cs="Arial" w:hAnsi="Arial"/>
          <w:sz w:val="22"/>
        </w:rPr>
        <w:t>**不动产收益权**</w:t>
      </w:r>
    </w:p>
    <w:p>
      <w:pPr>
        <w:numPr>
          <w:numId w:val="5"/>
        </w:numPr>
        <w:spacing w:before="120" w:after="120" w:line="288" w:lineRule="auto"/>
        <w:ind w:left="453"/>
        <w:jc w:val="left"/>
      </w:pPr>
      <w:r>
        <w:rPr>
          <w:rFonts w:eastAsia="等线" w:ascii="Arial" w:cs="Arial" w:hAnsi="Arial"/>
          <w:sz w:val="22"/>
        </w:rPr>
        <w:t>**大宗商品（仓单）**</w:t>
      </w:r>
    </w:p>
    <w:p>
      <w:pPr>
        <w:numPr>
          <w:numId w:val="6"/>
        </w:numPr>
        <w:spacing w:before="120" w:after="120" w:line="288" w:lineRule="auto"/>
        <w:ind w:left="453"/>
        <w:jc w:val="left"/>
      </w:pPr>
      <w:r>
        <w:rPr>
          <w:rFonts w:eastAsia="等线" w:ascii="Arial" w:cs="Arial" w:hAnsi="Arial"/>
          <w:sz w:val="22"/>
        </w:rPr>
        <w:t>**金融资产（债券/股票/不良资产/保险）**</w:t>
      </w:r>
    </w:p>
    <w:p>
      <w:pPr>
        <w:numPr>
          <w:numId w:val="7"/>
        </w:numPr>
        <w:spacing w:before="120" w:after="120" w:line="288" w:lineRule="auto"/>
        <w:ind w:left="453"/>
        <w:jc w:val="left"/>
      </w:pPr>
      <w:r>
        <w:rPr>
          <w:rFonts w:eastAsia="等线" w:ascii="Arial" w:cs="Arial" w:hAnsi="Arial"/>
          <w:sz w:val="22"/>
        </w:rPr>
        <w:t>**艺术品**</w:t>
      </w:r>
    </w:p>
    <w:p>
      <w:pPr>
        <w:numPr>
          <w:numId w:val="8"/>
        </w:numPr>
        <w:spacing w:before="120" w:after="120" w:line="288" w:lineRule="auto"/>
        <w:ind w:left="453"/>
        <w:jc w:val="left"/>
      </w:pPr>
      <w:r>
        <w:rPr>
          <w:rFonts w:eastAsia="等线" w:ascii="Arial" w:cs="Arial" w:hAnsi="Arial"/>
          <w:sz w:val="22"/>
        </w:rPr>
        <w:t>**ESG资产（以碳信用为核心）**</w:t>
      </w:r>
    </w:p>
    <w:p>
      <w:pPr>
        <w:numPr>
          <w:numId w:val="9"/>
        </w:numPr>
        <w:spacing w:before="120" w:after="120" w:line="288" w:lineRule="auto"/>
        <w:ind w:left="453"/>
        <w:jc w:val="left"/>
      </w:pPr>
      <w:r>
        <w:rPr>
          <w:rFonts w:eastAsia="等线" w:ascii="Arial" w:cs="Arial" w:hAnsi="Arial"/>
          <w:sz w:val="22"/>
        </w:rPr>
        <w:t>**封装跨链数字资产**</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1" w:id="1"/>
      <w:r>
        <w:rPr>
          <w:rFonts w:eastAsia="等线" w:ascii="Arial" w:cs="Arial" w:hAnsi="Arial"/>
          <w:b w:val="true"/>
          <w:sz w:val="32"/>
        </w:rPr>
        <w:t>二、说明书统一核心章节框架</w:t>
      </w:r>
      <w:bookmarkEnd w:id="1"/>
    </w:p>
    <w:p>
      <w:pPr>
        <w:spacing w:before="120" w:after="120" w:line="288" w:lineRule="auto"/>
        <w:ind w:left="0"/>
        <w:jc w:val="left"/>
      </w:pPr>
      <w:r>
        <w:rPr>
          <w:rFonts w:eastAsia="等线" w:ascii="Arial" w:cs="Arial" w:hAnsi="Arial"/>
          <w:sz w:val="22"/>
        </w:rPr>
        <w:t>所有资产类别的说明书均应包含以下核心章节，但具体内容需根据资产类型填充。</w:t>
      </w:r>
    </w:p>
    <w:p>
      <w:pPr>
        <w:pStyle w:val="3"/>
        <w:spacing w:before="300" w:after="120" w:line="288" w:lineRule="auto"/>
        <w:ind w:left="0"/>
        <w:jc w:val="left"/>
        <w:outlineLvl w:val="2"/>
      </w:pPr>
      <w:bookmarkStart w:name="heading_2" w:id="2"/>
      <w:r>
        <w:rPr>
          <w:rFonts w:eastAsia="等线" w:ascii="Arial" w:cs="Arial" w:hAnsi="Arial"/>
          <w:b w:val="true"/>
          <w:sz w:val="30"/>
        </w:rPr>
        <w:t>第一章：摘要、定义与关键信息声明</w:t>
      </w:r>
      <w:bookmarkEnd w:id="2"/>
    </w:p>
    <w:p>
      <w:pPr>
        <w:spacing w:before="120" w:after="120" w:line="288" w:lineRule="auto"/>
        <w:ind w:left="0"/>
        <w:jc w:val="left"/>
      </w:pPr>
      <w:r>
        <w:rPr>
          <w:rFonts w:eastAsia="等线" w:ascii="Arial" w:cs="Arial" w:hAnsi="Arial"/>
          <w:b w:val="true"/>
          <w:sz w:val="22"/>
        </w:rPr>
        <w:t>第1条（关键信息摘要）</w:t>
      </w:r>
      <w:r>
        <w:rPr>
          <w:rFonts w:eastAsia="等线" w:ascii="Arial" w:cs="Arial" w:hAnsi="Arial"/>
          <w:sz w:val="22"/>
        </w:rPr>
        <w:t>：须以醒目表格呈现，</w:t>
      </w:r>
      <w:r>
        <w:rPr>
          <w:rFonts w:eastAsia="等线" w:ascii="Arial" w:cs="Arial" w:hAnsi="Arial"/>
          <w:b w:val="true"/>
          <w:sz w:val="22"/>
        </w:rPr>
        <w:t>其中GNACS编码与资产实例ID为必备且核心字段</w:t>
      </w:r>
      <w:r>
        <w:rPr>
          <w:rFonts w:eastAsia="等线" w:ascii="Arial" w:cs="Arial" w:hAnsi="Arial"/>
          <w:sz w:val="22"/>
        </w:rPr>
        <w:t>。</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2760"/>
        <w:gridCol w:w="2760"/>
        <w:gridCol w:w="2760"/>
      </w:tblGrid>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项目</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通用内容</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资产类别特定内容示例</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**产品名称**</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[资产类型]+[具体标识]收益权/所有权凭证</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例（艺术品）：《数字星辰》艺术品所有权及</w:t>
            </w:r>
            <w:r>
              <w:rPr>
                <w:rFonts w:eastAsia="等线" w:ascii="Arial" w:cs="Arial" w:hAnsi="Arial"/>
                <w:sz w:val="22"/>
              </w:rPr>
              <w:t>展览许可权NFT凭证</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**核心智能合约**</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地址：</w:t>
            </w:r>
            <w:r>
              <w:rPr>
                <w:rFonts w:eastAsia="Consolas" w:ascii="Consolas" w:cs="Consolas" w:hAnsi="Consolas"/>
                <w:sz w:val="22"/>
                <w:shd w:fill="EFF0F1"/>
              </w:rPr>
              <w:t>0x...</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例（碳信用）</w:t>
            </w:r>
            <w:r>
              <w:rPr>
                <w:rFonts w:eastAsia="等线" w:ascii="Arial" w:cs="Arial" w:hAnsi="Arial"/>
                <w:sz w:val="22"/>
              </w:rPr>
              <w:t>：</w:t>
            </w:r>
            <w:r>
              <w:rPr>
                <w:rFonts w:eastAsia="Consolas" w:ascii="Consolas" w:cs="Consolas" w:hAnsi="Consolas"/>
                <w:sz w:val="22"/>
                <w:shd w:fill="EFF0F1"/>
              </w:rPr>
              <w:t>CarbonCreditV1.sol</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**NAC资产实例ID**</w:t>
            </w:r>
          </w:p>
        </w:tc>
        <w:tc>
          <w:tcPr>
            <w:tcW w:w="2760" w:type="dxa"/>
            <w:tcMar>
              <w:top w:type="dxa" w:w="60"/>
              <w:left w:type="dxa" w:w="120"/>
              <w:bottom w:type="dxa" w:w="30"/>
              <w:right w:type="dxa" w:w="120"/>
            </w:tcMar>
          </w:tcPr>
          <w:p>
            <w:pPr>
              <w:spacing w:before="120" w:after="120" w:line="288" w:lineRule="auto"/>
              <w:ind w:left="0"/>
              <w:jc w:val="left"/>
            </w:pPr>
            <w:r>
              <w:rPr>
                <w:rFonts w:eastAsia="Consolas" w:ascii="Consolas" w:cs="Consolas" w:hAnsi="Consolas"/>
                <w:sz w:val="22"/>
                <w:shd w:fill="EFF0F1"/>
              </w:rPr>
              <w:t>[48位全局唯一编码]</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**所有资产必备**</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**GNACS分类编码**</w:t>
            </w:r>
          </w:p>
        </w:tc>
        <w:tc>
          <w:tcPr>
            <w:tcW w:w="2760" w:type="dxa"/>
            <w:tcMar>
              <w:top w:type="dxa" w:w="60"/>
              <w:left w:type="dxa" w:w="120"/>
              <w:bottom w:type="dxa" w:w="30"/>
              <w:right w:type="dxa" w:w="120"/>
            </w:tcMar>
          </w:tcPr>
          <w:p>
            <w:pPr>
              <w:spacing w:before="120" w:after="120" w:line="288" w:lineRule="auto"/>
              <w:ind w:left="0"/>
              <w:jc w:val="left"/>
            </w:pPr>
            <w:r>
              <w:rPr>
                <w:rFonts w:eastAsia="Consolas" w:ascii="Consolas" w:cs="Consolas" w:hAnsi="Consolas"/>
                <w:sz w:val="22"/>
                <w:shd w:fill="EFF0F1"/>
              </w:rPr>
              <w:t>[30位编码]</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**所有资产必备，是理解资产法律、风险、技术属性的</w:t>
            </w:r>
            <w:r>
              <w:rPr>
                <w:rFonts w:eastAsia="等线" w:ascii="Arial" w:cs="Arial" w:hAnsi="Arial"/>
                <w:sz w:val="22"/>
              </w:rPr>
              <w:t>钥匙**</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**标的资产**</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法律描述与唯一</w:t>
            </w:r>
            <w:r>
              <w:rPr>
                <w:rFonts w:eastAsia="等线" w:ascii="Arial" w:cs="Arial" w:hAnsi="Arial"/>
                <w:sz w:val="22"/>
              </w:rPr>
              <w:t>标识</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例（房产）：地址、产权证号；例</w:t>
            </w:r>
            <w:r>
              <w:rPr>
                <w:rFonts w:eastAsia="等线" w:ascii="Arial" w:cs="Arial" w:hAnsi="Arial"/>
                <w:sz w:val="22"/>
              </w:rPr>
              <w:t>（大宗商品）：仓单号、存储位置</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**代币代表权益**</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概述</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例</w:t>
            </w:r>
            <w:r>
              <w:rPr>
                <w:rFonts w:eastAsia="等线" w:ascii="Arial" w:cs="Arial" w:hAnsi="Arial"/>
                <w:sz w:val="22"/>
              </w:rPr>
              <w:t>（封装资产）：对锁定于[源链]的[资产]的赎回权凭证</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**预期</w:t>
            </w:r>
            <w:r>
              <w:rPr>
                <w:rFonts w:eastAsia="等线" w:ascii="Arial" w:cs="Arial" w:hAnsi="Arial"/>
                <w:sz w:val="22"/>
              </w:rPr>
              <w:t>现金流/收益**</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说明（**必须声明“非承诺</w:t>
            </w:r>
            <w:r>
              <w:rPr>
                <w:rFonts w:eastAsia="等线" w:ascii="Arial" w:cs="Arial" w:hAnsi="Arial"/>
                <w:sz w:val="22"/>
              </w:rPr>
              <w:t>”**）</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例（债券）：基于票面利率的</w:t>
            </w:r>
            <w:r>
              <w:rPr>
                <w:rFonts w:eastAsia="等线" w:ascii="Arial" w:cs="Arial" w:hAnsi="Arial"/>
                <w:sz w:val="22"/>
              </w:rPr>
              <w:t>利息；例（碳信用）：无财务收益，为环境权益</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**风险缓冲机制**</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XTZH质押概述</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说明发行方或相关方质押XTZH作为质量/偿付保障的机制</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**适用法律与</w:t>
            </w:r>
            <w:r>
              <w:rPr>
                <w:rFonts w:eastAsia="等线" w:ascii="Arial" w:cs="Arial" w:hAnsi="Arial"/>
                <w:sz w:val="22"/>
              </w:rPr>
              <w:t>仲裁**</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[明确法域]；[仲裁机构]</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**所有资产必备**</w:t>
            </w:r>
          </w:p>
        </w:tc>
      </w:tr>
    </w:tbl>
    <w:p>
      <w:pPr>
        <w:spacing w:before="120" w:after="120" w:line="288" w:lineRule="auto"/>
        <w:ind w:left="0"/>
        <w:jc w:val="left"/>
      </w:pPr>
      <w:r>
        <w:rPr>
          <w:rFonts w:eastAsia="等线" w:ascii="Arial" w:cs="Arial" w:hAnsi="Arial"/>
          <w:b w:val="true"/>
          <w:sz w:val="22"/>
        </w:rPr>
        <w:t>第2条（关键定义）</w:t>
      </w:r>
      <w:r>
        <w:rPr>
          <w:rFonts w:eastAsia="等线" w:ascii="Arial" w:cs="Arial" w:hAnsi="Arial"/>
          <w:sz w:val="22"/>
        </w:rPr>
        <w:t>：必须明确定义，并与智能合约逻辑一致。</w:t>
      </w:r>
    </w:p>
    <w:p>
      <w:pPr>
        <w:numPr>
          <w:numId w:val="10"/>
        </w:numPr>
        <w:spacing w:before="120" w:after="120" w:line="288" w:lineRule="auto"/>
        <w:ind w:left="0"/>
        <w:jc w:val="left"/>
      </w:pPr>
      <w:r>
        <w:rPr>
          <w:rFonts w:eastAsia="等线" w:ascii="Arial" w:cs="Arial" w:hAnsi="Arial"/>
          <w:b w:val="true"/>
          <w:sz w:val="22"/>
        </w:rPr>
        <w:t>“代币”</w:t>
      </w:r>
      <w:r>
        <w:rPr>
          <w:rFonts w:eastAsia="等线" w:ascii="Arial" w:cs="Arial" w:hAnsi="Arial"/>
          <w:sz w:val="22"/>
        </w:rPr>
        <w:t>：指基于NAC公链特定智能合约发行的数字凭证。</w:t>
      </w:r>
      <w:r>
        <w:rPr>
          <w:rFonts w:eastAsia="等线" w:ascii="Arial" w:cs="Arial" w:hAnsi="Arial"/>
          <w:b w:val="true"/>
          <w:sz w:val="22"/>
        </w:rPr>
        <w:t>必须明确声明其不代表任何公司股权或投票权（除非明确设计为股票代币），且不代表对任何物理资产的直接所有权、占有权或控制权（除非明确设计为所有权代币）</w:t>
      </w:r>
      <w:r>
        <w:rPr>
          <w:rFonts w:eastAsia="等线" w:ascii="Arial" w:cs="Arial" w:hAnsi="Arial"/>
          <w:sz w:val="22"/>
        </w:rPr>
        <w:t>。</w:t>
      </w:r>
    </w:p>
    <w:p>
      <w:pPr>
        <w:numPr>
          <w:numId w:val="11"/>
        </w:numPr>
        <w:spacing w:before="120" w:after="120" w:line="288" w:lineRule="auto"/>
        <w:ind w:left="0"/>
        <w:jc w:val="left"/>
      </w:pPr>
      <w:r>
        <w:rPr>
          <w:rFonts w:eastAsia="等线" w:ascii="Arial" w:cs="Arial" w:hAnsi="Arial"/>
          <w:b w:val="true"/>
          <w:sz w:val="22"/>
        </w:rPr>
        <w:t>“智能合约”</w:t>
      </w:r>
      <w:r>
        <w:rPr>
          <w:rFonts w:eastAsia="等线" w:ascii="Arial" w:cs="Arial" w:hAnsi="Arial"/>
          <w:sz w:val="22"/>
        </w:rPr>
        <w:t xml:space="preserve">：特指部署于NAC公链的、地址为 </w:t>
      </w:r>
      <w:r>
        <w:rPr>
          <w:rFonts w:eastAsia="Consolas" w:ascii="Consolas" w:cs="Consolas" w:hAnsi="Consolas"/>
          <w:sz w:val="22"/>
          <w:shd w:fill="EFF0F1"/>
        </w:rPr>
        <w:t>0x...</w:t>
      </w:r>
      <w:r>
        <w:rPr>
          <w:rFonts w:eastAsia="等线" w:ascii="Arial" w:cs="Arial" w:hAnsi="Arial"/>
          <w:sz w:val="22"/>
        </w:rPr>
        <w:t xml:space="preserve"> 的合约。其代码构成对代币功能、分配、转让限制的</w:t>
      </w:r>
      <w:r>
        <w:rPr>
          <w:rFonts w:eastAsia="等线" w:ascii="Arial" w:cs="Arial" w:hAnsi="Arial"/>
          <w:b w:val="true"/>
          <w:sz w:val="22"/>
        </w:rPr>
        <w:t>技术性、确定性定义</w:t>
      </w:r>
      <w:r>
        <w:rPr>
          <w:rFonts w:eastAsia="等线" w:ascii="Arial" w:cs="Arial" w:hAnsi="Arial"/>
          <w:sz w:val="22"/>
        </w:rPr>
        <w:t>。</w:t>
      </w:r>
    </w:p>
    <w:p>
      <w:pPr>
        <w:numPr>
          <w:numId w:val="12"/>
        </w:numPr>
        <w:spacing w:before="120" w:after="120" w:line="288" w:lineRule="auto"/>
        <w:ind w:left="0"/>
        <w:jc w:val="left"/>
      </w:pPr>
      <w:r>
        <w:rPr>
          <w:rFonts w:eastAsia="等线" w:ascii="Arial" w:cs="Arial" w:hAnsi="Arial"/>
          <w:b w:val="true"/>
          <w:sz w:val="22"/>
        </w:rPr>
        <w:t>“资产实例ID”与“GNACS编码”</w:t>
      </w:r>
      <w:r>
        <w:rPr>
          <w:rFonts w:eastAsia="等线" w:ascii="Arial" w:cs="Arial" w:hAnsi="Arial"/>
          <w:sz w:val="22"/>
        </w:rPr>
        <w:t>：解释其作为链上资产“数字护照”的唯一性与全局可验证性。</w:t>
      </w:r>
    </w:p>
    <w:p>
      <w:pPr>
        <w:numPr>
          <w:numId w:val="13"/>
        </w:numPr>
        <w:spacing w:before="120" w:after="120" w:line="288" w:lineRule="auto"/>
        <w:ind w:left="0"/>
        <w:jc w:val="left"/>
      </w:pPr>
      <w:r>
        <w:rPr>
          <w:rFonts w:eastAsia="等线" w:ascii="Arial" w:cs="Arial" w:hAnsi="Arial"/>
          <w:b w:val="true"/>
          <w:sz w:val="22"/>
        </w:rPr>
        <w:t>“合格投资者”</w:t>
      </w:r>
      <w:r>
        <w:rPr>
          <w:rFonts w:eastAsia="等线" w:ascii="Arial" w:cs="Arial" w:hAnsi="Arial"/>
          <w:sz w:val="22"/>
        </w:rPr>
        <w:t xml:space="preserve">：定义标准，并明确以通过 </w:t>
      </w:r>
      <w:r>
        <w:rPr>
          <w:rFonts w:eastAsia="Consolas" w:ascii="Consolas" w:cs="Consolas" w:hAnsi="Consolas"/>
          <w:sz w:val="22"/>
          <w:shd w:fill="EFF0F1"/>
        </w:rPr>
        <w:t>NAC合规预言机</w:t>
      </w:r>
      <w:r>
        <w:rPr>
          <w:rFonts w:eastAsia="等线" w:ascii="Arial" w:cs="Arial" w:hAnsi="Arial"/>
          <w:sz w:val="22"/>
        </w:rPr>
        <w:t>（地址：</w:t>
      </w:r>
      <w:r>
        <w:rPr>
          <w:rFonts w:eastAsia="Consolas" w:ascii="Consolas" w:cs="Consolas" w:hAnsi="Consolas"/>
          <w:sz w:val="22"/>
          <w:shd w:fill="EFF0F1"/>
        </w:rPr>
        <w:t>0x...</w:t>
      </w:r>
      <w:r>
        <w:rPr>
          <w:rFonts w:eastAsia="等线" w:ascii="Arial" w:cs="Arial" w:hAnsi="Arial"/>
          <w:sz w:val="22"/>
        </w:rPr>
        <w:t>）的验证为前提。</w:t>
      </w:r>
    </w:p>
    <w:p>
      <w:pPr>
        <w:pStyle w:val="3"/>
        <w:spacing w:before="300" w:after="120" w:line="288" w:lineRule="auto"/>
        <w:ind w:left="0"/>
        <w:jc w:val="left"/>
        <w:outlineLvl w:val="2"/>
      </w:pPr>
      <w:bookmarkStart w:name="heading_3" w:id="3"/>
      <w:r>
        <w:rPr>
          <w:rFonts w:eastAsia="等线" w:ascii="Arial" w:cs="Arial" w:hAnsi="Arial"/>
          <w:b w:val="true"/>
          <w:sz w:val="30"/>
        </w:rPr>
        <w:t>第二章：代币所代表的权益、行使方式与明确限制</w:t>
      </w:r>
      <w:bookmarkEnd w:id="3"/>
    </w:p>
    <w:p>
      <w:pPr>
        <w:spacing w:before="120" w:after="120" w:line="288" w:lineRule="auto"/>
        <w:ind w:left="0"/>
        <w:jc w:val="left"/>
      </w:pPr>
      <w:r>
        <w:rPr>
          <w:rFonts w:eastAsia="等线" w:ascii="Arial" w:cs="Arial" w:hAnsi="Arial"/>
          <w:b w:val="true"/>
          <w:sz w:val="22"/>
        </w:rPr>
        <w:t>第3条（持有人权益）</w:t>
      </w:r>
      <w:r>
        <w:rPr>
          <w:rFonts w:eastAsia="等线" w:ascii="Arial" w:cs="Arial" w:hAnsi="Arial"/>
          <w:sz w:val="22"/>
        </w:rPr>
        <w:t>：</w:t>
      </w:r>
      <w:r>
        <w:rPr>
          <w:rFonts w:eastAsia="等线" w:ascii="Arial" w:cs="Arial" w:hAnsi="Arial"/>
          <w:b w:val="true"/>
          <w:sz w:val="22"/>
        </w:rPr>
        <w:t>必须按资产类型清晰界定，不可模糊。</w:t>
      </w:r>
    </w:p>
    <w:p>
      <w:pPr>
        <w:numPr>
          <w:numId w:val="14"/>
        </w:numPr>
        <w:spacing w:before="120" w:after="120" w:line="288" w:lineRule="auto"/>
        <w:ind w:left="0"/>
        <w:jc w:val="left"/>
      </w:pPr>
      <w:r>
        <w:rPr>
          <w:rFonts w:eastAsia="等线" w:ascii="Arial" w:cs="Arial" w:hAnsi="Arial"/>
          <w:b w:val="true"/>
          <w:sz w:val="22"/>
        </w:rPr>
        <w:t>A. 通用权益</w:t>
      </w:r>
      <w:r>
        <w:rPr>
          <w:rFonts w:eastAsia="等线" w:ascii="Arial" w:cs="Arial" w:hAnsi="Arial"/>
          <w:sz w:val="22"/>
        </w:rPr>
        <w:t>：</w:t>
        <w:br/>
        <w:t xml:space="preserve">        </w:t>
      </w:r>
    </w:p>
    <w:p>
      <w:pPr>
        <w:numPr>
          <w:numId w:val="15"/>
        </w:numPr>
        <w:spacing w:before="120" w:after="120" w:line="288" w:lineRule="auto"/>
        <w:ind w:left="453"/>
        <w:jc w:val="left"/>
      </w:pPr>
      <w:r>
        <w:rPr>
          <w:rFonts w:eastAsia="等线" w:ascii="Arial" w:cs="Arial" w:hAnsi="Arial"/>
          <w:b w:val="true"/>
          <w:sz w:val="22"/>
        </w:rPr>
        <w:t>转让权</w:t>
      </w:r>
      <w:r>
        <w:rPr>
          <w:rFonts w:eastAsia="等线" w:ascii="Arial" w:cs="Arial" w:hAnsi="Arial"/>
          <w:sz w:val="22"/>
        </w:rPr>
        <w:t>：在符合本说明书、智能合约及适用法律的前提下，向其他合格投资者转让。</w:t>
      </w:r>
    </w:p>
    <w:p>
      <w:pPr>
        <w:numPr>
          <w:numId w:val="16"/>
        </w:numPr>
        <w:spacing w:before="120" w:after="120" w:line="288" w:lineRule="auto"/>
        <w:ind w:left="453"/>
        <w:jc w:val="left"/>
      </w:pPr>
      <w:r>
        <w:rPr>
          <w:rFonts w:eastAsia="等线" w:ascii="Arial" w:cs="Arial" w:hAnsi="Arial"/>
          <w:b w:val="true"/>
          <w:sz w:val="22"/>
        </w:rPr>
        <w:t>知情权</w:t>
      </w:r>
      <w:r>
        <w:rPr>
          <w:rFonts w:eastAsia="等线" w:ascii="Arial" w:cs="Arial" w:hAnsi="Arial"/>
          <w:sz w:val="22"/>
        </w:rPr>
        <w:t>：有权访问链上记录的、与资产相关的重要信息（如哈希化的报告）。</w:t>
      </w:r>
    </w:p>
    <w:p>
      <w:pPr>
        <w:numPr>
          <w:numId w:val="17"/>
        </w:numPr>
        <w:spacing w:before="120" w:after="120" w:line="288" w:lineRule="auto"/>
        <w:ind w:left="0"/>
        <w:jc w:val="left"/>
      </w:pPr>
      <w:r>
        <w:rPr>
          <w:rFonts w:eastAsia="等线" w:ascii="Arial" w:cs="Arial" w:hAnsi="Arial"/>
          <w:b w:val="true"/>
          <w:sz w:val="22"/>
        </w:rPr>
        <w:t>B. 分类别权益（示例）</w:t>
      </w:r>
      <w:r>
        <w:rPr>
          <w:rFonts w:eastAsia="等线" w:ascii="Arial" w:cs="Arial" w:hAnsi="Arial"/>
          <w:sz w:val="22"/>
        </w:rPr>
        <w:t>：</w:t>
        <w:br/>
        <w:t xml:space="preserve">        资产类别核心权益行使方式（链上/链下）**不动产**租金收益分配权托管方归集，智能合约自动按份额分配稳定币。**大宗商品**对应仓单的货权凭智能合约状态，向指定托管方申请提货或转让仓单。**债券**本金与利息偿付权根据预言机确认的付息日，合约自动分配。**艺术品****所有权（A0）**：物理资产处置权</w:t>
        <w:br/>
      </w:r>
      <w:r>
        <w:rPr>
          <w:rFonts w:eastAsia="等线" w:ascii="Arial" w:cs="Arial" w:hAnsi="Arial"/>
          <w:sz w:val="22"/>
        </w:rPr>
        <w:t>**许可权（D2）**：数字展览授权所有权转移需线下交割；许可通过消耗许可代币在线获得数字文件访问权。**碳信用****环境权益（C0）**：用于抵消碳排放调用智能合约</w:t>
      </w:r>
      <w:r>
        <w:rPr>
          <w:rFonts w:eastAsia="Consolas" w:ascii="Consolas" w:cs="Consolas" w:hAnsi="Consolas"/>
          <w:sz w:val="22"/>
          <w:shd w:fill="EFF0F1"/>
        </w:rPr>
        <w:t>retire()</w:t>
      </w:r>
      <w:r>
        <w:rPr>
          <w:rFonts w:eastAsia="等线" w:ascii="Arial" w:cs="Arial" w:hAnsi="Arial"/>
          <w:sz w:val="22"/>
        </w:rPr>
        <w:t>函数销毁代币，获得链上注销证明。**封装资产****赎回权（C0）**：赎回源链原生资产向NAC合约归还封装代币，经验证者网络授权后，源链资产解锁。</w:t>
      </w:r>
    </w:p>
    <w:p>
      <w:pPr>
        <w:spacing w:before="120" w:after="120" w:line="288" w:lineRule="auto"/>
        <w:ind w:left="0"/>
        <w:jc w:val="left"/>
      </w:pPr>
      <w:r>
        <w:rPr>
          <w:rFonts w:eastAsia="等线" w:ascii="Arial" w:cs="Arial" w:hAnsi="Arial"/>
          <w:b w:val="true"/>
          <w:sz w:val="22"/>
        </w:rPr>
        <w:t>第4条（持有人不享有的权利）</w:t>
      </w:r>
      <w:r>
        <w:rPr>
          <w:rFonts w:eastAsia="等线" w:ascii="Arial" w:cs="Arial" w:hAnsi="Arial"/>
          <w:sz w:val="22"/>
        </w:rPr>
        <w:t>：</w:t>
      </w:r>
      <w:r>
        <w:rPr>
          <w:rFonts w:eastAsia="等线" w:ascii="Arial" w:cs="Arial" w:hAnsi="Arial"/>
          <w:b w:val="true"/>
          <w:sz w:val="22"/>
        </w:rPr>
        <w:t>必须加粗强调，避免误解。</w:t>
      </w:r>
    </w:p>
    <w:p>
      <w:pPr>
        <w:numPr>
          <w:numId w:val="18"/>
        </w:numPr>
        <w:spacing w:before="120" w:after="120" w:line="288" w:lineRule="auto"/>
        <w:ind w:left="0"/>
        <w:jc w:val="left"/>
      </w:pPr>
      <w:r>
        <w:rPr>
          <w:rFonts w:eastAsia="等线" w:ascii="Arial" w:cs="Arial" w:hAnsi="Arial"/>
          <w:sz w:val="22"/>
        </w:rPr>
        <w:t>通用不享有权利：通常包括对底层资产物理实体的占有、使用、处置（除非明确约定），以及对资产运营方的日常管理权。</w:t>
      </w:r>
    </w:p>
    <w:p>
      <w:pPr>
        <w:numPr>
          <w:numId w:val="19"/>
        </w:numPr>
        <w:spacing w:before="120" w:after="120" w:line="288" w:lineRule="auto"/>
        <w:ind w:left="0"/>
        <w:jc w:val="left"/>
      </w:pPr>
      <w:r>
        <w:rPr>
          <w:rFonts w:eastAsia="等线" w:ascii="Arial" w:cs="Arial" w:hAnsi="Arial"/>
          <w:sz w:val="22"/>
        </w:rPr>
        <w:t>类别特有不享有权利：</w:t>
        <w:br/>
        <w:t xml:space="preserve">        </w:t>
      </w:r>
    </w:p>
    <w:p>
      <w:pPr>
        <w:numPr>
          <w:numId w:val="20"/>
        </w:numPr>
        <w:spacing w:before="120" w:after="120" w:line="288" w:lineRule="auto"/>
        <w:ind w:left="453"/>
        <w:jc w:val="left"/>
      </w:pPr>
      <w:r>
        <w:rPr>
          <w:rFonts w:eastAsia="等线" w:ascii="Arial" w:cs="Arial" w:hAnsi="Arial"/>
          <w:sz w:val="22"/>
        </w:rPr>
        <w:t>**艺术品**：不自动享有作品的版权（除非单独约定）。</w:t>
      </w:r>
    </w:p>
    <w:p>
      <w:pPr>
        <w:numPr>
          <w:numId w:val="21"/>
        </w:numPr>
        <w:spacing w:before="120" w:after="120" w:line="288" w:lineRule="auto"/>
        <w:ind w:left="453"/>
        <w:jc w:val="left"/>
      </w:pPr>
      <w:r>
        <w:rPr>
          <w:rFonts w:eastAsia="等线" w:ascii="Arial" w:cs="Arial" w:hAnsi="Arial"/>
          <w:sz w:val="22"/>
        </w:rPr>
        <w:t>**碳信用**：一旦注销，权利永久消灭，不可恢复。</w:t>
      </w:r>
    </w:p>
    <w:p>
      <w:pPr>
        <w:numPr>
          <w:numId w:val="22"/>
        </w:numPr>
        <w:spacing w:before="120" w:after="120" w:line="288" w:lineRule="auto"/>
        <w:ind w:left="453"/>
        <w:jc w:val="left"/>
      </w:pPr>
      <w:r>
        <w:rPr>
          <w:rFonts w:eastAsia="等线" w:ascii="Arial" w:cs="Arial" w:hAnsi="Arial"/>
          <w:sz w:val="22"/>
        </w:rPr>
        <w:t>**封装资产**：不享有源链协议的治理权（除非底层资产本身包含）。</w:t>
      </w:r>
    </w:p>
    <w:p>
      <w:pPr>
        <w:pStyle w:val="3"/>
        <w:spacing w:before="300" w:after="120" w:line="288" w:lineRule="auto"/>
        <w:ind w:left="0"/>
        <w:jc w:val="left"/>
        <w:outlineLvl w:val="2"/>
      </w:pPr>
      <w:bookmarkStart w:name="heading_4" w:id="4"/>
      <w:r>
        <w:rPr>
          <w:rFonts w:eastAsia="等线" w:ascii="Arial" w:cs="Arial" w:hAnsi="Arial"/>
          <w:b w:val="true"/>
          <w:sz w:val="30"/>
        </w:rPr>
        <w:t>第三章：标的资产详情、风险揭示与XTZH质押保障</w:t>
      </w:r>
      <w:bookmarkEnd w:id="4"/>
    </w:p>
    <w:p>
      <w:pPr>
        <w:spacing w:before="120" w:after="120" w:line="288" w:lineRule="auto"/>
        <w:ind w:left="0"/>
        <w:jc w:val="left"/>
      </w:pPr>
      <w:r>
        <w:rPr>
          <w:rFonts w:eastAsia="等线" w:ascii="Arial" w:cs="Arial" w:hAnsi="Arial"/>
          <w:b w:val="true"/>
          <w:sz w:val="22"/>
        </w:rPr>
        <w:t>第5条（标的资产披露）</w:t>
      </w:r>
      <w:r>
        <w:rPr>
          <w:rFonts w:eastAsia="等线" w:ascii="Arial" w:cs="Arial" w:hAnsi="Arial"/>
          <w:sz w:val="22"/>
        </w:rPr>
        <w:t>：详细描述资产，并提供可验证的存证（如IPFS哈希、区块链交易ID）。</w:t>
      </w:r>
    </w:p>
    <w:p>
      <w:pPr>
        <w:spacing w:before="120" w:after="120" w:line="288" w:lineRule="auto"/>
        <w:ind w:left="0"/>
        <w:jc w:val="left"/>
      </w:pPr>
      <w:r>
        <w:rPr>
          <w:rFonts w:eastAsia="等线" w:ascii="Arial" w:cs="Arial" w:hAnsi="Arial"/>
          <w:b w:val="true"/>
          <w:sz w:val="22"/>
        </w:rPr>
        <w:t>第6条（风险揭示矩阵）</w:t>
      </w:r>
      <w:r>
        <w:rPr>
          <w:rFonts w:eastAsia="等线" w:ascii="Arial" w:cs="Arial" w:hAnsi="Arial"/>
          <w:sz w:val="22"/>
        </w:rPr>
        <w:t>：必须分项揭示，以下为矩阵示例：</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2760"/>
        <w:gridCol w:w="2760"/>
        <w:gridCol w:w="2760"/>
      </w:tblGrid>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风险类别</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所有资产</w:t>
            </w:r>
            <w:r>
              <w:rPr>
                <w:rFonts w:eastAsia="等线" w:ascii="Arial" w:cs="Arial" w:hAnsi="Arial"/>
                <w:sz w:val="22"/>
              </w:rPr>
              <w:t>共有风险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资产类别特有风险（示例）</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**技术风险**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智能合约漏洞、私钥丢失、NAC网络风险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**跨链资产**：源链共识攻击、验证者</w:t>
            </w:r>
            <w:r>
              <w:rPr>
                <w:rFonts w:eastAsia="等线" w:ascii="Arial" w:cs="Arial" w:hAnsi="Arial"/>
                <w:sz w:val="22"/>
              </w:rPr>
              <w:t>合谋</w:t>
            </w:r>
            <w:r>
              <w:rPr>
                <w:rFonts w:eastAsia="等线" w:ascii="Arial" w:cs="Arial" w:hAnsi="Arial"/>
                <w:sz w:val="22"/>
              </w:rPr>
              <w:t>**碳信用**：核证预言机作恶、减排量逆转</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**合规</w:t>
            </w:r>
            <w:r>
              <w:rPr>
                <w:rFonts w:eastAsia="等线" w:ascii="Arial" w:cs="Arial" w:hAnsi="Arial"/>
                <w:sz w:val="22"/>
              </w:rPr>
              <w:t>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监管政策变化、代币被认定为证券</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**艺术品**：版权法律冲突、文物出口限制</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**标的</w:t>
            </w:r>
            <w:r>
              <w:rPr>
                <w:rFonts w:eastAsia="等线" w:ascii="Arial" w:cs="Arial" w:hAnsi="Arial"/>
                <w:sz w:val="22"/>
              </w:rPr>
              <w:t>资产风险**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估值波动、现金流中断</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**大宗商品**：货物损毁、仓</w:t>
            </w:r>
            <w:r>
              <w:rPr>
                <w:rFonts w:eastAsia="等线" w:ascii="Arial" w:cs="Arial" w:hAnsi="Arial"/>
                <w:sz w:val="22"/>
              </w:rPr>
              <w:t>单伪造</w:t>
            </w:r>
            <w:r>
              <w:rPr>
                <w:rFonts w:eastAsia="等线" w:ascii="Arial" w:cs="Arial" w:hAnsi="Arial"/>
                <w:sz w:val="22"/>
              </w:rPr>
              <w:t>**不良资产**：回收率不及预期</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**流动性风险**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二级市场不活跃</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**所有资产**：因资产非标化导致的折价</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w:t>
            </w:r>
            <w:r>
              <w:rPr>
                <w:rFonts w:eastAsia="等线" w:ascii="Arial" w:cs="Arial" w:hAnsi="Arial"/>
                <w:sz w:val="22"/>
              </w:rPr>
              <w:t>第三方依赖风险**</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托管方/服务商失职</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**不动产**：物业管理方失职</w:t>
            </w:r>
            <w:r>
              <w:rPr>
                <w:rFonts w:eastAsia="等线" w:ascii="Arial" w:cs="Arial" w:hAnsi="Arial"/>
                <w:sz w:val="22"/>
              </w:rPr>
              <w:t>**金融资产**：支付代理行失败</w:t>
            </w:r>
          </w:p>
        </w:tc>
      </w:tr>
    </w:tbl>
    <w:p>
      <w:pPr>
        <w:spacing w:before="120" w:after="120" w:line="288" w:lineRule="auto"/>
        <w:ind w:left="0"/>
        <w:jc w:val="left"/>
      </w:pPr>
      <w:r>
        <w:rPr>
          <w:rFonts w:eastAsia="等线" w:ascii="Arial" w:cs="Arial" w:hAnsi="Arial"/>
          <w:b w:val="true"/>
          <w:sz w:val="22"/>
        </w:rPr>
        <w:t>第7条（XTZH质押保障机制）</w:t>
      </w:r>
      <w:r>
        <w:rPr>
          <w:rFonts w:eastAsia="等线" w:ascii="Arial" w:cs="Arial" w:hAnsi="Arial"/>
          <w:sz w:val="22"/>
        </w:rPr>
        <w:t>：说明发行方或指定服务商为增强信用、缓冲特定风险而质押NAC原生代币（XTZH）的机制。包括：</w:t>
      </w:r>
    </w:p>
    <w:p>
      <w:pPr>
        <w:numPr>
          <w:numId w:val="23"/>
        </w:numPr>
        <w:spacing w:before="120" w:after="120" w:line="288" w:lineRule="auto"/>
        <w:ind w:left="0"/>
        <w:jc w:val="left"/>
      </w:pPr>
      <w:r>
        <w:rPr>
          <w:rFonts w:eastAsia="等线" w:ascii="Arial" w:cs="Arial" w:hAnsi="Arial"/>
          <w:b w:val="true"/>
          <w:sz w:val="22"/>
        </w:rPr>
        <w:t>质押目的</w:t>
      </w:r>
      <w:r>
        <w:rPr>
          <w:rFonts w:eastAsia="等线" w:ascii="Arial" w:cs="Arial" w:hAnsi="Arial"/>
          <w:sz w:val="22"/>
        </w:rPr>
        <w:t>：（如：为资产质量背书、作为风险准备金、覆盖操作风险）。</w:t>
      </w:r>
    </w:p>
    <w:p>
      <w:pPr>
        <w:numPr>
          <w:numId w:val="24"/>
        </w:numPr>
        <w:spacing w:before="120" w:after="120" w:line="288" w:lineRule="auto"/>
        <w:ind w:left="0"/>
        <w:jc w:val="left"/>
      </w:pPr>
      <w:r>
        <w:rPr>
          <w:rFonts w:eastAsia="等线" w:ascii="Arial" w:cs="Arial" w:hAnsi="Arial"/>
          <w:b w:val="true"/>
          <w:sz w:val="22"/>
        </w:rPr>
        <w:t>质押规模</w:t>
      </w:r>
      <w:r>
        <w:rPr>
          <w:rFonts w:eastAsia="等线" w:ascii="Arial" w:cs="Arial" w:hAnsi="Arial"/>
          <w:sz w:val="22"/>
        </w:rPr>
        <w:t>：与资产估值或风险权重的关联公式（参考GNACS第7-8位）。</w:t>
      </w:r>
    </w:p>
    <w:p>
      <w:pPr>
        <w:numPr>
          <w:numId w:val="25"/>
        </w:numPr>
        <w:spacing w:before="120" w:after="120" w:line="288" w:lineRule="auto"/>
        <w:ind w:left="0"/>
        <w:jc w:val="left"/>
      </w:pPr>
      <w:r>
        <w:rPr>
          <w:rFonts w:eastAsia="等线" w:ascii="Arial" w:cs="Arial" w:hAnsi="Arial"/>
          <w:b w:val="true"/>
          <w:sz w:val="22"/>
        </w:rPr>
        <w:t>动用条件</w:t>
      </w:r>
      <w:r>
        <w:rPr>
          <w:rFonts w:eastAsia="等线" w:ascii="Arial" w:cs="Arial" w:hAnsi="Arial"/>
          <w:sz w:val="22"/>
        </w:rPr>
        <w:t>：明确在何种触发条件下（如违约、资产被证伪），质押的XTZH可被罚没用于补偿持有人。</w:t>
      </w:r>
    </w:p>
    <w:p>
      <w:pPr>
        <w:numPr>
          <w:numId w:val="26"/>
        </w:numPr>
        <w:spacing w:before="120" w:after="120" w:line="288" w:lineRule="auto"/>
        <w:ind w:left="0"/>
        <w:jc w:val="left"/>
      </w:pPr>
      <w:r>
        <w:rPr>
          <w:rFonts w:eastAsia="等线" w:ascii="Arial" w:cs="Arial" w:hAnsi="Arial"/>
          <w:b w:val="true"/>
          <w:sz w:val="22"/>
        </w:rPr>
        <w:t>查询方式</w:t>
      </w:r>
      <w:r>
        <w:rPr>
          <w:rFonts w:eastAsia="等线" w:ascii="Arial" w:cs="Arial" w:hAnsi="Arial"/>
          <w:sz w:val="22"/>
        </w:rPr>
        <w:t>：提供可公开查询该质押的智能合约地址。</w:t>
      </w:r>
    </w:p>
    <w:p>
      <w:pPr>
        <w:pStyle w:val="3"/>
        <w:spacing w:before="300" w:after="120" w:line="288" w:lineRule="auto"/>
        <w:ind w:left="0"/>
        <w:jc w:val="left"/>
        <w:outlineLvl w:val="2"/>
      </w:pPr>
      <w:bookmarkStart w:name="heading_5" w:id="5"/>
      <w:r>
        <w:rPr>
          <w:rFonts w:eastAsia="等线" w:ascii="Arial" w:cs="Arial" w:hAnsi="Arial"/>
          <w:b w:val="true"/>
          <w:sz w:val="30"/>
        </w:rPr>
        <w:t>第四章：治理、争议解决与法律整合</w:t>
      </w:r>
      <w:bookmarkEnd w:id="5"/>
    </w:p>
    <w:p>
      <w:pPr>
        <w:spacing w:before="120" w:after="120" w:line="288" w:lineRule="auto"/>
        <w:ind w:left="0"/>
        <w:jc w:val="left"/>
      </w:pPr>
      <w:r>
        <w:rPr>
          <w:rFonts w:eastAsia="等线" w:ascii="Arial" w:cs="Arial" w:hAnsi="Arial"/>
          <w:b w:val="true"/>
          <w:sz w:val="22"/>
        </w:rPr>
        <w:t>第8条（链上-链下协同治理）</w:t>
      </w:r>
      <w:r>
        <w:rPr>
          <w:rFonts w:eastAsia="等线" w:ascii="Arial" w:cs="Arial" w:hAnsi="Arial"/>
          <w:sz w:val="22"/>
        </w:rPr>
        <w:t>：</w:t>
      </w:r>
    </w:p>
    <w:p>
      <w:pPr>
        <w:numPr>
          <w:numId w:val="27"/>
        </w:numPr>
        <w:spacing w:before="120" w:after="120" w:line="288" w:lineRule="auto"/>
        <w:ind w:left="0"/>
        <w:jc w:val="left"/>
      </w:pPr>
      <w:r>
        <w:rPr>
          <w:rFonts w:eastAsia="等线" w:ascii="Arial" w:cs="Arial" w:hAnsi="Arial"/>
          <w:b w:val="true"/>
          <w:sz w:val="22"/>
        </w:rPr>
        <w:t>链上治理范围</w:t>
      </w:r>
      <w:r>
        <w:rPr>
          <w:rFonts w:eastAsia="等线" w:ascii="Arial" w:cs="Arial" w:hAnsi="Arial"/>
          <w:sz w:val="22"/>
        </w:rPr>
        <w:t>：明确仅适用于智能合约预设的、可量化执行的议题（如更换某个服务商参数、触发保险）。</w:t>
      </w:r>
    </w:p>
    <w:p>
      <w:pPr>
        <w:numPr>
          <w:numId w:val="28"/>
        </w:numPr>
        <w:spacing w:before="120" w:after="120" w:line="288" w:lineRule="auto"/>
        <w:ind w:left="0"/>
        <w:jc w:val="left"/>
      </w:pPr>
      <w:r>
        <w:rPr>
          <w:rFonts w:eastAsia="等线" w:ascii="Arial" w:cs="Arial" w:hAnsi="Arial"/>
          <w:b w:val="true"/>
          <w:sz w:val="22"/>
        </w:rPr>
        <w:t>链下决策</w:t>
      </w:r>
      <w:r>
        <w:rPr>
          <w:rFonts w:eastAsia="等线" w:ascii="Arial" w:cs="Arial" w:hAnsi="Arial"/>
          <w:sz w:val="22"/>
        </w:rPr>
        <w:t>：所有涉及主观判断、法律文件修改或超出现有合约逻辑的重大决策，仍需通过传统法律程序。</w:t>
      </w:r>
    </w:p>
    <w:p>
      <w:pPr>
        <w:numPr>
          <w:numId w:val="29"/>
        </w:numPr>
        <w:spacing w:before="120" w:after="120" w:line="288" w:lineRule="auto"/>
        <w:ind w:left="0"/>
        <w:jc w:val="left"/>
      </w:pPr>
      <w:r>
        <w:rPr>
          <w:rFonts w:eastAsia="等线" w:ascii="Arial" w:cs="Arial" w:hAnsi="Arial"/>
          <w:b w:val="true"/>
          <w:sz w:val="22"/>
        </w:rPr>
        <w:t>证据效力</w:t>
      </w:r>
      <w:r>
        <w:rPr>
          <w:rFonts w:eastAsia="等线" w:ascii="Arial" w:cs="Arial" w:hAnsi="Arial"/>
          <w:sz w:val="22"/>
        </w:rPr>
        <w:t>：</w:t>
      </w:r>
      <w:r>
        <w:rPr>
          <w:rFonts w:eastAsia="等线" w:ascii="Arial" w:cs="Arial" w:hAnsi="Arial"/>
          <w:b w:val="true"/>
          <w:sz w:val="22"/>
        </w:rPr>
        <w:t>约定仲裁庭或法院应认可智能合约的链上状态与交易记录作为具有高度证明力的证据。</w:t>
      </w:r>
    </w:p>
    <w:p>
      <w:pPr>
        <w:spacing w:before="120" w:after="120" w:line="288" w:lineRule="auto"/>
        <w:ind w:left="0"/>
        <w:jc w:val="left"/>
      </w:pPr>
      <w:r>
        <w:rPr>
          <w:rFonts w:eastAsia="等线" w:ascii="Arial" w:cs="Arial" w:hAnsi="Arial"/>
          <w:b w:val="true"/>
          <w:sz w:val="22"/>
        </w:rPr>
        <w:t>第9条（争议解决）</w:t>
      </w:r>
      <w:r>
        <w:rPr>
          <w:rFonts w:eastAsia="等线" w:ascii="Arial" w:cs="Arial" w:hAnsi="Arial"/>
          <w:sz w:val="22"/>
        </w:rPr>
        <w:t>：</w:t>
      </w:r>
    </w:p>
    <w:p>
      <w:pPr>
        <w:numPr>
          <w:numId w:val="30"/>
        </w:numPr>
        <w:spacing w:before="120" w:after="120" w:line="288" w:lineRule="auto"/>
        <w:ind w:left="0"/>
        <w:jc w:val="left"/>
      </w:pPr>
      <w:r>
        <w:rPr>
          <w:rFonts w:eastAsia="等线" w:ascii="Arial" w:cs="Arial" w:hAnsi="Arial"/>
          <w:b w:val="true"/>
          <w:sz w:val="22"/>
        </w:rPr>
        <w:t>法律适用</w:t>
      </w:r>
      <w:r>
        <w:rPr>
          <w:rFonts w:eastAsia="等线" w:ascii="Arial" w:cs="Arial" w:hAnsi="Arial"/>
          <w:sz w:val="22"/>
        </w:rPr>
        <w:t>：[明确法域]法律。</w:t>
      </w:r>
    </w:p>
    <w:p>
      <w:pPr>
        <w:numPr>
          <w:numId w:val="31"/>
        </w:numPr>
        <w:spacing w:before="120" w:after="120" w:line="288" w:lineRule="auto"/>
        <w:ind w:left="0"/>
        <w:jc w:val="left"/>
      </w:pPr>
      <w:r>
        <w:rPr>
          <w:rFonts w:eastAsia="等线" w:ascii="Arial" w:cs="Arial" w:hAnsi="Arial"/>
          <w:b w:val="true"/>
          <w:sz w:val="22"/>
        </w:rPr>
        <w:t>仲裁</w:t>
      </w:r>
      <w:r>
        <w:rPr>
          <w:rFonts w:eastAsia="等线" w:ascii="Arial" w:cs="Arial" w:hAnsi="Arial"/>
          <w:sz w:val="22"/>
        </w:rPr>
        <w:t>：约定通过[仲裁机构]仲裁，并</w:t>
      </w:r>
      <w:r>
        <w:rPr>
          <w:rFonts w:eastAsia="等线" w:ascii="Arial" w:cs="Arial" w:hAnsi="Arial"/>
          <w:b w:val="true"/>
          <w:sz w:val="22"/>
        </w:rPr>
        <w:t>明确授权仲裁庭可发布指令，要求相关方（如托管方、多签持有者）执行特定的智能合约函数</w:t>
      </w:r>
      <w:r>
        <w:rPr>
          <w:rFonts w:eastAsia="等线" w:ascii="Arial" w:cs="Arial" w:hAnsi="Arial"/>
          <w:sz w:val="22"/>
        </w:rPr>
        <w:t>，以履行裁决。</w:t>
      </w:r>
    </w:p>
    <w:p>
      <w:pPr>
        <w:numPr>
          <w:numId w:val="32"/>
        </w:numPr>
        <w:spacing w:before="120" w:after="120" w:line="288" w:lineRule="auto"/>
        <w:ind w:left="0"/>
        <w:jc w:val="left"/>
      </w:pPr>
      <w:r>
        <w:rPr>
          <w:rFonts w:eastAsia="等线" w:ascii="Arial" w:cs="Arial" w:hAnsi="Arial"/>
          <w:b w:val="true"/>
          <w:sz w:val="22"/>
        </w:rPr>
        <w:t>执行</w:t>
      </w:r>
      <w:r>
        <w:rPr>
          <w:rFonts w:eastAsia="等线" w:ascii="Arial" w:cs="Arial" w:hAnsi="Arial"/>
          <w:sz w:val="22"/>
        </w:rPr>
        <w:t>：各方承诺配合通过技术或法律手段执行裁决。</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6" w:id="6"/>
      <w:r>
        <w:rPr>
          <w:rFonts w:eastAsia="等线" w:ascii="Arial" w:cs="Arial" w:hAnsi="Arial"/>
          <w:b w:val="true"/>
          <w:sz w:val="32"/>
        </w:rPr>
        <w:t>三、六大类资产专用条款模块（供起草时选择性激活与填充）</w:t>
      </w:r>
      <w:bookmarkEnd w:id="6"/>
    </w:p>
    <w:p>
      <w:pPr>
        <w:pStyle w:val="3"/>
        <w:spacing w:before="300" w:after="120" w:line="288" w:lineRule="auto"/>
        <w:ind w:left="0"/>
        <w:jc w:val="left"/>
        <w:outlineLvl w:val="2"/>
      </w:pPr>
      <w:bookmarkStart w:name="heading_7" w:id="7"/>
      <w:r>
        <w:rPr>
          <w:rFonts w:eastAsia="等线" w:ascii="Arial" w:cs="Arial" w:hAnsi="Arial"/>
          <w:b w:val="true"/>
          <w:sz w:val="30"/>
        </w:rPr>
        <w:t>模块A：不动产/大宗商品（强物理资产依赖）</w:t>
      </w:r>
      <w:bookmarkEnd w:id="7"/>
    </w:p>
    <w:p>
      <w:pPr>
        <w:numPr>
          <w:numId w:val="33"/>
        </w:numPr>
        <w:spacing w:before="120" w:after="120" w:line="288" w:lineRule="auto"/>
        <w:ind w:left="0"/>
        <w:jc w:val="left"/>
      </w:pPr>
      <w:r>
        <w:rPr>
          <w:rFonts w:eastAsia="等线" w:ascii="Arial" w:cs="Arial" w:hAnsi="Arial"/>
          <w:b w:val="true"/>
          <w:sz w:val="22"/>
        </w:rPr>
        <w:t>专用条款</w:t>
      </w:r>
      <w:r>
        <w:rPr>
          <w:rFonts w:eastAsia="等线" w:ascii="Arial" w:cs="Arial" w:hAnsi="Arial"/>
          <w:sz w:val="22"/>
        </w:rPr>
        <w:t>：需详细描述《资产托管协议》要点，明确托管方（</w:t>
      </w:r>
      <w:r>
        <w:rPr>
          <w:rFonts w:eastAsia="Consolas" w:ascii="Consolas" w:cs="Consolas" w:hAnsi="Consolas"/>
          <w:sz w:val="22"/>
          <w:shd w:fill="EFF0F1"/>
        </w:rPr>
        <w:t>B3</w:t>
      </w:r>
      <w:r>
        <w:rPr>
          <w:rFonts w:eastAsia="等线" w:ascii="Arial" w:cs="Arial" w:hAnsi="Arial"/>
          <w:sz w:val="22"/>
        </w:rPr>
        <w:t>管理权）的法律职责、保险安排、现金流归集与上链流程。</w:t>
      </w:r>
    </w:p>
    <w:p>
      <w:pPr>
        <w:numPr>
          <w:numId w:val="34"/>
        </w:numPr>
        <w:spacing w:before="120" w:after="120" w:line="288" w:lineRule="auto"/>
        <w:ind w:left="0"/>
        <w:jc w:val="left"/>
      </w:pPr>
      <w:r>
        <w:rPr>
          <w:rFonts w:eastAsia="等线" w:ascii="Arial" w:cs="Arial" w:hAnsi="Arial"/>
          <w:b w:val="true"/>
          <w:sz w:val="22"/>
        </w:rPr>
        <w:t>风险特别提示</w:t>
      </w:r>
      <w:r>
        <w:rPr>
          <w:rFonts w:eastAsia="等线" w:ascii="Arial" w:cs="Arial" w:hAnsi="Arial"/>
          <w:sz w:val="22"/>
        </w:rPr>
        <w:t>：强调物理资产损毁、灭失、被司法查封的风险，以及托管方破产的风险。</w:t>
      </w:r>
    </w:p>
    <w:p>
      <w:pPr>
        <w:pStyle w:val="3"/>
        <w:spacing w:before="300" w:after="120" w:line="288" w:lineRule="auto"/>
        <w:ind w:left="0"/>
        <w:jc w:val="left"/>
        <w:outlineLvl w:val="2"/>
      </w:pPr>
      <w:bookmarkStart w:name="heading_8" w:id="8"/>
      <w:r>
        <w:rPr>
          <w:rFonts w:eastAsia="等线" w:ascii="Arial" w:cs="Arial" w:hAnsi="Arial"/>
          <w:b w:val="true"/>
          <w:sz w:val="30"/>
        </w:rPr>
        <w:t>模块B：金融资产（强合规依赖）</w:t>
      </w:r>
      <w:bookmarkEnd w:id="8"/>
    </w:p>
    <w:p>
      <w:pPr>
        <w:numPr>
          <w:numId w:val="35"/>
        </w:numPr>
        <w:spacing w:before="120" w:after="120" w:line="288" w:lineRule="auto"/>
        <w:ind w:left="0"/>
        <w:jc w:val="left"/>
      </w:pPr>
      <w:r>
        <w:rPr>
          <w:rFonts w:eastAsia="等线" w:ascii="Arial" w:cs="Arial" w:hAnsi="Arial"/>
          <w:b w:val="true"/>
          <w:sz w:val="22"/>
        </w:rPr>
        <w:t>专用条款</w:t>
      </w:r>
      <w:r>
        <w:rPr>
          <w:rFonts w:eastAsia="等线" w:ascii="Arial" w:cs="Arial" w:hAnsi="Arial"/>
          <w:sz w:val="22"/>
        </w:rPr>
        <w:t>：需嵌入《证券法》要求的充分风险披露，明确代币是否构成证券、如何遵守证券转让限制（通过ACC-1400合约强制执行）。</w:t>
      </w:r>
    </w:p>
    <w:p>
      <w:pPr>
        <w:numPr>
          <w:numId w:val="36"/>
        </w:numPr>
        <w:spacing w:before="120" w:after="120" w:line="288" w:lineRule="auto"/>
        <w:ind w:left="0"/>
        <w:jc w:val="left"/>
      </w:pPr>
      <w:r>
        <w:rPr>
          <w:rFonts w:eastAsia="等线" w:ascii="Arial" w:cs="Arial" w:hAnsi="Arial"/>
          <w:b w:val="true"/>
          <w:sz w:val="22"/>
        </w:rPr>
        <w:t>现金流模型</w:t>
      </w:r>
      <w:r>
        <w:rPr>
          <w:rFonts w:eastAsia="等线" w:ascii="Arial" w:cs="Arial" w:hAnsi="Arial"/>
          <w:sz w:val="22"/>
        </w:rPr>
        <w:t>：需附上详细的现金流预测模型或压力测试结果。</w:t>
      </w:r>
    </w:p>
    <w:p>
      <w:pPr>
        <w:pStyle w:val="3"/>
        <w:spacing w:before="300" w:after="120" w:line="288" w:lineRule="auto"/>
        <w:ind w:left="0"/>
        <w:jc w:val="left"/>
        <w:outlineLvl w:val="2"/>
      </w:pPr>
      <w:bookmarkStart w:name="heading_9" w:id="9"/>
      <w:r>
        <w:rPr>
          <w:rFonts w:eastAsia="等线" w:ascii="Arial" w:cs="Arial" w:hAnsi="Arial"/>
          <w:b w:val="true"/>
          <w:sz w:val="30"/>
        </w:rPr>
        <w:t>模块C：艺术品（权利分离复杂）</w:t>
      </w:r>
      <w:bookmarkEnd w:id="9"/>
    </w:p>
    <w:p>
      <w:pPr>
        <w:numPr>
          <w:numId w:val="37"/>
        </w:numPr>
        <w:spacing w:before="120" w:after="120" w:line="288" w:lineRule="auto"/>
        <w:ind w:left="0"/>
        <w:jc w:val="left"/>
      </w:pPr>
      <w:r>
        <w:rPr>
          <w:rFonts w:eastAsia="等线" w:ascii="Arial" w:cs="Arial" w:hAnsi="Arial"/>
          <w:b w:val="true"/>
          <w:sz w:val="22"/>
        </w:rPr>
        <w:t>专用条款</w:t>
      </w:r>
      <w:r>
        <w:rPr>
          <w:rFonts w:eastAsia="等线" w:ascii="Arial" w:cs="Arial" w:hAnsi="Arial"/>
          <w:sz w:val="22"/>
        </w:rPr>
        <w:t>：</w:t>
      </w:r>
      <w:r>
        <w:rPr>
          <w:rFonts w:eastAsia="等线" w:ascii="Arial" w:cs="Arial" w:hAnsi="Arial"/>
          <w:b w:val="true"/>
          <w:sz w:val="22"/>
        </w:rPr>
        <w:t>必须以独立章节明确“权利分割”</w:t>
      </w:r>
      <w:r>
        <w:rPr>
          <w:rFonts w:eastAsia="等线" w:ascii="Arial" w:cs="Arial" w:hAnsi="Arial"/>
          <w:sz w:val="22"/>
        </w:rPr>
        <w:t>：</w:t>
        <w:br/>
      </w:r>
    </w:p>
    <w:p>
      <w:pPr>
        <w:numPr>
          <w:numId w:val="38"/>
        </w:numPr>
        <w:spacing w:before="120" w:after="120" w:line="288" w:lineRule="auto"/>
        <w:ind w:left="453"/>
        <w:jc w:val="left"/>
      </w:pPr>
      <w:r>
        <w:rPr>
          <w:rFonts w:eastAsia="等线" w:ascii="Arial" w:cs="Arial" w:hAnsi="Arial"/>
          <w:sz w:val="22"/>
        </w:rPr>
        <w:t>所有权（A0）的范围。</w:t>
      </w:r>
    </w:p>
    <w:p>
      <w:pPr>
        <w:numPr>
          <w:numId w:val="39"/>
        </w:numPr>
        <w:spacing w:before="120" w:after="120" w:line="288" w:lineRule="auto"/>
        <w:ind w:left="453"/>
        <w:jc w:val="left"/>
      </w:pPr>
      <w:r>
        <w:rPr>
          <w:rFonts w:eastAsia="等线" w:ascii="Arial" w:cs="Arial" w:hAnsi="Arial"/>
          <w:sz w:val="22"/>
        </w:rPr>
        <w:t>版权（如D2许可）的归属、许可范围、收益分配。</w:t>
      </w:r>
    </w:p>
    <w:p>
      <w:pPr>
        <w:numPr>
          <w:numId w:val="40"/>
        </w:numPr>
        <w:spacing w:before="120" w:after="120" w:line="288" w:lineRule="auto"/>
        <w:ind w:left="453"/>
        <w:jc w:val="left"/>
      </w:pPr>
      <w:r>
        <w:rPr>
          <w:rFonts w:eastAsia="等线" w:ascii="Arial" w:cs="Arial" w:hAnsi="Arial"/>
          <w:sz w:val="22"/>
        </w:rPr>
        <w:t>展览权、复制权等具体子权利的状态。</w:t>
      </w:r>
    </w:p>
    <w:p>
      <w:pPr>
        <w:numPr>
          <w:numId w:val="41"/>
        </w:numPr>
        <w:spacing w:before="120" w:after="120" w:line="288" w:lineRule="auto"/>
        <w:ind w:left="0"/>
        <w:jc w:val="left"/>
      </w:pPr>
      <w:r>
        <w:rPr>
          <w:rFonts w:eastAsia="等线" w:ascii="Arial" w:cs="Arial" w:hAnsi="Arial"/>
          <w:b w:val="true"/>
          <w:sz w:val="22"/>
        </w:rPr>
        <w:t>真实性与出处</w:t>
      </w:r>
      <w:r>
        <w:rPr>
          <w:rFonts w:eastAsia="等线" w:ascii="Arial" w:cs="Arial" w:hAnsi="Arial"/>
          <w:sz w:val="22"/>
        </w:rPr>
        <w:t>：详细描述数字化认证流程，并声明认证方（数字典藏实验室）的责任。</w:t>
      </w:r>
    </w:p>
    <w:p>
      <w:pPr>
        <w:pStyle w:val="3"/>
        <w:spacing w:before="300" w:after="120" w:line="288" w:lineRule="auto"/>
        <w:ind w:left="0"/>
        <w:jc w:val="left"/>
        <w:outlineLvl w:val="2"/>
      </w:pPr>
      <w:bookmarkStart w:name="heading_10" w:id="10"/>
      <w:r>
        <w:rPr>
          <w:rFonts w:eastAsia="等线" w:ascii="Arial" w:cs="Arial" w:hAnsi="Arial"/>
          <w:b w:val="true"/>
          <w:sz w:val="30"/>
        </w:rPr>
        <w:t>模块D：ESG碳信用（目标特殊）</w:t>
      </w:r>
      <w:bookmarkEnd w:id="10"/>
    </w:p>
    <w:p>
      <w:pPr>
        <w:numPr>
          <w:numId w:val="42"/>
        </w:numPr>
        <w:spacing w:before="120" w:after="120" w:line="288" w:lineRule="auto"/>
        <w:ind w:left="0"/>
        <w:jc w:val="left"/>
      </w:pPr>
      <w:r>
        <w:rPr>
          <w:rFonts w:eastAsia="等线" w:ascii="Arial" w:cs="Arial" w:hAnsi="Arial"/>
          <w:b w:val="true"/>
          <w:sz w:val="22"/>
        </w:rPr>
        <w:t>专用条款</w:t>
      </w:r>
      <w:r>
        <w:rPr>
          <w:rFonts w:eastAsia="等线" w:ascii="Arial" w:cs="Arial" w:hAnsi="Arial"/>
          <w:sz w:val="22"/>
        </w:rPr>
        <w:t>：</w:t>
      </w:r>
      <w:r>
        <w:rPr>
          <w:rFonts w:eastAsia="等线" w:ascii="Arial" w:cs="Arial" w:hAnsi="Arial"/>
          <w:b w:val="true"/>
          <w:sz w:val="22"/>
        </w:rPr>
        <w:t>必须彻底重塑“收益”概念</w:t>
      </w:r>
      <w:r>
        <w:rPr>
          <w:rFonts w:eastAsia="等线" w:ascii="Arial" w:cs="Arial" w:hAnsi="Arial"/>
          <w:sz w:val="22"/>
        </w:rPr>
        <w:t>：</w:t>
        <w:br/>
        <w:t xml:space="preserve">        </w:t>
      </w:r>
    </w:p>
    <w:p>
      <w:pPr>
        <w:numPr>
          <w:numId w:val="43"/>
        </w:numPr>
        <w:spacing w:before="120" w:after="120" w:line="288" w:lineRule="auto"/>
        <w:ind w:left="453"/>
        <w:jc w:val="left"/>
      </w:pPr>
      <w:r>
        <w:rPr>
          <w:rFonts w:eastAsia="等线" w:ascii="Arial" w:cs="Arial" w:hAnsi="Arial"/>
          <w:sz w:val="22"/>
        </w:rPr>
        <w:t>明确代币代表的是“经核证的减排量环境权益”，</w:t>
      </w:r>
      <w:r>
        <w:rPr>
          <w:rFonts w:eastAsia="等线" w:ascii="Arial" w:cs="Arial" w:hAnsi="Arial"/>
          <w:b w:val="true"/>
          <w:sz w:val="22"/>
        </w:rPr>
        <w:t>不产生任何金融投资回报</w:t>
      </w:r>
      <w:r>
        <w:rPr>
          <w:rFonts w:eastAsia="等线" w:ascii="Arial" w:cs="Arial" w:hAnsi="Arial"/>
          <w:sz w:val="22"/>
        </w:rPr>
        <w:t>。</w:t>
      </w:r>
    </w:p>
    <w:p>
      <w:pPr>
        <w:numPr>
          <w:numId w:val="44"/>
        </w:numPr>
        <w:spacing w:before="120" w:after="120" w:line="288" w:lineRule="auto"/>
        <w:ind w:left="453"/>
        <w:jc w:val="left"/>
      </w:pPr>
      <w:r>
        <w:rPr>
          <w:rFonts w:eastAsia="等线" w:ascii="Arial" w:cs="Arial" w:hAnsi="Arial"/>
          <w:sz w:val="22"/>
        </w:rPr>
        <w:t>详细说明注销（退休）的法律与环境意义，以及获得的注销证明（VDR）的用途。</w:t>
      </w:r>
    </w:p>
    <w:p>
      <w:pPr>
        <w:numPr>
          <w:numId w:val="45"/>
        </w:numPr>
        <w:spacing w:before="120" w:after="120" w:line="288" w:lineRule="auto"/>
        <w:ind w:left="453"/>
        <w:jc w:val="left"/>
      </w:pPr>
      <w:r>
        <w:rPr>
          <w:rFonts w:eastAsia="等线" w:ascii="Arial" w:cs="Arial" w:hAnsi="Arial"/>
          <w:sz w:val="22"/>
        </w:rPr>
        <w:t>披露缓冲池机制（如有），用于应对减排量逆转风险。</w:t>
      </w:r>
    </w:p>
    <w:p>
      <w:pPr>
        <w:numPr>
          <w:numId w:val="46"/>
        </w:numPr>
        <w:spacing w:before="120" w:after="120" w:line="288" w:lineRule="auto"/>
        <w:ind w:left="0"/>
        <w:jc w:val="left"/>
      </w:pPr>
      <w:r>
        <w:rPr>
          <w:rFonts w:eastAsia="等线" w:ascii="Arial" w:cs="Arial" w:hAnsi="Arial"/>
          <w:b w:val="true"/>
          <w:sz w:val="22"/>
        </w:rPr>
        <w:t>风险特别提示</w:t>
      </w:r>
      <w:r>
        <w:rPr>
          <w:rFonts w:eastAsia="等线" w:ascii="Arial" w:cs="Arial" w:hAnsi="Arial"/>
          <w:sz w:val="22"/>
        </w:rPr>
        <w:t>：重点提示“漂绿”声誉风险、方法论过时风险、项目环境完整性失效风险。</w:t>
      </w:r>
    </w:p>
    <w:p>
      <w:pPr>
        <w:pStyle w:val="3"/>
        <w:spacing w:before="300" w:after="120" w:line="288" w:lineRule="auto"/>
        <w:ind w:left="0"/>
        <w:jc w:val="left"/>
        <w:outlineLvl w:val="2"/>
      </w:pPr>
      <w:bookmarkStart w:name="heading_11" w:id="11"/>
      <w:r>
        <w:rPr>
          <w:rFonts w:eastAsia="等线" w:ascii="Arial" w:cs="Arial" w:hAnsi="Arial"/>
          <w:b w:val="true"/>
          <w:sz w:val="30"/>
        </w:rPr>
        <w:t>模块E：封装跨链资产（结构复杂）</w:t>
      </w:r>
      <w:bookmarkEnd w:id="11"/>
    </w:p>
    <w:p>
      <w:pPr>
        <w:numPr>
          <w:numId w:val="47"/>
        </w:numPr>
        <w:spacing w:before="120" w:after="120" w:line="288" w:lineRule="auto"/>
        <w:ind w:left="0"/>
        <w:jc w:val="left"/>
      </w:pPr>
      <w:r>
        <w:rPr>
          <w:rFonts w:eastAsia="等线" w:ascii="Arial" w:cs="Arial" w:hAnsi="Arial"/>
          <w:b w:val="true"/>
          <w:sz w:val="22"/>
        </w:rPr>
        <w:t>专用条款</w:t>
      </w:r>
      <w:r>
        <w:rPr>
          <w:rFonts w:eastAsia="等线" w:ascii="Arial" w:cs="Arial" w:hAnsi="Arial"/>
          <w:sz w:val="22"/>
        </w:rPr>
        <w:t>：</w:t>
      </w:r>
      <w:r>
        <w:rPr>
          <w:rFonts w:eastAsia="等线" w:ascii="Arial" w:cs="Arial" w:hAnsi="Arial"/>
          <w:b w:val="true"/>
          <w:sz w:val="22"/>
        </w:rPr>
        <w:t>必须澄清法律结构</w:t>
      </w:r>
      <w:r>
        <w:rPr>
          <w:rFonts w:eastAsia="等线" w:ascii="Arial" w:cs="Arial" w:hAnsi="Arial"/>
          <w:sz w:val="22"/>
        </w:rPr>
        <w:t>：</w:t>
        <w:br/>
        <w:t xml:space="preserve">        </w:t>
      </w:r>
    </w:p>
    <w:p>
      <w:pPr>
        <w:numPr>
          <w:numId w:val="48"/>
        </w:numPr>
        <w:spacing w:before="120" w:after="120" w:line="288" w:lineRule="auto"/>
        <w:ind w:left="453"/>
        <w:jc w:val="left"/>
      </w:pPr>
      <w:r>
        <w:rPr>
          <w:rFonts w:eastAsia="等线" w:ascii="Arial" w:cs="Arial" w:hAnsi="Arial"/>
          <w:sz w:val="22"/>
        </w:rPr>
        <w:t>明确封装代币是“对锁定于[源链地址]的[资产]的赎回权凭证”，而非资产本身。</w:t>
      </w:r>
    </w:p>
    <w:p>
      <w:pPr>
        <w:numPr>
          <w:numId w:val="49"/>
        </w:numPr>
        <w:spacing w:before="120" w:after="120" w:line="288" w:lineRule="auto"/>
        <w:ind w:left="453"/>
        <w:jc w:val="left"/>
      </w:pPr>
      <w:r>
        <w:rPr>
          <w:rFonts w:eastAsia="等线" w:ascii="Arial" w:cs="Arial" w:hAnsi="Arial"/>
          <w:sz w:val="22"/>
        </w:rPr>
        <w:t>详细说明跨链验证者网络的安全模型、XTZH质押罚没机制。</w:t>
      </w:r>
    </w:p>
    <w:p>
      <w:pPr>
        <w:numPr>
          <w:numId w:val="50"/>
        </w:numPr>
        <w:spacing w:before="120" w:after="120" w:line="288" w:lineRule="auto"/>
        <w:ind w:left="453"/>
        <w:jc w:val="left"/>
      </w:pPr>
      <w:r>
        <w:rPr>
          <w:rFonts w:eastAsia="等线" w:ascii="Arial" w:cs="Arial" w:hAnsi="Arial"/>
          <w:sz w:val="22"/>
        </w:rPr>
        <w:t>披露源链智能合约风险、桥接技术风险。</w:t>
      </w:r>
    </w:p>
    <w:p>
      <w:pPr>
        <w:numPr>
          <w:numId w:val="51"/>
        </w:numPr>
        <w:spacing w:before="120" w:after="120" w:line="288" w:lineRule="auto"/>
        <w:ind w:left="0"/>
        <w:jc w:val="left"/>
      </w:pPr>
      <w:r>
        <w:rPr>
          <w:rFonts w:eastAsia="等线" w:ascii="Arial" w:cs="Arial" w:hAnsi="Arial"/>
          <w:b w:val="true"/>
          <w:sz w:val="22"/>
        </w:rPr>
        <w:t>赎回流程</w:t>
      </w:r>
      <w:r>
        <w:rPr>
          <w:rFonts w:eastAsia="等线" w:ascii="Arial" w:cs="Arial" w:hAnsi="Arial"/>
          <w:sz w:val="22"/>
        </w:rPr>
        <w:t>：分步骤描述用户发起赎回至收到源链资产的全过程和时间预期。</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12" w:id="12"/>
      <w:r>
        <w:rPr>
          <w:rFonts w:eastAsia="等线" w:ascii="Arial" w:cs="Arial" w:hAnsi="Arial"/>
          <w:b w:val="true"/>
          <w:sz w:val="32"/>
        </w:rPr>
        <w:t>四、附件清单与最终建议</w:t>
      </w:r>
      <w:bookmarkEnd w:id="12"/>
    </w:p>
    <w:p>
      <w:pPr>
        <w:pStyle w:val="3"/>
        <w:spacing w:before="300" w:after="120" w:line="288" w:lineRule="auto"/>
        <w:ind w:left="0"/>
        <w:jc w:val="left"/>
        <w:outlineLvl w:val="2"/>
      </w:pPr>
      <w:bookmarkStart w:name="heading_13" w:id="13"/>
      <w:r>
        <w:rPr>
          <w:rFonts w:eastAsia="等线" w:ascii="Arial" w:cs="Arial" w:hAnsi="Arial"/>
          <w:b w:val="true"/>
          <w:sz w:val="30"/>
        </w:rPr>
        <w:t>标准附件</w:t>
      </w:r>
      <w:bookmarkEnd w:id="13"/>
    </w:p>
    <w:p>
      <w:pPr>
        <w:numPr>
          <w:numId w:val="52"/>
        </w:numPr>
        <w:spacing w:before="120" w:after="120" w:line="288" w:lineRule="auto"/>
        <w:ind w:left="0"/>
        <w:jc w:val="left"/>
      </w:pPr>
      <w:r>
        <w:rPr>
          <w:rFonts w:eastAsia="等线" w:ascii="Arial" w:cs="Arial" w:hAnsi="Arial"/>
          <w:b w:val="true"/>
          <w:sz w:val="22"/>
        </w:rPr>
        <w:t>附件A</w:t>
      </w:r>
      <w:r>
        <w:rPr>
          <w:rFonts w:eastAsia="等线" w:ascii="Arial" w:cs="Arial" w:hAnsi="Arial"/>
          <w:sz w:val="22"/>
        </w:rPr>
        <w:t>：标的资产尽职调查报告及法律意见书摘要。</w:t>
      </w:r>
    </w:p>
    <w:p>
      <w:pPr>
        <w:numPr>
          <w:numId w:val="53"/>
        </w:numPr>
        <w:spacing w:before="120" w:after="120" w:line="288" w:lineRule="auto"/>
        <w:ind w:left="0"/>
        <w:jc w:val="left"/>
      </w:pPr>
      <w:r>
        <w:rPr>
          <w:rFonts w:eastAsia="等线" w:ascii="Arial" w:cs="Arial" w:hAnsi="Arial"/>
          <w:b w:val="true"/>
          <w:sz w:val="22"/>
        </w:rPr>
        <w:t>附件B</w:t>
      </w:r>
      <w:r>
        <w:rPr>
          <w:rFonts w:eastAsia="等线" w:ascii="Arial" w:cs="Arial" w:hAnsi="Arial"/>
          <w:sz w:val="22"/>
        </w:rPr>
        <w:t>：主要服务协议摘要（如《资产服务协议》、《托管协议》）。</w:t>
      </w:r>
    </w:p>
    <w:p>
      <w:pPr>
        <w:numPr>
          <w:numId w:val="54"/>
        </w:numPr>
        <w:spacing w:before="120" w:after="120" w:line="288" w:lineRule="auto"/>
        <w:ind w:left="0"/>
        <w:jc w:val="left"/>
      </w:pPr>
      <w:r>
        <w:rPr>
          <w:rFonts w:eastAsia="等线" w:ascii="Arial" w:cs="Arial" w:hAnsi="Arial"/>
          <w:b w:val="true"/>
          <w:sz w:val="22"/>
        </w:rPr>
        <w:t>附件C</w:t>
      </w:r>
      <w:r>
        <w:rPr>
          <w:rFonts w:eastAsia="等线" w:ascii="Arial" w:cs="Arial" w:hAnsi="Arial"/>
          <w:sz w:val="22"/>
        </w:rPr>
        <w:t>：智能合约关键函数与风险逻辑解释（非技术语言）。</w:t>
      </w:r>
    </w:p>
    <w:p>
      <w:pPr>
        <w:numPr>
          <w:numId w:val="55"/>
        </w:numPr>
        <w:spacing w:before="120" w:after="120" w:line="288" w:lineRule="auto"/>
        <w:ind w:left="0"/>
        <w:jc w:val="left"/>
      </w:pPr>
      <w:r>
        <w:rPr>
          <w:rFonts w:eastAsia="等线" w:ascii="Arial" w:cs="Arial" w:hAnsi="Arial"/>
          <w:b w:val="true"/>
          <w:sz w:val="22"/>
        </w:rPr>
        <w:t>附件D</w:t>
      </w:r>
      <w:r>
        <w:rPr>
          <w:rFonts w:eastAsia="等线" w:ascii="Arial" w:cs="Arial" w:hAnsi="Arial"/>
          <w:sz w:val="22"/>
        </w:rPr>
        <w:t>：GNACS编码详解。</w:t>
      </w:r>
    </w:p>
    <w:p>
      <w:pPr>
        <w:numPr>
          <w:numId w:val="56"/>
        </w:numPr>
        <w:spacing w:before="120" w:after="120" w:line="288" w:lineRule="auto"/>
        <w:ind w:left="0"/>
        <w:jc w:val="left"/>
      </w:pPr>
      <w:r>
        <w:rPr>
          <w:rFonts w:eastAsia="等线" w:ascii="Arial" w:cs="Arial" w:hAnsi="Arial"/>
          <w:b w:val="true"/>
          <w:sz w:val="22"/>
        </w:rPr>
        <w:t>附件E</w:t>
      </w:r>
      <w:r>
        <w:rPr>
          <w:rFonts w:eastAsia="等线" w:ascii="Arial" w:cs="Arial" w:hAnsi="Arial"/>
          <w:sz w:val="22"/>
        </w:rPr>
        <w:t>：认购协议。</w:t>
      </w:r>
    </w:p>
    <w:p>
      <w:pPr>
        <w:pStyle w:val="3"/>
        <w:spacing w:before="300" w:after="120" w:line="288" w:lineRule="auto"/>
        <w:ind w:left="0"/>
        <w:jc w:val="left"/>
        <w:outlineLvl w:val="2"/>
      </w:pPr>
      <w:bookmarkStart w:name="heading_14" w:id="14"/>
      <w:r>
        <w:rPr>
          <w:rFonts w:eastAsia="等线" w:ascii="Arial" w:cs="Arial" w:hAnsi="Arial"/>
          <w:b w:val="true"/>
          <w:sz w:val="30"/>
        </w:rPr>
        <w:t>最终建议</w:t>
      </w:r>
      <w:bookmarkEnd w:id="14"/>
    </w:p>
    <w:p>
      <w:pPr>
        <w:spacing w:before="120" w:after="120" w:line="288" w:lineRule="auto"/>
        <w:ind w:left="0"/>
        <w:jc w:val="left"/>
      </w:pPr>
      <w:r>
        <w:rPr>
          <w:rFonts w:eastAsia="等线" w:ascii="Arial" w:cs="Arial" w:hAnsi="Arial"/>
          <w:sz w:val="22"/>
        </w:rPr>
        <w:t>在说明书定稿前，</w:t>
      </w:r>
      <w:r>
        <w:rPr>
          <w:rFonts w:eastAsia="等线" w:ascii="Arial" w:cs="Arial" w:hAnsi="Arial"/>
          <w:b w:val="true"/>
          <w:sz w:val="22"/>
        </w:rPr>
        <w:t>必须由技术团队进行“条款-代码一致性校验”</w:t>
      </w:r>
      <w:r>
        <w:rPr>
          <w:rFonts w:eastAsia="等线" w:ascii="Arial" w:cs="Arial" w:hAnsi="Arial"/>
          <w:sz w:val="22"/>
        </w:rPr>
        <w:t>，确保法律文件中承诺的每一项权益、限制和流程，都精确对应了智能合约的函数逻辑和权限设置。最终文件应由发行方签署，并与投资者的NAC公链认购地址进行绑定。</w:t>
      </w:r>
    </w:p>
    <w:p>
      <w:pPr>
        <w:pBdr>
          <w:bottom w:val="single" w:color="dee0e3"/>
          <w:between w:val="single" w:color="dee0e3"/>
        </w:pBdr>
        <w:spacing w:before="120" w:after="120" w:line="288" w:lineRule="auto"/>
        <w:ind w:left="0"/>
      </w:pPr>
    </w:p>
    <w:p>
      <w:pPr>
        <w:spacing w:before="120" w:after="120" w:line="288" w:lineRule="auto"/>
        <w:ind w:left="0"/>
        <w:jc w:val="left"/>
      </w:pPr>
      <w:r>
        <w:rPr>
          <w:rFonts w:eastAsia="等线" w:ascii="Arial" w:cs="Arial" w:hAnsi="Arial"/>
          <w:b w:val="true"/>
          <w:sz w:val="22"/>
        </w:rPr>
        <w:t>指引制定方</w:t>
      </w:r>
      <w:r>
        <w:rPr>
          <w:rFonts w:eastAsia="等线" w:ascii="Arial" w:cs="Arial" w:hAnsi="Arial"/>
          <w:sz w:val="22"/>
        </w:rPr>
        <w:t>：NAC生态合规委员会</w:t>
      </w:r>
    </w:p>
    <w:p>
      <w:pPr>
        <w:spacing w:before="120" w:after="120" w:line="288" w:lineRule="auto"/>
        <w:ind w:left="0"/>
        <w:jc w:val="left"/>
      </w:pPr>
      <w:r>
        <w:rPr>
          <w:rFonts w:eastAsia="等线" w:ascii="Arial" w:cs="Arial" w:hAnsi="Arial"/>
          <w:b w:val="true"/>
          <w:sz w:val="22"/>
        </w:rPr>
        <w:t>版本</w:t>
      </w:r>
      <w:r>
        <w:rPr>
          <w:rFonts w:eastAsia="等线" w:ascii="Arial" w:cs="Arial" w:hAnsi="Arial"/>
          <w:sz w:val="22"/>
        </w:rPr>
        <w:t>：V1.0 (综合版)</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5"/>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3110142">
    <w:lvl>
      <w:start w:val="1"/>
      <w:numFmt w:val="decimal"/>
      <w:suff w:val="tab"/>
      <w:lvlText w:val="%1."/>
      <w:rPr>
        <w:color w:val="3370ff"/>
      </w:rPr>
    </w:lvl>
  </w:abstractNum>
  <w:abstractNum w:abstractNumId="3110143">
    <w:lvl>
      <w:start w:val="2"/>
      <w:numFmt w:val="decimal"/>
      <w:suff w:val="tab"/>
      <w:lvlText w:val="%1."/>
      <w:rPr>
        <w:color w:val="3370ff"/>
      </w:rPr>
    </w:lvl>
  </w:abstractNum>
  <w:abstractNum w:abstractNumId="3110144">
    <w:lvl>
      <w:start w:val="3"/>
      <w:numFmt w:val="decimal"/>
      <w:suff w:val="tab"/>
      <w:lvlText w:val="%1."/>
      <w:rPr>
        <w:color w:val="3370ff"/>
      </w:rPr>
    </w:lvl>
  </w:abstractNum>
  <w:abstractNum w:abstractNumId="3110145">
    <w:lvl>
      <w:numFmt w:val="bullet"/>
      <w:suff w:val="tab"/>
      <w:lvlText w:val="￮"/>
      <w:rPr>
        <w:color w:val="3370ff"/>
      </w:rPr>
    </w:lvl>
  </w:abstractNum>
  <w:abstractNum w:abstractNumId="3110146">
    <w:lvl>
      <w:numFmt w:val="bullet"/>
      <w:suff w:val="tab"/>
      <w:lvlText w:val="￮"/>
      <w:rPr>
        <w:color w:val="3370ff"/>
      </w:rPr>
    </w:lvl>
  </w:abstractNum>
  <w:abstractNum w:abstractNumId="3110147">
    <w:lvl>
      <w:numFmt w:val="bullet"/>
      <w:suff w:val="tab"/>
      <w:lvlText w:val="￮"/>
      <w:rPr>
        <w:color w:val="3370ff"/>
      </w:rPr>
    </w:lvl>
  </w:abstractNum>
  <w:abstractNum w:abstractNumId="3110148">
    <w:lvl>
      <w:numFmt w:val="bullet"/>
      <w:suff w:val="tab"/>
      <w:lvlText w:val="￮"/>
      <w:rPr>
        <w:color w:val="3370ff"/>
      </w:rPr>
    </w:lvl>
  </w:abstractNum>
  <w:abstractNum w:abstractNumId="3110149">
    <w:lvl>
      <w:numFmt w:val="bullet"/>
      <w:suff w:val="tab"/>
      <w:lvlText w:val="￮"/>
      <w:rPr>
        <w:color w:val="3370ff"/>
      </w:rPr>
    </w:lvl>
  </w:abstractNum>
  <w:abstractNum w:abstractNumId="3110150">
    <w:lvl>
      <w:numFmt w:val="bullet"/>
      <w:suff w:val="tab"/>
      <w:lvlText w:val="￮"/>
      <w:rPr>
        <w:color w:val="3370ff"/>
      </w:rPr>
    </w:lvl>
  </w:abstractNum>
  <w:abstractNum w:abstractNumId="3110151">
    <w:lvl>
      <w:numFmt w:val="bullet"/>
      <w:suff w:val="tab"/>
      <w:lvlText w:val="•"/>
      <w:rPr>
        <w:color w:val="3370ff"/>
      </w:rPr>
    </w:lvl>
  </w:abstractNum>
  <w:abstractNum w:abstractNumId="3110152">
    <w:lvl>
      <w:numFmt w:val="bullet"/>
      <w:suff w:val="tab"/>
      <w:lvlText w:val="•"/>
      <w:rPr>
        <w:color w:val="3370ff"/>
      </w:rPr>
    </w:lvl>
  </w:abstractNum>
  <w:abstractNum w:abstractNumId="3110153">
    <w:lvl>
      <w:numFmt w:val="bullet"/>
      <w:suff w:val="tab"/>
      <w:lvlText w:val="•"/>
      <w:rPr>
        <w:color w:val="3370ff"/>
      </w:rPr>
    </w:lvl>
  </w:abstractNum>
  <w:abstractNum w:abstractNumId="3110154">
    <w:lvl>
      <w:numFmt w:val="bullet"/>
      <w:suff w:val="tab"/>
      <w:lvlText w:val="•"/>
      <w:rPr>
        <w:color w:val="3370ff"/>
      </w:rPr>
    </w:lvl>
  </w:abstractNum>
  <w:abstractNum w:abstractNumId="3110155">
    <w:lvl>
      <w:numFmt w:val="bullet"/>
      <w:suff w:val="tab"/>
      <w:lvlText w:val="•"/>
      <w:rPr>
        <w:color w:val="3370ff"/>
      </w:rPr>
    </w:lvl>
  </w:abstractNum>
  <w:abstractNum w:abstractNumId="3110156">
    <w:lvl>
      <w:start w:val="1"/>
      <w:numFmt w:val="lowerLetter"/>
      <w:suff w:val="tab"/>
      <w:lvlText w:val="%1."/>
      <w:rPr>
        <w:color w:val="3370ff"/>
      </w:rPr>
    </w:lvl>
  </w:abstractNum>
  <w:abstractNum w:abstractNumId="3110157">
    <w:lvl>
      <w:start w:val="2"/>
      <w:numFmt w:val="lowerLetter"/>
      <w:suff w:val="tab"/>
      <w:lvlText w:val="%1."/>
      <w:rPr>
        <w:color w:val="3370ff"/>
      </w:rPr>
    </w:lvl>
  </w:abstractNum>
  <w:abstractNum w:abstractNumId="3110158">
    <w:lvl>
      <w:numFmt w:val="bullet"/>
      <w:suff w:val="tab"/>
      <w:lvlText w:val="•"/>
      <w:rPr>
        <w:color w:val="3370ff"/>
      </w:rPr>
    </w:lvl>
  </w:abstractNum>
  <w:abstractNum w:abstractNumId="3110159">
    <w:lvl>
      <w:numFmt w:val="bullet"/>
      <w:suff w:val="tab"/>
      <w:lvlText w:val="•"/>
      <w:rPr>
        <w:color w:val="3370ff"/>
      </w:rPr>
    </w:lvl>
  </w:abstractNum>
  <w:abstractNum w:abstractNumId="3110160">
    <w:lvl>
      <w:numFmt w:val="bullet"/>
      <w:suff w:val="tab"/>
      <w:lvlText w:val="•"/>
      <w:rPr>
        <w:color w:val="3370ff"/>
      </w:rPr>
    </w:lvl>
  </w:abstractNum>
  <w:abstractNum w:abstractNumId="3110161">
    <w:lvl>
      <w:numFmt w:val="bullet"/>
      <w:suff w:val="tab"/>
      <w:lvlText w:val="￮"/>
      <w:rPr>
        <w:color w:val="3370ff"/>
      </w:rPr>
    </w:lvl>
  </w:abstractNum>
  <w:abstractNum w:abstractNumId="3110162">
    <w:lvl>
      <w:numFmt w:val="bullet"/>
      <w:suff w:val="tab"/>
      <w:lvlText w:val="￮"/>
      <w:rPr>
        <w:color w:val="3370ff"/>
      </w:rPr>
    </w:lvl>
  </w:abstractNum>
  <w:abstractNum w:abstractNumId="3110163">
    <w:lvl>
      <w:numFmt w:val="bullet"/>
      <w:suff w:val="tab"/>
      <w:lvlText w:val="￮"/>
      <w:rPr>
        <w:color w:val="3370ff"/>
      </w:rPr>
    </w:lvl>
  </w:abstractNum>
  <w:abstractNum w:abstractNumId="3110164">
    <w:lvl>
      <w:start w:val="1"/>
      <w:numFmt w:val="decimal"/>
      <w:suff w:val="tab"/>
      <w:lvlText w:val="%1."/>
      <w:rPr>
        <w:color w:val="3370ff"/>
      </w:rPr>
    </w:lvl>
  </w:abstractNum>
  <w:abstractNum w:abstractNumId="3110165">
    <w:lvl>
      <w:start w:val="2"/>
      <w:numFmt w:val="decimal"/>
      <w:suff w:val="tab"/>
      <w:lvlText w:val="%1."/>
      <w:rPr>
        <w:color w:val="3370ff"/>
      </w:rPr>
    </w:lvl>
  </w:abstractNum>
  <w:abstractNum w:abstractNumId="3110166">
    <w:lvl>
      <w:start w:val="3"/>
      <w:numFmt w:val="decimal"/>
      <w:suff w:val="tab"/>
      <w:lvlText w:val="%1."/>
      <w:rPr>
        <w:color w:val="3370ff"/>
      </w:rPr>
    </w:lvl>
  </w:abstractNum>
  <w:abstractNum w:abstractNumId="3110167">
    <w:lvl>
      <w:start w:val="4"/>
      <w:numFmt w:val="decimal"/>
      <w:suff w:val="tab"/>
      <w:lvlText w:val="%1."/>
      <w:rPr>
        <w:color w:val="3370ff"/>
      </w:rPr>
    </w:lvl>
  </w:abstractNum>
  <w:abstractNum w:abstractNumId="3110168">
    <w:lvl>
      <w:start w:val="1"/>
      <w:numFmt w:val="decimal"/>
      <w:suff w:val="tab"/>
      <w:lvlText w:val="%1."/>
      <w:rPr>
        <w:color w:val="3370ff"/>
      </w:rPr>
    </w:lvl>
  </w:abstractNum>
  <w:abstractNum w:abstractNumId="3110169">
    <w:lvl>
      <w:start w:val="2"/>
      <w:numFmt w:val="decimal"/>
      <w:suff w:val="tab"/>
      <w:lvlText w:val="%1."/>
      <w:rPr>
        <w:color w:val="3370ff"/>
      </w:rPr>
    </w:lvl>
  </w:abstractNum>
  <w:abstractNum w:abstractNumId="3110170">
    <w:lvl>
      <w:start w:val="3"/>
      <w:numFmt w:val="decimal"/>
      <w:suff w:val="tab"/>
      <w:lvlText w:val="%1."/>
      <w:rPr>
        <w:color w:val="3370ff"/>
      </w:rPr>
    </w:lvl>
  </w:abstractNum>
  <w:abstractNum w:abstractNumId="3110171">
    <w:lvl>
      <w:start w:val="1"/>
      <w:numFmt w:val="decimal"/>
      <w:suff w:val="tab"/>
      <w:lvlText w:val="%1."/>
      <w:rPr>
        <w:color w:val="3370ff"/>
      </w:rPr>
    </w:lvl>
  </w:abstractNum>
  <w:abstractNum w:abstractNumId="3110172">
    <w:lvl>
      <w:start w:val="2"/>
      <w:numFmt w:val="decimal"/>
      <w:suff w:val="tab"/>
      <w:lvlText w:val="%1."/>
      <w:rPr>
        <w:color w:val="3370ff"/>
      </w:rPr>
    </w:lvl>
  </w:abstractNum>
  <w:abstractNum w:abstractNumId="3110173">
    <w:lvl>
      <w:start w:val="3"/>
      <w:numFmt w:val="decimal"/>
      <w:suff w:val="tab"/>
      <w:lvlText w:val="%1."/>
      <w:rPr>
        <w:color w:val="3370ff"/>
      </w:rPr>
    </w:lvl>
  </w:abstractNum>
  <w:abstractNum w:abstractNumId="3110174">
    <w:lvl>
      <w:numFmt w:val="bullet"/>
      <w:suff w:val="tab"/>
      <w:lvlText w:val="•"/>
      <w:rPr>
        <w:color w:val="3370ff"/>
      </w:rPr>
    </w:lvl>
  </w:abstractNum>
  <w:abstractNum w:abstractNumId="3110175">
    <w:lvl>
      <w:numFmt w:val="bullet"/>
      <w:suff w:val="tab"/>
      <w:lvlText w:val="•"/>
      <w:rPr>
        <w:color w:val="3370ff"/>
      </w:rPr>
    </w:lvl>
  </w:abstractNum>
  <w:abstractNum w:abstractNumId="3110176">
    <w:lvl>
      <w:numFmt w:val="bullet"/>
      <w:suff w:val="tab"/>
      <w:lvlText w:val="•"/>
      <w:rPr>
        <w:color w:val="3370ff"/>
      </w:rPr>
    </w:lvl>
  </w:abstractNum>
  <w:abstractNum w:abstractNumId="3110177">
    <w:lvl>
      <w:numFmt w:val="bullet"/>
      <w:suff w:val="tab"/>
      <w:lvlText w:val="•"/>
      <w:rPr>
        <w:color w:val="3370ff"/>
      </w:rPr>
    </w:lvl>
  </w:abstractNum>
  <w:abstractNum w:abstractNumId="3110178">
    <w:lvl>
      <w:numFmt w:val="bullet"/>
      <w:suff w:val="tab"/>
      <w:lvlText w:val="•"/>
      <w:rPr>
        <w:color w:val="3370ff"/>
      </w:rPr>
    </w:lvl>
  </w:abstractNum>
  <w:abstractNum w:abstractNumId="3110179">
    <w:lvl>
      <w:start w:val="1"/>
      <w:numFmt w:val="lowerLetter"/>
      <w:suff w:val="tab"/>
      <w:lvlText w:val="%1."/>
      <w:rPr>
        <w:color w:val="3370ff"/>
      </w:rPr>
    </w:lvl>
  </w:abstractNum>
  <w:abstractNum w:abstractNumId="3110180">
    <w:lvl>
      <w:start w:val="2"/>
      <w:numFmt w:val="lowerLetter"/>
      <w:suff w:val="tab"/>
      <w:lvlText w:val="%1."/>
      <w:rPr>
        <w:color w:val="3370ff"/>
      </w:rPr>
    </w:lvl>
  </w:abstractNum>
  <w:abstractNum w:abstractNumId="3110181">
    <w:lvl>
      <w:start w:val="3"/>
      <w:numFmt w:val="lowerLetter"/>
      <w:suff w:val="tab"/>
      <w:lvlText w:val="%1."/>
      <w:rPr>
        <w:color w:val="3370ff"/>
      </w:rPr>
    </w:lvl>
  </w:abstractNum>
  <w:abstractNum w:abstractNumId="3110182">
    <w:lvl>
      <w:numFmt w:val="bullet"/>
      <w:suff w:val="tab"/>
      <w:lvlText w:val="•"/>
      <w:rPr>
        <w:color w:val="3370ff"/>
      </w:rPr>
    </w:lvl>
  </w:abstractNum>
  <w:abstractNum w:abstractNumId="3110183">
    <w:lvl>
      <w:numFmt w:val="bullet"/>
      <w:suff w:val="tab"/>
      <w:lvlText w:val="•"/>
      <w:rPr>
        <w:color w:val="3370ff"/>
      </w:rPr>
    </w:lvl>
  </w:abstractNum>
  <w:abstractNum w:abstractNumId="3110184">
    <w:lvl>
      <w:start w:val="1"/>
      <w:numFmt w:val="lowerLetter"/>
      <w:suff w:val="tab"/>
      <w:lvlText w:val="%1."/>
      <w:rPr>
        <w:color w:val="3370ff"/>
      </w:rPr>
    </w:lvl>
  </w:abstractNum>
  <w:abstractNum w:abstractNumId="3110185">
    <w:lvl>
      <w:start w:val="2"/>
      <w:numFmt w:val="lowerLetter"/>
      <w:suff w:val="tab"/>
      <w:lvlText w:val="%1."/>
      <w:rPr>
        <w:color w:val="3370ff"/>
      </w:rPr>
    </w:lvl>
  </w:abstractNum>
  <w:abstractNum w:abstractNumId="3110186">
    <w:lvl>
      <w:start w:val="3"/>
      <w:numFmt w:val="lowerLetter"/>
      <w:suff w:val="tab"/>
      <w:lvlText w:val="%1."/>
      <w:rPr>
        <w:color w:val="3370ff"/>
      </w:rPr>
    </w:lvl>
  </w:abstractNum>
  <w:abstractNum w:abstractNumId="3110187">
    <w:lvl>
      <w:numFmt w:val="bullet"/>
      <w:suff w:val="tab"/>
      <w:lvlText w:val="•"/>
      <w:rPr>
        <w:color w:val="3370ff"/>
      </w:rPr>
    </w:lvl>
  </w:abstractNum>
  <w:abstractNum w:abstractNumId="3110188">
    <w:lvl>
      <w:numFmt w:val="bullet"/>
      <w:suff w:val="tab"/>
      <w:lvlText w:val="•"/>
      <w:rPr>
        <w:color w:val="3370ff"/>
      </w:rPr>
    </w:lvl>
  </w:abstractNum>
  <w:abstractNum w:abstractNumId="3110189">
    <w:lvl>
      <w:start w:val="1"/>
      <w:numFmt w:val="lowerLetter"/>
      <w:suff w:val="tab"/>
      <w:lvlText w:val="%1."/>
      <w:rPr>
        <w:color w:val="3370ff"/>
      </w:rPr>
    </w:lvl>
  </w:abstractNum>
  <w:abstractNum w:abstractNumId="3110190">
    <w:lvl>
      <w:start w:val="2"/>
      <w:numFmt w:val="lowerLetter"/>
      <w:suff w:val="tab"/>
      <w:lvlText w:val="%1."/>
      <w:rPr>
        <w:color w:val="3370ff"/>
      </w:rPr>
    </w:lvl>
  </w:abstractNum>
  <w:abstractNum w:abstractNumId="3110191">
    <w:lvl>
      <w:start w:val="3"/>
      <w:numFmt w:val="lowerLetter"/>
      <w:suff w:val="tab"/>
      <w:lvlText w:val="%1."/>
      <w:rPr>
        <w:color w:val="3370ff"/>
      </w:rPr>
    </w:lvl>
  </w:abstractNum>
  <w:abstractNum w:abstractNumId="3110192">
    <w:lvl>
      <w:numFmt w:val="bullet"/>
      <w:suff w:val="tab"/>
      <w:lvlText w:val="•"/>
      <w:rPr>
        <w:color w:val="3370ff"/>
      </w:rPr>
    </w:lvl>
  </w:abstractNum>
  <w:abstractNum w:abstractNumId="3110193">
    <w:lvl>
      <w:start w:val="1"/>
      <w:numFmt w:val="decimal"/>
      <w:suff w:val="tab"/>
      <w:lvlText w:val="%1."/>
      <w:rPr>
        <w:color w:val="3370ff"/>
      </w:rPr>
    </w:lvl>
  </w:abstractNum>
  <w:abstractNum w:abstractNumId="3110194">
    <w:lvl>
      <w:start w:val="2"/>
      <w:numFmt w:val="decimal"/>
      <w:suff w:val="tab"/>
      <w:lvlText w:val="%1."/>
      <w:rPr>
        <w:color w:val="3370ff"/>
      </w:rPr>
    </w:lvl>
  </w:abstractNum>
  <w:abstractNum w:abstractNumId="3110195">
    <w:lvl>
      <w:start w:val="3"/>
      <w:numFmt w:val="decimal"/>
      <w:suff w:val="tab"/>
      <w:lvlText w:val="%1."/>
      <w:rPr>
        <w:color w:val="3370ff"/>
      </w:rPr>
    </w:lvl>
  </w:abstractNum>
  <w:abstractNum w:abstractNumId="3110196">
    <w:lvl>
      <w:start w:val="4"/>
      <w:numFmt w:val="decimal"/>
      <w:suff w:val="tab"/>
      <w:lvlText w:val="%1."/>
      <w:rPr>
        <w:color w:val="3370ff"/>
      </w:rPr>
    </w:lvl>
  </w:abstractNum>
  <w:abstractNum w:abstractNumId="3110197">
    <w:lvl>
      <w:start w:val="5"/>
      <w:numFmt w:val="decimal"/>
      <w:suff w:val="tab"/>
      <w:lvlText w:val="%1."/>
      <w:rPr>
        <w:color w:val="3370ff"/>
      </w:rPr>
    </w:lvl>
  </w:abstractNum>
  <w:num w:numId="1">
    <w:abstractNumId w:val="3110142"/>
  </w:num>
  <w:num w:numId="2">
    <w:abstractNumId w:val="3110143"/>
  </w:num>
  <w:num w:numId="3">
    <w:abstractNumId w:val="3110144"/>
  </w:num>
  <w:num w:numId="4">
    <w:abstractNumId w:val="3110145"/>
  </w:num>
  <w:num w:numId="5">
    <w:abstractNumId w:val="3110146"/>
  </w:num>
  <w:num w:numId="6">
    <w:abstractNumId w:val="3110147"/>
  </w:num>
  <w:num w:numId="7">
    <w:abstractNumId w:val="3110148"/>
  </w:num>
  <w:num w:numId="8">
    <w:abstractNumId w:val="3110149"/>
  </w:num>
  <w:num w:numId="9">
    <w:abstractNumId w:val="3110150"/>
  </w:num>
  <w:num w:numId="10">
    <w:abstractNumId w:val="3110151"/>
  </w:num>
  <w:num w:numId="11">
    <w:abstractNumId w:val="3110152"/>
  </w:num>
  <w:num w:numId="12">
    <w:abstractNumId w:val="3110153"/>
  </w:num>
  <w:num w:numId="13">
    <w:abstractNumId w:val="3110154"/>
  </w:num>
  <w:num w:numId="14">
    <w:abstractNumId w:val="3110155"/>
  </w:num>
  <w:num w:numId="15">
    <w:abstractNumId w:val="3110156"/>
  </w:num>
  <w:num w:numId="16">
    <w:abstractNumId w:val="3110157"/>
  </w:num>
  <w:num w:numId="17">
    <w:abstractNumId w:val="3110158"/>
  </w:num>
  <w:num w:numId="18">
    <w:abstractNumId w:val="3110159"/>
  </w:num>
  <w:num w:numId="19">
    <w:abstractNumId w:val="3110160"/>
  </w:num>
  <w:num w:numId="20">
    <w:abstractNumId w:val="3110161"/>
  </w:num>
  <w:num w:numId="21">
    <w:abstractNumId w:val="3110162"/>
  </w:num>
  <w:num w:numId="22">
    <w:abstractNumId w:val="3110163"/>
  </w:num>
  <w:num w:numId="23">
    <w:abstractNumId w:val="3110164"/>
  </w:num>
  <w:num w:numId="24">
    <w:abstractNumId w:val="3110165"/>
  </w:num>
  <w:num w:numId="25">
    <w:abstractNumId w:val="3110166"/>
  </w:num>
  <w:num w:numId="26">
    <w:abstractNumId w:val="3110167"/>
  </w:num>
  <w:num w:numId="27">
    <w:abstractNumId w:val="3110168"/>
  </w:num>
  <w:num w:numId="28">
    <w:abstractNumId w:val="3110169"/>
  </w:num>
  <w:num w:numId="29">
    <w:abstractNumId w:val="3110170"/>
  </w:num>
  <w:num w:numId="30">
    <w:abstractNumId w:val="3110171"/>
  </w:num>
  <w:num w:numId="31">
    <w:abstractNumId w:val="3110172"/>
  </w:num>
  <w:num w:numId="32">
    <w:abstractNumId w:val="3110173"/>
  </w:num>
  <w:num w:numId="33">
    <w:abstractNumId w:val="3110174"/>
  </w:num>
  <w:num w:numId="34">
    <w:abstractNumId w:val="3110175"/>
  </w:num>
  <w:num w:numId="35">
    <w:abstractNumId w:val="3110176"/>
  </w:num>
  <w:num w:numId="36">
    <w:abstractNumId w:val="3110177"/>
  </w:num>
  <w:num w:numId="37">
    <w:abstractNumId w:val="3110178"/>
  </w:num>
  <w:num w:numId="38">
    <w:abstractNumId w:val="3110179"/>
  </w:num>
  <w:num w:numId="39">
    <w:abstractNumId w:val="3110180"/>
  </w:num>
  <w:num w:numId="40">
    <w:abstractNumId w:val="3110181"/>
  </w:num>
  <w:num w:numId="41">
    <w:abstractNumId w:val="3110182"/>
  </w:num>
  <w:num w:numId="42">
    <w:abstractNumId w:val="3110183"/>
  </w:num>
  <w:num w:numId="43">
    <w:abstractNumId w:val="3110184"/>
  </w:num>
  <w:num w:numId="44">
    <w:abstractNumId w:val="3110185"/>
  </w:num>
  <w:num w:numId="45">
    <w:abstractNumId w:val="3110186"/>
  </w:num>
  <w:num w:numId="46">
    <w:abstractNumId w:val="3110187"/>
  </w:num>
  <w:num w:numId="47">
    <w:abstractNumId w:val="3110188"/>
  </w:num>
  <w:num w:numId="48">
    <w:abstractNumId w:val="3110189"/>
  </w:num>
  <w:num w:numId="49">
    <w:abstractNumId w:val="3110190"/>
  </w:num>
  <w:num w:numId="50">
    <w:abstractNumId w:val="3110191"/>
  </w:num>
  <w:num w:numId="51">
    <w:abstractNumId w:val="3110192"/>
  </w:num>
  <w:num w:numId="52">
    <w:abstractNumId w:val="3110193"/>
  </w:num>
  <w:num w:numId="53">
    <w:abstractNumId w:val="3110194"/>
  </w:num>
  <w:num w:numId="54">
    <w:abstractNumId w:val="3110195"/>
  </w:num>
  <w:num w:numId="55">
    <w:abstractNumId w:val="3110196"/>
  </w:num>
  <w:num w:numId="56">
    <w:abstractNumId w:val="3110197"/>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2026-02-02T15:20:47Z</dcterms:created>
  <dc:creator>Apache POI</dc:creator>
</cp:coreProperties>
</file>