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NAC宪法层（L2）技术规范——全网最高规则定义、执行与治理的唯一来源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：NAC宪法法院 · 立法技术委员会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：CBPP白皮书、CSNP V2.0白皮书、NVM 2.0规范、CNNL语言规范、宪法静态验证工具链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NAC公链的设计哲学是：</w:t>
      </w:r>
      <w:r>
        <w:rPr>
          <w:rFonts w:eastAsia="等线" w:ascii="Arial" w:cs="Arial" w:hAnsi="Arial"/>
          <w:b w:val="true"/>
          <w:sz w:val="22"/>
        </w:rPr>
        <w:t>宪法是唯一的最高规则，所有组件必须无条件服从，任何偏离必须在编译期或运行时被检测并阻止</w:t>
      </w:r>
      <w:r>
        <w:rPr>
          <w:rFonts w:eastAsia="等线" w:ascii="Arial" w:cs="Arial" w:hAnsi="Arial"/>
          <w:sz w:val="22"/>
        </w:rPr>
        <w:t>。为实现这一理念，我们将全网规则制定、执行、监督的权力集中在一个独立的层级——</w:t>
      </w:r>
      <w:r>
        <w:rPr>
          <w:rFonts w:eastAsia="等线" w:ascii="Arial" w:cs="Arial" w:hAnsi="Arial"/>
          <w:b w:val="true"/>
          <w:sz w:val="22"/>
        </w:rPr>
        <w:t>宪法层（L2）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宪法层是NAC技术栈的</w:t>
      </w:r>
      <w:r>
        <w:rPr>
          <w:rFonts w:eastAsia="等线" w:ascii="Arial" w:cs="Arial" w:hAnsi="Arial"/>
          <w:b w:val="true"/>
          <w:sz w:val="22"/>
        </w:rPr>
        <w:t>最高层</w:t>
      </w:r>
      <w:r>
        <w:rPr>
          <w:rFonts w:eastAsia="等线" w:ascii="Arial" w:cs="Arial" w:hAnsi="Arial"/>
          <w:sz w:val="22"/>
        </w:rPr>
        <w:t>，位于L0基础层和L1协议层之上，承担以下核心职能：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</w:t>
      </w:r>
      <w:r>
        <w:rPr>
          <w:rFonts w:eastAsia="等线" w:ascii="Arial" w:cs="Arial" w:hAnsi="Arial"/>
          <w:sz w:val="22"/>
        </w:rPr>
        <w:t>：提供宪法语言（CNNL），将自然语言法律条款编译为机器可执行的规则。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司法</w:t>
      </w:r>
      <w:r>
        <w:rPr>
          <w:rFonts w:eastAsia="等线" w:ascii="Arial" w:cs="Arial" w:hAnsi="Arial"/>
          <w:sz w:val="22"/>
        </w:rPr>
        <w:t>：设立宪法法院，裁决争议，解释宪法，紧急干预。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执法</w:t>
      </w:r>
      <w:r>
        <w:rPr>
          <w:rFonts w:eastAsia="等线" w:ascii="Arial" w:cs="Arial" w:hAnsi="Arial"/>
          <w:sz w:val="22"/>
        </w:rPr>
        <w:t>：通过宪法执行引擎（CEE）签发宪法收据（CR），确保每笔交易合规。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审计</w:t>
      </w:r>
      <w:r>
        <w:rPr>
          <w:rFonts w:eastAsia="等线" w:ascii="Arial" w:cs="Arial" w:hAnsi="Arial"/>
          <w:sz w:val="22"/>
        </w:rPr>
        <w:t>：通过宪法静态验证工具链和宪政免疫系统，保证代码与宪法的一致性。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本规范明确定义宪法层的架构、组件、接口、治理流程及与其它层的交互关系，为NAC公链的法治化运行提供技术基石。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1. 宪法层设计原则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规则中心化，执行去中心化</w:t>
      </w:r>
      <w:bookmarkEnd w:id="2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立法权中心化</w:t>
      </w:r>
      <w:r>
        <w:rPr>
          <w:rFonts w:eastAsia="等线" w:ascii="Arial" w:cs="Arial" w:hAnsi="Arial"/>
          <w:sz w:val="22"/>
        </w:rPr>
        <w:t>：宪法条款由社区民主程序制定，一旦通过即成为不可违逆的链上逻辑。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执法权去中心化</w:t>
      </w:r>
      <w:r>
        <w:rPr>
          <w:rFonts w:eastAsia="等线" w:ascii="Arial" w:cs="Arial" w:hAnsi="Arial"/>
          <w:sz w:val="22"/>
        </w:rPr>
        <w:t>：任何遵守宪法的节点均可参与交易验证、区块生产、网络传播。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声明式立法，可执行法律</w:t>
      </w:r>
      <w:bookmarkEnd w:id="3"/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宪法条款以声明式语言（CNNL）书写，直接表达法律意图，而非过程式代码。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每条条款编译后可被宪法执行引擎（CEE）直接用于交易合规性验证。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1.3 不可变性与可进化性</w:t>
      </w:r>
      <w:bookmarkEnd w:id="4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宪法条款一经生效，在其生命周期内不可修改（永恒条款永久不变）。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宪法修正需经过多层级公投，确保改动的严肃性和共识性。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1.4 可验证性与透明性</w:t>
      </w:r>
      <w:bookmarkEnd w:id="5"/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宪法状态哈希全网共识，任何节点可验证当前生效的宪法版本。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宪法执行过程（收据签发）可被第三方独立验证。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1.5 编译期强制 + 运行时免疫</w:t>
      </w:r>
      <w:bookmarkEnd w:id="6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所有代码在编译时必须通过宪法静态验证（cargo-constitution）。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运行时由宪政免疫系统持续监控宪法一致性，及时发现偏离。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2. 宪法层架构总览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宪法层（L2）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├─────────────┬─────────────┬─────────────┬─────────────────┤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CNNL编译器 │  宪法法院   │  宪法收据   │  宪法执行引擎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(立法)     │  (司法)     │  (证据)     │  (执法)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├─────────────┴─────────────┴─────────────┴─────────────────┤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宪法状态机（当前宪法版本）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constitutional_state.json + .rs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↑ 宪法哈希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↓ 宪法收据验证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协议层（L1）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┌──────────┐ ┌──────────┐ ┌──────────┐ ┌──────────┐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│ CBPP共识 │ │ CSNP网络 │ │ NVM虚拟机 │ │ ACC资产  │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└──────────┘ └──────────┘ └──────────┘ └──────────┘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↑ 密码学原语 + 网络传输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基础层（L0）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32字节结构化地址  • 48字节SHA3-384哈希  • nac-primitives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nac_serde统一编码  • P2P网络  • 数据存储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2.1 宪法层核心组件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2490"/>
        <w:gridCol w:w="2070"/>
        <w:gridCol w:w="207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组件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功能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输出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将宪法条款编译为机器可读状态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.cnnl</w:t>
            </w:r>
            <w:r>
              <w:rPr>
                <w:rFonts w:eastAsia="等线" w:ascii="Arial" w:cs="Arial" w:hAnsi="Arial"/>
                <w:sz w:val="22"/>
              </w:rPr>
              <w:t>源文件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constitutional_state.*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宪法状态机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存储当前生效宪法版本及所有参数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宪法修正案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宪法状态文件 + 哈希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宪法执行引擎（CEE）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根据宪法验证交易合法性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 + 上下文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宪法收据（CR）或拒绝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宪法收据（CR）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交易合规证明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CEE签发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附带于交易上链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宪法法院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宪法解释、争议裁决、紧急干预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投诉/提案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裁决令、紧急令状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宪法静态验证工具链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编译期检查代码与宪法一致性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Rust/Charter代码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Lint报告、编译阻断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宪政免疫系统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运行时监控宪法偏离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节点实时状态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警报、熔断、诊断报告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2.2 宪法层的核心输出：宪法状态文件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宪法状态文件是连接立法与执行的桥梁，由CNNL编译器生成，包含：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参数常量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XTZH_GOLD_COVERAGE_MIN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谓词函数</w:t>
      </w:r>
      <w:r>
        <w:rPr>
          <w:rFonts w:eastAsia="等线" w:ascii="Arial" w:cs="Arial" w:hAnsi="Arial"/>
          <w:sz w:val="22"/>
        </w:rPr>
        <w:t xml:space="preserve">：如 </w:t>
      </w:r>
      <w:r>
        <w:rPr>
          <w:rFonts w:eastAsia="Consolas" w:ascii="Consolas" w:cs="Consolas" w:hAnsi="Consolas"/>
          <w:sz w:val="22"/>
          <w:shd w:fill="EFF0F1"/>
        </w:rPr>
        <w:t>XTZH_GOLD_COVERAGE(coverage) -&gt; bool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类型布局</w:t>
      </w:r>
      <w:r>
        <w:rPr>
          <w:rFonts w:eastAsia="等线" w:ascii="Arial" w:cs="Arial" w:hAnsi="Arial"/>
          <w:sz w:val="22"/>
        </w:rPr>
        <w:t>：Address的字段偏移、Hash的算法定义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编码标准</w:t>
      </w:r>
      <w:r>
        <w:rPr>
          <w:rFonts w:eastAsia="等线" w:ascii="Arial" w:cs="Arial" w:hAnsi="Arial"/>
          <w:sz w:val="22"/>
        </w:rPr>
        <w:t>：默认编码格式、HRP前缀、Base58字母表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：当前宪法版本的唯一标识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宪法状态文件以两种格式存在：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constitutional_state.json</w:t>
      </w:r>
      <w:r>
        <w:rPr>
          <w:rFonts w:eastAsia="等线" w:ascii="Arial" w:cs="Arial" w:hAnsi="Arial"/>
          <w:sz w:val="22"/>
        </w:rPr>
        <w:t>：供工具链（如nac-toolbox）和跨语言服务使用。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constitutional_state.rs</w:t>
      </w:r>
      <w:r>
        <w:rPr>
          <w:rFonts w:eastAsia="等线" w:ascii="Arial" w:cs="Arial" w:hAnsi="Arial"/>
          <w:sz w:val="22"/>
        </w:rPr>
        <w:t>：供Rust代码直接包含，作为编译期常量。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宪法哈希</w:t>
      </w:r>
      <w:r>
        <w:rPr>
          <w:rFonts w:eastAsia="等线" w:ascii="Arial" w:cs="Arial" w:hAnsi="Arial"/>
          <w:sz w:val="22"/>
        </w:rPr>
        <w:t>被嵌入创世区块，并在每个区块头中同步，全网节点可验证当前生效的宪法版本。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3. 核心组件详解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3.1 CNNL宪法语言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CNNL（Constitutional Neural Network Language）是专为NAC设计的声明式立法语言，其设计哲学是“法律即代码”。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3.1.1 语言特性</w:t>
      </w:r>
      <w:bookmarkEnd w:id="12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声明式</w:t>
      </w:r>
      <w:r>
        <w:rPr>
          <w:rFonts w:eastAsia="等线" w:ascii="Arial" w:cs="Arial" w:hAnsi="Arial"/>
          <w:sz w:val="22"/>
        </w:rPr>
        <w:t>：表达“什么是合规”，而非“如何实现”。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时态逻辑</w:t>
      </w:r>
      <w:r>
        <w:rPr>
          <w:rFonts w:eastAsia="等线" w:ascii="Arial" w:cs="Arial" w:hAnsi="Arial"/>
          <w:sz w:val="22"/>
        </w:rPr>
        <w:t xml:space="preserve">：支持 </w:t>
      </w:r>
      <w:r>
        <w:rPr>
          <w:rFonts w:eastAsia="Consolas" w:ascii="Consolas" w:cs="Consolas" w:hAnsi="Consolas"/>
          <w:sz w:val="22"/>
          <w:shd w:fill="EFF0F1"/>
        </w:rPr>
        <w:t>always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eventually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until</w:t>
      </w:r>
      <w:r>
        <w:rPr>
          <w:rFonts w:eastAsia="等线" w:ascii="Arial" w:cs="Arial" w:hAnsi="Arial"/>
          <w:sz w:val="22"/>
        </w:rPr>
        <w:t xml:space="preserve"> 等时态运算符。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义务与权利</w:t>
      </w:r>
      <w:r>
        <w:rPr>
          <w:rFonts w:eastAsia="等线" w:ascii="Arial" w:cs="Arial" w:hAnsi="Arial"/>
          <w:sz w:val="22"/>
        </w:rPr>
        <w:t xml:space="preserve">：一等公民 </w:t>
      </w:r>
      <w:r>
        <w:rPr>
          <w:rFonts w:eastAsia="Consolas" w:ascii="Consolas" w:cs="Consolas" w:hAnsi="Consolas"/>
          <w:sz w:val="22"/>
          <w:shd w:fill="EFF0F1"/>
        </w:rPr>
        <w:t>obligation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right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power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形式化验证</w:t>
      </w:r>
      <w:r>
        <w:rPr>
          <w:rFonts w:eastAsia="等线" w:ascii="Arial" w:cs="Arial" w:hAnsi="Arial"/>
          <w:sz w:val="22"/>
        </w:rPr>
        <w:t>：每条条款可编译为SMT-LIB公式，通过Z3求解器验证一致性。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3.1.2 示例条款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```cnnl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constitution XTZH_GOLD_COVERAGE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level eternal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enacted 2026-02-01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obligation maintain_coverage: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for_each CBP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at all_times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requires: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target = XTZH.circulation() * XTZH.price() * XTZH.w_au() / 10000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let holding = GOLD_CONTRACT.total_value()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holding &gt;= target * 125 / 100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violation: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if duration &gt;= 15 minutes: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trigger emergency_meltdown_level2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3.1.3 编译器约束</w:t>
      </w:r>
      <w:bookmarkEnd w:id="14"/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禁止条款引用运行时投票结果。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所有常量值必须为编译期可知的表达式。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条款名在全网唯一，不可重复。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3.2 宪法状态机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宪法状态机是一个</w:t>
      </w:r>
      <w:r>
        <w:rPr>
          <w:rFonts w:eastAsia="等线" w:ascii="Arial" w:cs="Arial" w:hAnsi="Arial"/>
          <w:b w:val="true"/>
          <w:sz w:val="22"/>
        </w:rPr>
        <w:t>不可篡改的只读存储系统</w:t>
      </w:r>
      <w:r>
        <w:rPr>
          <w:rFonts w:eastAsia="等线" w:ascii="Arial" w:cs="Arial" w:hAnsi="Arial"/>
          <w:sz w:val="22"/>
        </w:rPr>
        <w:t>，存储当前生效的宪法版本及其所有参数。它由以下部分组成：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宪法版本号</w:t>
      </w:r>
      <w:r>
        <w:rPr>
          <w:rFonts w:eastAsia="等线" w:ascii="Arial" w:cs="Arial" w:hAnsi="Arial"/>
          <w:sz w:val="22"/>
        </w:rPr>
        <w:t xml:space="preserve">：语义化版本（如 </w:t>
      </w:r>
      <w:r>
        <w:rPr>
          <w:rFonts w:eastAsia="Consolas" w:ascii="Consolas" w:cs="Consolas" w:hAnsi="Consolas"/>
          <w:sz w:val="22"/>
          <w:shd w:fill="EFF0F1"/>
        </w:rPr>
        <w:t>1.2.3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宪法根哈希</w:t>
      </w:r>
      <w:r>
        <w:rPr>
          <w:rFonts w:eastAsia="等线" w:ascii="Arial" w:cs="Arial" w:hAnsi="Arial"/>
          <w:sz w:val="22"/>
        </w:rPr>
        <w:t>：所有条款的默克尔根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参数表</w:t>
      </w:r>
      <w:r>
        <w:rPr>
          <w:rFonts w:eastAsia="等线" w:ascii="Arial" w:cs="Arial" w:hAnsi="Arial"/>
          <w:sz w:val="22"/>
        </w:rPr>
        <w:t>：键值对，键为参数名，值为参数值（带类型）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谓词表</w:t>
      </w:r>
      <w:r>
        <w:rPr>
          <w:rFonts w:eastAsia="等线" w:ascii="Arial" w:cs="Arial" w:hAnsi="Arial"/>
          <w:sz w:val="22"/>
        </w:rPr>
        <w:t>：键为条款ID，值为编译后的谓词字节码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类型布局</w:t>
      </w:r>
      <w:r>
        <w:rPr>
          <w:rFonts w:eastAsia="等线" w:ascii="Arial" w:cs="Arial" w:hAnsi="Arial"/>
          <w:sz w:val="22"/>
        </w:rPr>
        <w:t>：核心类型的内存布局描述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宪法状态机的更新只能通过</w:t>
      </w:r>
      <w:r>
        <w:rPr>
          <w:rFonts w:eastAsia="等线" w:ascii="Arial" w:cs="Arial" w:hAnsi="Arial"/>
          <w:b w:val="true"/>
          <w:sz w:val="22"/>
        </w:rPr>
        <w:t>宪法修正案</w:t>
      </w:r>
      <w:r>
        <w:rPr>
          <w:rFonts w:eastAsia="等线" w:ascii="Arial" w:cs="Arial" w:hAnsi="Arial"/>
          <w:sz w:val="22"/>
        </w:rPr>
        <w:t>进行，修正案经全民公投通过后，由CNNL编译器重新生成状态文件，并触发全网节点同步。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3.3 宪法执行引擎（CEE）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CEE是链下或链上可信环境，负责根据当前宪法验证交易合法性，并签发宪法收据（CR）。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3.3.1 CEE节点</w:t>
      </w:r>
      <w:bookmarkEnd w:id="17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由宪法法院提名，XIC治理投票产生，至少7个独立节点。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每个CEE节点运行开源验证逻辑，硬件需满足TEE或HSM要求。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节点质押100万XIC，作恶可被罚没。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3.3.2 收据签发流程</w:t>
      </w:r>
      <w:bookmarkEnd w:id="18"/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交易发起者向CEE提交交易及辅助数据（如估值报告、KYC凭证）。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CEE加载当前宪法状态，执行所有相关条款谓词。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若全部通过，CEE生成宪法收据（CR），包含：</w:t>
        <w:br/>
        <w:t xml:space="preserve">        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交易哈希</w:t>
      </w:r>
    </w:p>
    <w:p>
      <w:pPr>
        <w:numPr>
          <w:numId w:val="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宪法哈希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验证结果哈希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时间戳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CEE签名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交易携带CR进入内存池，CBP节点验证CR有效后打包。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3.3.3 多实例共识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对于高价值交易，可要求多个CEE共同签名，收据中包含多重签名。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3.4 宪法收据（CR）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CR是交易合规的唯一凭证，数据结构如下：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```protobuf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message ConstitutionalReceipt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transaction_hash;      // 交易哈希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constitutional_hash;    // 当前宪法哈希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clause_mask;            // 已验证的条款位图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execution_result_hash; // 验证结果哈希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timestamp;              // 签发时间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validity_window;        // 有效期（区块数）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repeated bytes signatures;      // CEE签名列表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receipt_id;            // 收据唯一ID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CR必须随交易一起传播，节点在接收交易时首先验证CR的有效性（签名、宪法哈希、未过期）。没有CR的交易被视为非法，直接丢弃。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3.5 宪法法院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宪法法院是NAC的最高司法机构，由9名法官组成，任期7年。其职责包括：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宪法解释</w:t>
      </w:r>
      <w:r>
        <w:rPr>
          <w:rFonts w:eastAsia="等线" w:ascii="Arial" w:cs="Arial" w:hAnsi="Arial"/>
          <w:sz w:val="22"/>
        </w:rPr>
        <w:t>：对模糊条款出具司法解释，具有约束力。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争议裁决</w:t>
      </w:r>
      <w:r>
        <w:rPr>
          <w:rFonts w:eastAsia="等线" w:ascii="Arial" w:cs="Arial" w:hAnsi="Arial"/>
          <w:sz w:val="22"/>
        </w:rPr>
        <w:t>：处理节点间、用户与系统间的宪法争议。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紧急干预</w:t>
      </w:r>
      <w:r>
        <w:rPr>
          <w:rFonts w:eastAsia="等线" w:ascii="Arial" w:cs="Arial" w:hAnsi="Arial"/>
          <w:sz w:val="22"/>
        </w:rPr>
        <w:t>：在重大安全事件或宪法危机时，可发布紧急令状（如暂停出块、冻结资产）。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宪法修正审查</w:t>
      </w:r>
      <w:r>
        <w:rPr>
          <w:rFonts w:eastAsia="等线" w:ascii="Arial" w:cs="Arial" w:hAnsi="Arial"/>
          <w:sz w:val="22"/>
        </w:rPr>
        <w:t>：对修正案进行合宪性审查，防止违宪条款进入投票。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2" w:id="22"/>
      <w:r>
        <w:rPr>
          <w:rFonts w:eastAsia="等线" w:ascii="Arial" w:cs="Arial" w:hAnsi="Arial"/>
          <w:b w:val="true"/>
          <w:sz w:val="30"/>
        </w:rPr>
        <w:t>3.5.1 法官产生</w:t>
      </w:r>
      <w:bookmarkEnd w:id="22"/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提名期30天，任何XIC持有者可提名候选人，需缴纳10万XIC保证金。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审查期15天，现任法官可一票否决（需书面理由）。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投票期14天，二次方投票，得票前9名当选。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任期7年，交错换届，每年改选1-2席。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3" w:id="23"/>
      <w:r>
        <w:rPr>
          <w:rFonts w:eastAsia="等线" w:ascii="Arial" w:cs="Arial" w:hAnsi="Arial"/>
          <w:b w:val="true"/>
          <w:sz w:val="30"/>
        </w:rPr>
        <w:t>3.5.2 裁决流程</w:t>
      </w:r>
      <w:bookmarkEnd w:id="23"/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原告提交申诉书及证据（如UCA收据）。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法院系统自动验证证据有效性。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若涉及宪法解释，生成“解释令”并公示7天。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若涉及违宪行为，可发出“禁令”或“惩罚令”。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所有裁决链上存证，可通过NVM指令 </w:t>
      </w:r>
      <w:r>
        <w:rPr>
          <w:rFonts w:eastAsia="Consolas" w:ascii="Consolas" w:cs="Consolas" w:hAnsi="Consolas"/>
          <w:sz w:val="22"/>
          <w:shd w:fill="EFF0F1"/>
        </w:rPr>
        <w:t>CONST_GET_RULING</w:t>
      </w:r>
      <w:r>
        <w:rPr>
          <w:rFonts w:eastAsia="等线" w:ascii="Arial" w:cs="Arial" w:hAnsi="Arial"/>
          <w:sz w:val="22"/>
        </w:rPr>
        <w:t xml:space="preserve"> 查询。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3.6 宪法静态验证工具链</w:t>
      </w:r>
      <w:bookmarkEnd w:id="2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5" w:id="25"/>
      <w:r>
        <w:rPr>
          <w:rFonts w:eastAsia="等线" w:ascii="Arial" w:cs="Arial" w:hAnsi="Arial"/>
          <w:b w:val="true"/>
          <w:sz w:val="30"/>
        </w:rPr>
        <w:t>3.6.1 cargo-constitution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Rust编译器插件，提供数十个自定义Lint，在编译期检查代码与宪法的一致性。关键Lint包括：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constitutional_param_assignment</w:t>
      </w:r>
      <w:r>
        <w:rPr>
          <w:rFonts w:eastAsia="等线" w:ascii="Arial" w:cs="Arial" w:hAnsi="Arial"/>
          <w:sz w:val="22"/>
        </w:rPr>
        <w:t>：禁止将宪法常量赋值给可变变量。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type_raw_byte_array</w:t>
      </w:r>
      <w:r>
        <w:rPr>
          <w:rFonts w:eastAsia="等线" w:ascii="Arial" w:cs="Arial" w:hAnsi="Arial"/>
          <w:sz w:val="22"/>
        </w:rPr>
        <w:t xml:space="preserve">：禁止使用裸 </w:t>
      </w:r>
      <w:r>
        <w:rPr>
          <w:rFonts w:eastAsia="Consolas" w:ascii="Consolas" w:cs="Consolas" w:hAnsi="Consolas"/>
          <w:sz w:val="22"/>
          <w:shd w:fill="EFF0F1"/>
        </w:rPr>
        <w:t>[u8;32]</w:t>
      </w:r>
      <w:r>
        <w:rPr>
          <w:rFonts w:eastAsia="等线" w:ascii="Arial" w:cs="Arial" w:hAnsi="Arial"/>
          <w:sz w:val="22"/>
        </w:rPr>
        <w:t xml:space="preserve"> 代替 </w:t>
      </w:r>
      <w:r>
        <w:rPr>
          <w:rFonts w:eastAsia="Consolas" w:ascii="Consolas" w:cs="Consolas" w:hAnsi="Consolas"/>
          <w:sz w:val="22"/>
          <w:shd w:fill="EFF0F1"/>
        </w:rPr>
        <w:t>Address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direct_encoding_call</w:t>
      </w:r>
      <w:r>
        <w:rPr>
          <w:rFonts w:eastAsia="等线" w:ascii="Arial" w:cs="Arial" w:hAnsi="Arial"/>
          <w:sz w:val="22"/>
        </w:rPr>
        <w:t xml:space="preserve">：禁止直接调用第三方编码库，必须通过 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cbpp_block_production</w:t>
      </w:r>
      <w:r>
        <w:rPr>
          <w:rFonts w:eastAsia="等线" w:ascii="Arial" w:cs="Arial" w:hAnsi="Arial"/>
          <w:sz w:val="22"/>
        </w:rPr>
        <w:t xml:space="preserve">：检查出块代码是否使用宪法定义的 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6" w:id="26"/>
      <w:r>
        <w:rPr>
          <w:rFonts w:eastAsia="等线" w:ascii="Arial" w:cs="Arial" w:hAnsi="Arial"/>
          <w:b w:val="true"/>
          <w:sz w:val="30"/>
        </w:rPr>
        <w:t>3.6.2 Charter编译器增强</w:t>
      </w:r>
      <w:bookmarkEnd w:id="26"/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禁止合约中定义与宪法参数同名的可变变量。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强制合约编码操作使用</w:t>
      </w:r>
      <w:r>
        <w:rPr>
          <w:rFonts w:eastAsia="Consolas" w:ascii="Consolas" w:cs="Consolas" w:hAnsi="Consolas"/>
          <w:sz w:val="22"/>
          <w:shd w:fill="EFF0F1"/>
        </w:rPr>
        <w:t>std::encoding</w:t>
      </w:r>
      <w:r>
        <w:rPr>
          <w:rFonts w:eastAsia="等线" w:ascii="Arial" w:cs="Arial" w:hAnsi="Arial"/>
          <w:sz w:val="22"/>
        </w:rPr>
        <w:t xml:space="preserve"> 模块。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检查合约治理范围，禁止治理宪法级参数。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7" w:id="27"/>
      <w:r>
        <w:rPr>
          <w:rFonts w:eastAsia="等线" w:ascii="Arial" w:cs="Arial" w:hAnsi="Arial"/>
          <w:b w:val="true"/>
          <w:sz w:val="30"/>
        </w:rPr>
        <w:t>3.6.3 nac-toolbox 集成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 build</w:t>
      </w:r>
      <w:r>
        <w:rPr>
          <w:rFonts w:eastAsia="等线" w:ascii="Arial" w:cs="Arial" w:hAnsi="Arial"/>
          <w:sz w:val="22"/>
        </w:rPr>
        <w:t xml:space="preserve"> 自动运行宪法静态验证，</w:t>
      </w:r>
      <w:r>
        <w:rPr>
          <w:rFonts w:eastAsia="Consolas" w:ascii="Consolas" w:cs="Consolas" w:hAnsi="Consolas"/>
          <w:sz w:val="22"/>
          <w:shd w:fill="EFF0F1"/>
        </w:rPr>
        <w:t>nac check-constitution</w:t>
      </w:r>
      <w:r>
        <w:rPr>
          <w:rFonts w:eastAsia="等线" w:ascii="Arial" w:cs="Arial" w:hAnsi="Arial"/>
          <w:sz w:val="22"/>
        </w:rPr>
        <w:t xml:space="preserve"> 输出详细报告。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3.7 宪政免疫系统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免疫系统作为运行时守护进程，持续监控宪法一致性。核心功能：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静态排异</w:t>
      </w:r>
      <w:r>
        <w:rPr>
          <w:rFonts w:eastAsia="等线" w:ascii="Arial" w:cs="Arial" w:hAnsi="Arial"/>
          <w:sz w:val="22"/>
        </w:rPr>
        <w:t>：在链接阶段检查跨crate宪法依赖一致性。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动态监控</w:t>
      </w:r>
      <w:r>
        <w:rPr>
          <w:rFonts w:eastAsia="等线" w:ascii="Arial" w:cs="Arial" w:hAnsi="Arial"/>
          <w:sz w:val="22"/>
        </w:rPr>
        <w:t>：定期检查关键宪法参数（如覆盖率、出块间隔）是否偏离。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二次验证</w:t>
      </w:r>
      <w:r>
        <w:rPr>
          <w:rFonts w:eastAsia="等线" w:ascii="Arial" w:cs="Arial" w:hAnsi="Arial"/>
          <w:sz w:val="22"/>
        </w:rPr>
        <w:t>：对CEE签发的收据进行随机抽样，与本地宪法谓词比对。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健康报告</w:t>
      </w:r>
      <w:r>
        <w:rPr>
          <w:rFonts w:eastAsia="等线" w:ascii="Arial" w:cs="Arial" w:hAnsi="Arial"/>
          <w:sz w:val="22"/>
        </w:rPr>
        <w:t>：生成宪法一致性评分，供治理委员会审计。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9" w:id="29"/>
      <w:r>
        <w:rPr>
          <w:rFonts w:eastAsia="等线" w:ascii="Arial" w:cs="Arial" w:hAnsi="Arial"/>
          <w:b w:val="true"/>
          <w:sz w:val="36"/>
        </w:rPr>
        <w:t>4. 宪法层与其它层的交互</w:t>
      </w:r>
      <w:bookmarkEnd w:id="2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4.1 与基础层（L0）的交互</w:t>
      </w:r>
      <w:bookmarkEnd w:id="30"/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L0提供密码学原语（如哈希、签名）和网络传输，宪法层依赖这些基础设施。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L0的地址格式（32字节结构化地址）由宪法状态文件定义，任何修改需宪法修正。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L0的 </w:t>
      </w:r>
      <w:r>
        <w:rPr>
          <w:rFonts w:eastAsia="Consolas" w:ascii="Consolas" w:cs="Consolas" w:hAnsi="Consolas"/>
          <w:sz w:val="22"/>
          <w:shd w:fill="EFF0F1"/>
        </w:rPr>
        <w:t>nac_serde</w:t>
      </w:r>
      <w:r>
        <w:rPr>
          <w:rFonts w:eastAsia="等线" w:ascii="Arial" w:cs="Arial" w:hAnsi="Arial"/>
          <w:sz w:val="22"/>
        </w:rPr>
        <w:t xml:space="preserve"> 实现宪法规定的编码标准。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4.2 与协议层（L1）的交互</w:t>
      </w:r>
      <w:bookmarkEnd w:id="31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CBPP共识</w:t>
      </w:r>
      <w:r>
        <w:rPr>
          <w:rFonts w:eastAsia="等线" w:ascii="Arial" w:cs="Arial" w:hAnsi="Arial"/>
          <w:sz w:val="22"/>
        </w:rPr>
        <w:t>：区块生产参数（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>等）必须从宪法状态读取；分叉选择规则中的收据权重公式由宪法定义。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CSNP网络</w:t>
      </w:r>
      <w:r>
        <w:rPr>
          <w:rFonts w:eastAsia="等线" w:ascii="Arial" w:cs="Arial" w:hAnsi="Arial"/>
          <w:sz w:val="22"/>
        </w:rPr>
        <w:t>：传播策略矩阵、连接规则由宪法附录定义，节点启动时加载。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NVM虚拟机</w:t>
      </w:r>
      <w:r>
        <w:rPr>
          <w:rFonts w:eastAsia="等线" w:ascii="Arial" w:cs="Arial" w:hAnsi="Arial"/>
          <w:sz w:val="22"/>
        </w:rPr>
        <w:t>：指令集、Gas成本表由宪法状态固化，不可修改。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ACC资产协议</w:t>
      </w:r>
      <w:r>
        <w:rPr>
          <w:rFonts w:eastAsia="等线" w:ascii="Arial" w:cs="Arial" w:hAnsi="Arial"/>
          <w:sz w:val="22"/>
        </w:rPr>
        <w:t>：GNACS编码规则、资产合规要求由宪法条款约束。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4.3 宪法层内部的交互</w:t>
      </w:r>
      <w:bookmarkEnd w:id="32"/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CNNL编译器输出宪法状态文件，供CEE、宪法法院、免疫系统使用。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宪法法院可对CEE的行为进行司法审查，CEE必须服从法院裁决。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免疫系统检测到的违宪事件自动报告给宪法法院。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5. 宪法治理流程</w:t>
      </w:r>
      <w:bookmarkEnd w:id="3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5.1 宪法修正案全流程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提案 → 宪法法院审查 → 社区讨论 → 立法议会投票 → 全民公投 → 冷静期 → 激活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</w:t>
      </w:r>
      <w:r>
        <w:rPr>
          <w:rFonts w:eastAsia="等线" w:ascii="Arial" w:cs="Arial" w:hAnsi="Arial"/>
          <w:sz w:val="22"/>
        </w:rPr>
        <w:t xml:space="preserve">：任何人质押一定XIC（永恒条款500万，战略级200万，战术级50万），提交 </w:t>
      </w:r>
      <w:r>
        <w:rPr>
          <w:rFonts w:eastAsia="Consolas" w:ascii="Consolas" w:cs="Consolas" w:hAnsi="Consolas"/>
          <w:sz w:val="22"/>
          <w:shd w:fill="EFF0F1"/>
        </w:rPr>
        <w:t>.cnnl</w:t>
      </w:r>
      <w:r>
        <w:rPr>
          <w:rFonts w:eastAsia="等线" w:ascii="Arial" w:cs="Arial" w:hAnsi="Arial"/>
          <w:sz w:val="22"/>
        </w:rPr>
        <w:t xml:space="preserve"> 条款修改文件。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宪法法院审查</w:t>
      </w:r>
      <w:r>
        <w:rPr>
          <w:rFonts w:eastAsia="等线" w:ascii="Arial" w:cs="Arial" w:hAnsi="Arial"/>
          <w:sz w:val="22"/>
        </w:rPr>
        <w:t>（7天）：法官审查提案是否与现有宪法冲突，是否侵犯永恒条款。若通过，进入下一阶段；若否决，提案终止。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社区讨论</w:t>
      </w:r>
      <w:r>
        <w:rPr>
          <w:rFonts w:eastAsia="等线" w:ascii="Arial" w:cs="Arial" w:hAnsi="Arial"/>
          <w:sz w:val="22"/>
        </w:rPr>
        <w:t>（14天）：在治理论坛公开讨论，提案者可修改条款。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立法议会投票</w:t>
      </w:r>
      <w:r>
        <w:rPr>
          <w:rFonts w:eastAsia="等线" w:ascii="Arial" w:cs="Arial" w:hAnsi="Arial"/>
          <w:sz w:val="22"/>
        </w:rPr>
        <w:t>（7天）：XIC持有者二次方投票，需≥66%赞成（永恒条款需≥90%）。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全民公投</w:t>
      </w:r>
      <w:r>
        <w:rPr>
          <w:rFonts w:eastAsia="等线" w:ascii="Arial" w:cs="Arial" w:hAnsi="Arial"/>
          <w:sz w:val="22"/>
        </w:rPr>
        <w:t>（21天）：所有XIC持有者参与，参与率≥40%，赞成率≥66%（永恒条款≥90%）。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冷静期</w:t>
      </w:r>
      <w:r>
        <w:rPr>
          <w:rFonts w:eastAsia="等线" w:ascii="Arial" w:cs="Arial" w:hAnsi="Arial"/>
          <w:sz w:val="22"/>
        </w:rPr>
        <w:t>（30天）：等待期内可紧急叫停（需宪法法院7/9法官同意）。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激活</w:t>
      </w:r>
      <w:r>
        <w:rPr>
          <w:rFonts w:eastAsia="等线" w:ascii="Arial" w:cs="Arial" w:hAnsi="Arial"/>
          <w:sz w:val="22"/>
        </w:rPr>
        <w:t>：CNNL编译器重新生成宪法状态文件，全网节点在下一个纪元自动更新。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5" w:id="35"/>
      <w:r>
        <w:rPr>
          <w:rFonts w:eastAsia="等线" w:ascii="Arial" w:cs="Arial" w:hAnsi="Arial"/>
          <w:b w:val="true"/>
          <w:sz w:val="32"/>
        </w:rPr>
        <w:t>5.2 紧急通道</w:t>
      </w:r>
      <w:bookmarkEnd w:id="3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当发生重大安全事件（如覆盖率跌破115%持续1小时、共识分裂）时，宪法法院可启动紧急通道：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需7/9法官签署紧急令状。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可临时调整战术级参数（如动态杠杆系数），有效期≤72小时。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事后需提交紧急报告，并在7天内启动追认投票。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6" w:id="36"/>
      <w:r>
        <w:rPr>
          <w:rFonts w:eastAsia="等线" w:ascii="Arial" w:cs="Arial" w:hAnsi="Arial"/>
          <w:b w:val="true"/>
          <w:sz w:val="32"/>
        </w:rPr>
        <w:t>5.3 宪法条款层级与修改门槛</w:t>
      </w:r>
      <w:bookmarkEnd w:id="3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2490"/>
        <w:gridCol w:w="2070"/>
        <w:gridCol w:w="234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层级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描述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示例</w:t>
            </w:r>
          </w:p>
        </w:tc>
        <w:tc>
          <w:tcPr>
            <w:tcW w:w="23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修改门槛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永恒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不可修改的根本原则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CUSTODY_ASSET_SEGREGATION</w:t>
            </w:r>
          </w:p>
        </w:tc>
        <w:tc>
          <w:tcPr>
            <w:tcW w:w="23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不可修改（100%+）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战略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影响全网安全的规则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CBPP_DT_MIN</w:t>
            </w:r>
            <w:r>
              <w:rPr>
                <w:rFonts w:eastAsia="等线" w:ascii="Arial" w:cs="Arial" w:hAnsi="Arial"/>
                <w:sz w:val="22"/>
              </w:rPr>
              <w:t xml:space="preserve">, 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CBP_GEO_DIVERSITY</w:t>
            </w:r>
          </w:p>
        </w:tc>
        <w:tc>
          <w:tcPr>
            <w:tcW w:w="23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75%投票 + 宪法法院审查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战术</w:t>
            </w:r>
          </w:p>
        </w:tc>
        <w:tc>
          <w:tcPr>
            <w:tcW w:w="249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可优化的运行参数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AGGREGATION_WINDOW_MS</w:t>
            </w:r>
          </w:p>
        </w:tc>
        <w:tc>
          <w:tcPr>
            <w:tcW w:w="23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66%投票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7" w:id="37"/>
      <w:r>
        <w:rPr>
          <w:rFonts w:eastAsia="等线" w:ascii="Arial" w:cs="Arial" w:hAnsi="Arial"/>
          <w:b w:val="true"/>
          <w:sz w:val="36"/>
        </w:rPr>
        <w:t>6. 实施路线图</w:t>
      </w:r>
      <w:bookmarkEnd w:id="3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275"/>
        <w:gridCol w:w="1275"/>
        <w:gridCol w:w="3570"/>
        <w:gridCol w:w="2160"/>
      </w:tblGrid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责任方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1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CNNL编译器v1.0，宪法状态文件格式规范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立法技术委员会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2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宪法法院组建，首批法官任命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治理委员会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3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CEE原型部署，宪法收据测试网验证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核心协议工程组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4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cargo-constitution v1.0，Charter编译器增强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编译器与静态分析小组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5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2026.06-07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宪政免疫系统原型，nac-toolbox集成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开发者工具工作组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6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2026.07-08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主网创世宪法冻结（43条条款CNNL化）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  <w:tr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7</w:t>
            </w:r>
          </w:p>
        </w:tc>
        <w:tc>
          <w:tcPr>
            <w:tcW w:w="12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2026.08</w:t>
            </w:r>
          </w:p>
        </w:tc>
        <w:tc>
          <w:tcPr>
            <w:tcW w:w="35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主网上线，宪法层正式生效</w:t>
            </w:r>
          </w:p>
        </w:tc>
        <w:tc>
          <w:tcPr>
            <w:tcW w:w="21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核心开发组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8" w:id="38"/>
      <w:r>
        <w:rPr>
          <w:rFonts w:eastAsia="等线" w:ascii="Arial" w:cs="Arial" w:hAnsi="Arial"/>
          <w:b w:val="true"/>
          <w:sz w:val="36"/>
        </w:rPr>
        <w:t>7. 结论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宪法层（L2）的建立，标志着区块链从“代码即法律”迈向“法律即代码”的新纪元。通过将立法权、司法权、执法权集中在一个透明的、可验证的层级，并利用编译器技术和运行时免疫系统强制宪法一致性，NAC公链成为全球第一条真正实现</w:t>
      </w:r>
      <w:r>
        <w:rPr>
          <w:rFonts w:eastAsia="等线" w:ascii="Arial" w:cs="Arial" w:hAnsi="Arial"/>
          <w:b w:val="true"/>
          <w:sz w:val="22"/>
        </w:rPr>
        <w:t>法治化运行</w:t>
      </w:r>
      <w:r>
        <w:rPr>
          <w:rFonts w:eastAsia="等线" w:ascii="Arial" w:cs="Arial" w:hAnsi="Arial"/>
          <w:sz w:val="22"/>
        </w:rPr>
        <w:t>的数字基础设施。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在宪法层之上，共识、网络、资产、应用各自演进，但始终受同一部宪法的约束。</w:t>
      </w:r>
      <w:r>
        <w:rPr>
          <w:rFonts w:eastAsia="等线" w:ascii="Arial" w:cs="Arial" w:hAnsi="Arial"/>
          <w:b w:val="true"/>
          <w:sz w:val="22"/>
        </w:rPr>
        <w:t>法律由社区制定，由编译器执行，由免疫系统守护</w:t>
      </w:r>
      <w:r>
        <w:rPr>
          <w:rFonts w:eastAsia="等线" w:ascii="Arial" w:cs="Arial" w:hAnsi="Arial"/>
          <w:sz w:val="22"/>
        </w:rPr>
        <w:t>——这就是NAC对“完美中心化框架下的去中心化”的终极回答。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：NAC宪法法院 · 立法技术委员会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：2026年2月13日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本规范与CNNL语言规范、宪法静态验证工具链、宪法免疫系统共同构成NAC宪法层的完整技术体系。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468450">
    <w:lvl>
      <w:numFmt w:val="bullet"/>
      <w:suff w:val="tab"/>
      <w:lvlText w:val="•"/>
      <w:rPr>
        <w:color w:val="3370ff"/>
      </w:rPr>
    </w:lvl>
  </w:abstractNum>
  <w:abstractNum w:abstractNumId="2468451">
    <w:lvl>
      <w:numFmt w:val="bullet"/>
      <w:suff w:val="tab"/>
      <w:lvlText w:val="•"/>
      <w:rPr>
        <w:color w:val="3370ff"/>
      </w:rPr>
    </w:lvl>
  </w:abstractNum>
  <w:abstractNum w:abstractNumId="2468452">
    <w:lvl>
      <w:numFmt w:val="bullet"/>
      <w:suff w:val="tab"/>
      <w:lvlText w:val="•"/>
      <w:rPr>
        <w:color w:val="3370ff"/>
      </w:rPr>
    </w:lvl>
  </w:abstractNum>
  <w:abstractNum w:abstractNumId="2468453">
    <w:lvl>
      <w:numFmt w:val="bullet"/>
      <w:suff w:val="tab"/>
      <w:lvlText w:val="•"/>
      <w:rPr>
        <w:color w:val="3370ff"/>
      </w:rPr>
    </w:lvl>
  </w:abstractNum>
  <w:abstractNum w:abstractNumId="2468454">
    <w:lvl>
      <w:numFmt w:val="bullet"/>
      <w:suff w:val="tab"/>
      <w:lvlText w:val="•"/>
      <w:rPr>
        <w:color w:val="3370ff"/>
      </w:rPr>
    </w:lvl>
  </w:abstractNum>
  <w:abstractNum w:abstractNumId="2468455">
    <w:lvl>
      <w:numFmt w:val="bullet"/>
      <w:suff w:val="tab"/>
      <w:lvlText w:val="•"/>
      <w:rPr>
        <w:color w:val="3370ff"/>
      </w:rPr>
    </w:lvl>
  </w:abstractNum>
  <w:abstractNum w:abstractNumId="2468456">
    <w:lvl>
      <w:numFmt w:val="bullet"/>
      <w:suff w:val="tab"/>
      <w:lvlText w:val="•"/>
      <w:rPr>
        <w:color w:val="3370ff"/>
      </w:rPr>
    </w:lvl>
  </w:abstractNum>
  <w:abstractNum w:abstractNumId="2468457">
    <w:lvl>
      <w:numFmt w:val="bullet"/>
      <w:suff w:val="tab"/>
      <w:lvlText w:val="•"/>
      <w:rPr>
        <w:color w:val="3370ff"/>
      </w:rPr>
    </w:lvl>
  </w:abstractNum>
  <w:abstractNum w:abstractNumId="2468458">
    <w:lvl>
      <w:numFmt w:val="bullet"/>
      <w:suff w:val="tab"/>
      <w:lvlText w:val="•"/>
      <w:rPr>
        <w:color w:val="3370ff"/>
      </w:rPr>
    </w:lvl>
  </w:abstractNum>
  <w:abstractNum w:abstractNumId="2468459">
    <w:lvl>
      <w:numFmt w:val="bullet"/>
      <w:suff w:val="tab"/>
      <w:lvlText w:val="•"/>
      <w:rPr>
        <w:color w:val="3370ff"/>
      </w:rPr>
    </w:lvl>
  </w:abstractNum>
  <w:abstractNum w:abstractNumId="2468460">
    <w:lvl>
      <w:numFmt w:val="bullet"/>
      <w:suff w:val="tab"/>
      <w:lvlText w:val="•"/>
      <w:rPr>
        <w:color w:val="3370ff"/>
      </w:rPr>
    </w:lvl>
  </w:abstractNum>
  <w:abstractNum w:abstractNumId="2468461">
    <w:lvl>
      <w:numFmt w:val="bullet"/>
      <w:suff w:val="tab"/>
      <w:lvlText w:val="•"/>
      <w:rPr>
        <w:color w:val="3370ff"/>
      </w:rPr>
    </w:lvl>
  </w:abstractNum>
  <w:abstractNum w:abstractNumId="2468462">
    <w:lvl>
      <w:numFmt w:val="bullet"/>
      <w:suff w:val="tab"/>
      <w:lvlText w:val="•"/>
      <w:rPr>
        <w:color w:val="3370ff"/>
      </w:rPr>
    </w:lvl>
  </w:abstractNum>
  <w:abstractNum w:abstractNumId="2468463">
    <w:lvl>
      <w:numFmt w:val="bullet"/>
      <w:suff w:val="tab"/>
      <w:lvlText w:val="•"/>
      <w:rPr>
        <w:color w:val="3370ff"/>
      </w:rPr>
    </w:lvl>
  </w:abstractNum>
  <w:abstractNum w:abstractNumId="2468464">
    <w:lvl>
      <w:numFmt w:val="bullet"/>
      <w:suff w:val="tab"/>
      <w:lvlText w:val="•"/>
      <w:rPr>
        <w:color w:val="3370ff"/>
      </w:rPr>
    </w:lvl>
  </w:abstractNum>
  <w:abstractNum w:abstractNumId="2468465">
    <w:lvl>
      <w:numFmt w:val="bullet"/>
      <w:suff w:val="tab"/>
      <w:lvlText w:val="•"/>
      <w:rPr>
        <w:color w:val="3370ff"/>
      </w:rPr>
    </w:lvl>
  </w:abstractNum>
  <w:abstractNum w:abstractNumId="2468466">
    <w:lvl>
      <w:numFmt w:val="bullet"/>
      <w:suff w:val="tab"/>
      <w:lvlText w:val="•"/>
      <w:rPr>
        <w:color w:val="3370ff"/>
      </w:rPr>
    </w:lvl>
  </w:abstractNum>
  <w:abstractNum w:abstractNumId="2468467">
    <w:lvl>
      <w:numFmt w:val="bullet"/>
      <w:suff w:val="tab"/>
      <w:lvlText w:val="•"/>
      <w:rPr>
        <w:color w:val="3370ff"/>
      </w:rPr>
    </w:lvl>
  </w:abstractNum>
  <w:abstractNum w:abstractNumId="2468468">
    <w:lvl>
      <w:numFmt w:val="bullet"/>
      <w:suff w:val="tab"/>
      <w:lvlText w:val="•"/>
      <w:rPr>
        <w:color w:val="3370ff"/>
      </w:rPr>
    </w:lvl>
  </w:abstractNum>
  <w:abstractNum w:abstractNumId="2468469">
    <w:lvl>
      <w:numFmt w:val="bullet"/>
      <w:suff w:val="tab"/>
      <w:lvlText w:val="•"/>
      <w:rPr>
        <w:color w:val="3370ff"/>
      </w:rPr>
    </w:lvl>
  </w:abstractNum>
  <w:abstractNum w:abstractNumId="2468470">
    <w:lvl>
      <w:numFmt w:val="bullet"/>
      <w:suff w:val="tab"/>
      <w:lvlText w:val="•"/>
      <w:rPr>
        <w:color w:val="3370ff"/>
      </w:rPr>
    </w:lvl>
  </w:abstractNum>
  <w:abstractNum w:abstractNumId="2468471">
    <w:lvl>
      <w:numFmt w:val="bullet"/>
      <w:suff w:val="tab"/>
      <w:lvlText w:val="•"/>
      <w:rPr>
        <w:color w:val="3370ff"/>
      </w:rPr>
    </w:lvl>
  </w:abstractNum>
  <w:abstractNum w:abstractNumId="2468472">
    <w:lvl>
      <w:numFmt w:val="bullet"/>
      <w:suff w:val="tab"/>
      <w:lvlText w:val="•"/>
      <w:rPr>
        <w:color w:val="3370ff"/>
      </w:rPr>
    </w:lvl>
  </w:abstractNum>
  <w:abstractNum w:abstractNumId="2468473">
    <w:lvl>
      <w:numFmt w:val="bullet"/>
      <w:suff w:val="tab"/>
      <w:lvlText w:val="•"/>
      <w:rPr>
        <w:color w:val="3370ff"/>
      </w:rPr>
    </w:lvl>
  </w:abstractNum>
  <w:abstractNum w:abstractNumId="2468474">
    <w:lvl>
      <w:numFmt w:val="bullet"/>
      <w:suff w:val="tab"/>
      <w:lvlText w:val="•"/>
      <w:rPr>
        <w:color w:val="3370ff"/>
      </w:rPr>
    </w:lvl>
  </w:abstractNum>
  <w:abstractNum w:abstractNumId="2468475">
    <w:lvl>
      <w:numFmt w:val="bullet"/>
      <w:suff w:val="tab"/>
      <w:lvlText w:val="•"/>
      <w:rPr>
        <w:color w:val="3370ff"/>
      </w:rPr>
    </w:lvl>
  </w:abstractNum>
  <w:abstractNum w:abstractNumId="2468476">
    <w:lvl>
      <w:numFmt w:val="bullet"/>
      <w:suff w:val="tab"/>
      <w:lvlText w:val="•"/>
      <w:rPr>
        <w:color w:val="3370ff"/>
      </w:rPr>
    </w:lvl>
  </w:abstractNum>
  <w:abstractNum w:abstractNumId="2468477">
    <w:lvl>
      <w:numFmt w:val="bullet"/>
      <w:suff w:val="tab"/>
      <w:lvlText w:val="•"/>
      <w:rPr>
        <w:color w:val="3370ff"/>
      </w:rPr>
    </w:lvl>
  </w:abstractNum>
  <w:abstractNum w:abstractNumId="2468478">
    <w:lvl>
      <w:numFmt w:val="bullet"/>
      <w:suff w:val="tab"/>
      <w:lvlText w:val="•"/>
      <w:rPr>
        <w:color w:val="3370ff"/>
      </w:rPr>
    </w:lvl>
  </w:abstractNum>
  <w:abstractNum w:abstractNumId="2468479">
    <w:lvl>
      <w:numFmt w:val="bullet"/>
      <w:suff w:val="tab"/>
      <w:lvlText w:val="•"/>
      <w:rPr>
        <w:color w:val="3370ff"/>
      </w:rPr>
    </w:lvl>
  </w:abstractNum>
  <w:abstractNum w:abstractNumId="2468480">
    <w:lvl>
      <w:numFmt w:val="bullet"/>
      <w:suff w:val="tab"/>
      <w:lvlText w:val="•"/>
      <w:rPr>
        <w:color w:val="3370ff"/>
      </w:rPr>
    </w:lvl>
  </w:abstractNum>
  <w:abstractNum w:abstractNumId="2468481">
    <w:lvl>
      <w:numFmt w:val="bullet"/>
      <w:suff w:val="tab"/>
      <w:lvlText w:val="•"/>
      <w:rPr>
        <w:color w:val="3370ff"/>
      </w:rPr>
    </w:lvl>
  </w:abstractNum>
  <w:abstractNum w:abstractNumId="2468482">
    <w:lvl>
      <w:numFmt w:val="bullet"/>
      <w:suff w:val="tab"/>
      <w:lvlText w:val="•"/>
      <w:rPr>
        <w:color w:val="3370ff"/>
      </w:rPr>
    </w:lvl>
  </w:abstractNum>
  <w:abstractNum w:abstractNumId="2468483">
    <w:lvl>
      <w:numFmt w:val="bullet"/>
      <w:suff w:val="tab"/>
      <w:lvlText w:val="•"/>
      <w:rPr>
        <w:color w:val="3370ff"/>
      </w:rPr>
    </w:lvl>
  </w:abstractNum>
  <w:abstractNum w:abstractNumId="2468484">
    <w:lvl>
      <w:numFmt w:val="bullet"/>
      <w:suff w:val="tab"/>
      <w:lvlText w:val="•"/>
      <w:rPr>
        <w:color w:val="3370ff"/>
      </w:rPr>
    </w:lvl>
  </w:abstractNum>
  <w:abstractNum w:abstractNumId="2468485">
    <w:lvl>
      <w:numFmt w:val="bullet"/>
      <w:suff w:val="tab"/>
      <w:lvlText w:val="•"/>
      <w:rPr>
        <w:color w:val="3370ff"/>
      </w:rPr>
    </w:lvl>
  </w:abstractNum>
  <w:abstractNum w:abstractNumId="2468486">
    <w:lvl>
      <w:start w:val="1"/>
      <w:numFmt w:val="decimal"/>
      <w:suff w:val="tab"/>
      <w:lvlText w:val="%1."/>
      <w:rPr>
        <w:color w:val="3370ff"/>
      </w:rPr>
    </w:lvl>
  </w:abstractNum>
  <w:abstractNum w:abstractNumId="2468487">
    <w:lvl>
      <w:start w:val="2"/>
      <w:numFmt w:val="decimal"/>
      <w:suff w:val="tab"/>
      <w:lvlText w:val="%1."/>
      <w:rPr>
        <w:color w:val="3370ff"/>
      </w:rPr>
    </w:lvl>
  </w:abstractNum>
  <w:abstractNum w:abstractNumId="2468488">
    <w:lvl>
      <w:start w:val="3"/>
      <w:numFmt w:val="decimal"/>
      <w:suff w:val="tab"/>
      <w:lvlText w:val="%1."/>
      <w:rPr>
        <w:color w:val="3370ff"/>
      </w:rPr>
    </w:lvl>
  </w:abstractNum>
  <w:abstractNum w:abstractNumId="2468489">
    <w:lvl>
      <w:numFmt w:val="bullet"/>
      <w:suff w:val="tab"/>
      <w:lvlText w:val="￮"/>
      <w:rPr>
        <w:color w:val="3370ff"/>
      </w:rPr>
    </w:lvl>
  </w:abstractNum>
  <w:abstractNum w:abstractNumId="2468490">
    <w:lvl>
      <w:numFmt w:val="bullet"/>
      <w:suff w:val="tab"/>
      <w:lvlText w:val="￮"/>
      <w:rPr>
        <w:color w:val="3370ff"/>
      </w:rPr>
    </w:lvl>
  </w:abstractNum>
  <w:abstractNum w:abstractNumId="2468491">
    <w:lvl>
      <w:numFmt w:val="bullet"/>
      <w:suff w:val="tab"/>
      <w:lvlText w:val="￮"/>
      <w:rPr>
        <w:color w:val="3370ff"/>
      </w:rPr>
    </w:lvl>
  </w:abstractNum>
  <w:abstractNum w:abstractNumId="2468492">
    <w:lvl>
      <w:numFmt w:val="bullet"/>
      <w:suff w:val="tab"/>
      <w:lvlText w:val="￮"/>
      <w:rPr>
        <w:color w:val="3370ff"/>
      </w:rPr>
    </w:lvl>
  </w:abstractNum>
  <w:abstractNum w:abstractNumId="2468493">
    <w:lvl>
      <w:numFmt w:val="bullet"/>
      <w:suff w:val="tab"/>
      <w:lvlText w:val="￮"/>
      <w:rPr>
        <w:color w:val="3370ff"/>
      </w:rPr>
    </w:lvl>
  </w:abstractNum>
  <w:abstractNum w:abstractNumId="2468494">
    <w:lvl>
      <w:start w:val="4"/>
      <w:numFmt w:val="decimal"/>
      <w:suff w:val="tab"/>
      <w:lvlText w:val="%1."/>
      <w:rPr>
        <w:color w:val="3370ff"/>
      </w:rPr>
    </w:lvl>
  </w:abstractNum>
  <w:abstractNum w:abstractNumId="2468495">
    <w:lvl>
      <w:numFmt w:val="bullet"/>
      <w:suff w:val="tab"/>
      <w:lvlText w:val="•"/>
      <w:rPr>
        <w:color w:val="3370ff"/>
      </w:rPr>
    </w:lvl>
  </w:abstractNum>
  <w:abstractNum w:abstractNumId="2468496">
    <w:lvl>
      <w:numFmt w:val="bullet"/>
      <w:suff w:val="tab"/>
      <w:lvlText w:val="•"/>
      <w:rPr>
        <w:color w:val="3370ff"/>
      </w:rPr>
    </w:lvl>
  </w:abstractNum>
  <w:abstractNum w:abstractNumId="2468497">
    <w:lvl>
      <w:numFmt w:val="bullet"/>
      <w:suff w:val="tab"/>
      <w:lvlText w:val="•"/>
      <w:rPr>
        <w:color w:val="3370ff"/>
      </w:rPr>
    </w:lvl>
  </w:abstractNum>
  <w:abstractNum w:abstractNumId="2468498">
    <w:lvl>
      <w:numFmt w:val="bullet"/>
      <w:suff w:val="tab"/>
      <w:lvlText w:val="•"/>
      <w:rPr>
        <w:color w:val="3370ff"/>
      </w:rPr>
    </w:lvl>
  </w:abstractNum>
  <w:abstractNum w:abstractNumId="2468499">
    <w:lvl>
      <w:numFmt w:val="bullet"/>
      <w:suff w:val="tab"/>
      <w:lvlText w:val="•"/>
      <w:rPr>
        <w:color w:val="3370ff"/>
      </w:rPr>
    </w:lvl>
  </w:abstractNum>
  <w:abstractNum w:abstractNumId="2468500">
    <w:lvl>
      <w:numFmt w:val="bullet"/>
      <w:suff w:val="tab"/>
      <w:lvlText w:val="•"/>
      <w:rPr>
        <w:color w:val="3370ff"/>
      </w:rPr>
    </w:lvl>
  </w:abstractNum>
  <w:abstractNum w:abstractNumId="2468501">
    <w:lvl>
      <w:numFmt w:val="bullet"/>
      <w:suff w:val="tab"/>
      <w:lvlText w:val="•"/>
      <w:rPr>
        <w:color w:val="3370ff"/>
      </w:rPr>
    </w:lvl>
  </w:abstractNum>
  <w:abstractNum w:abstractNumId="2468502">
    <w:lvl>
      <w:numFmt w:val="bullet"/>
      <w:suff w:val="tab"/>
      <w:lvlText w:val="•"/>
      <w:rPr>
        <w:color w:val="3370ff"/>
      </w:rPr>
    </w:lvl>
  </w:abstractNum>
  <w:abstractNum w:abstractNumId="2468503">
    <w:lvl>
      <w:start w:val="1"/>
      <w:numFmt w:val="decimal"/>
      <w:suff w:val="tab"/>
      <w:lvlText w:val="%1."/>
      <w:rPr>
        <w:color w:val="3370ff"/>
      </w:rPr>
    </w:lvl>
  </w:abstractNum>
  <w:abstractNum w:abstractNumId="2468504">
    <w:lvl>
      <w:start w:val="2"/>
      <w:numFmt w:val="decimal"/>
      <w:suff w:val="tab"/>
      <w:lvlText w:val="%1."/>
      <w:rPr>
        <w:color w:val="3370ff"/>
      </w:rPr>
    </w:lvl>
  </w:abstractNum>
  <w:abstractNum w:abstractNumId="2468505">
    <w:lvl>
      <w:start w:val="3"/>
      <w:numFmt w:val="decimal"/>
      <w:suff w:val="tab"/>
      <w:lvlText w:val="%1."/>
      <w:rPr>
        <w:color w:val="3370ff"/>
      </w:rPr>
    </w:lvl>
  </w:abstractNum>
  <w:abstractNum w:abstractNumId="2468506">
    <w:lvl>
      <w:start w:val="4"/>
      <w:numFmt w:val="decimal"/>
      <w:suff w:val="tab"/>
      <w:lvlText w:val="%1."/>
      <w:rPr>
        <w:color w:val="3370ff"/>
      </w:rPr>
    </w:lvl>
  </w:abstractNum>
  <w:abstractNum w:abstractNumId="2468507">
    <w:lvl>
      <w:start w:val="5"/>
      <w:numFmt w:val="decimal"/>
      <w:suff w:val="tab"/>
      <w:lvlText w:val="%1."/>
      <w:rPr>
        <w:color w:val="3370ff"/>
      </w:rPr>
    </w:lvl>
  </w:abstractNum>
  <w:abstractNum w:abstractNumId="2468508">
    <w:lvl>
      <w:numFmt w:val="bullet"/>
      <w:suff w:val="tab"/>
      <w:lvlText w:val="•"/>
      <w:rPr>
        <w:color w:val="3370ff"/>
      </w:rPr>
    </w:lvl>
  </w:abstractNum>
  <w:abstractNum w:abstractNumId="2468509">
    <w:lvl>
      <w:numFmt w:val="bullet"/>
      <w:suff w:val="tab"/>
      <w:lvlText w:val="•"/>
      <w:rPr>
        <w:color w:val="3370ff"/>
      </w:rPr>
    </w:lvl>
  </w:abstractNum>
  <w:abstractNum w:abstractNumId="2468510">
    <w:lvl>
      <w:numFmt w:val="bullet"/>
      <w:suff w:val="tab"/>
      <w:lvlText w:val="•"/>
      <w:rPr>
        <w:color w:val="3370ff"/>
      </w:rPr>
    </w:lvl>
  </w:abstractNum>
  <w:abstractNum w:abstractNumId="2468511">
    <w:lvl>
      <w:numFmt w:val="bullet"/>
      <w:suff w:val="tab"/>
      <w:lvlText w:val="•"/>
      <w:rPr>
        <w:color w:val="3370ff"/>
      </w:rPr>
    </w:lvl>
  </w:abstractNum>
  <w:abstractNum w:abstractNumId="2468512">
    <w:lvl>
      <w:numFmt w:val="bullet"/>
      <w:suff w:val="tab"/>
      <w:lvlText w:val="•"/>
      <w:rPr>
        <w:color w:val="3370ff"/>
      </w:rPr>
    </w:lvl>
  </w:abstractNum>
  <w:abstractNum w:abstractNumId="2468513">
    <w:lvl>
      <w:numFmt w:val="bullet"/>
      <w:suff w:val="tab"/>
      <w:lvlText w:val="•"/>
      <w:rPr>
        <w:color w:val="3370ff"/>
      </w:rPr>
    </w:lvl>
  </w:abstractNum>
  <w:abstractNum w:abstractNumId="2468514">
    <w:lvl>
      <w:numFmt w:val="bullet"/>
      <w:suff w:val="tab"/>
      <w:lvlText w:val="•"/>
      <w:rPr>
        <w:color w:val="3370ff"/>
      </w:rPr>
    </w:lvl>
  </w:abstractNum>
  <w:abstractNum w:abstractNumId="2468515">
    <w:lvl>
      <w:numFmt w:val="bullet"/>
      <w:suff w:val="tab"/>
      <w:lvlText w:val="•"/>
      <w:rPr>
        <w:color w:val="3370ff"/>
      </w:rPr>
    </w:lvl>
  </w:abstractNum>
  <w:abstractNum w:abstractNumId="2468516">
    <w:lvl>
      <w:numFmt w:val="bullet"/>
      <w:suff w:val="tab"/>
      <w:lvlText w:val="•"/>
      <w:rPr>
        <w:color w:val="3370ff"/>
      </w:rPr>
    </w:lvl>
  </w:abstractNum>
  <w:abstractNum w:abstractNumId="2468517">
    <w:lvl>
      <w:numFmt w:val="bullet"/>
      <w:suff w:val="tab"/>
      <w:lvlText w:val="•"/>
      <w:rPr>
        <w:color w:val="3370ff"/>
      </w:rPr>
    </w:lvl>
  </w:abstractNum>
  <w:abstractNum w:abstractNumId="2468518">
    <w:lvl>
      <w:numFmt w:val="bullet"/>
      <w:suff w:val="tab"/>
      <w:lvlText w:val="•"/>
      <w:rPr>
        <w:color w:val="3370ff"/>
      </w:rPr>
    </w:lvl>
  </w:abstractNum>
  <w:abstractNum w:abstractNumId="2468519">
    <w:lvl>
      <w:numFmt w:val="bullet"/>
      <w:suff w:val="tab"/>
      <w:lvlText w:val="•"/>
      <w:rPr>
        <w:color w:val="3370ff"/>
      </w:rPr>
    </w:lvl>
  </w:abstractNum>
  <w:abstractNum w:abstractNumId="2468520">
    <w:lvl>
      <w:numFmt w:val="bullet"/>
      <w:suff w:val="tab"/>
      <w:lvlText w:val="•"/>
      <w:rPr>
        <w:color w:val="3370ff"/>
      </w:rPr>
    </w:lvl>
  </w:abstractNum>
  <w:abstractNum w:abstractNumId="2468521">
    <w:lvl>
      <w:numFmt w:val="bullet"/>
      <w:suff w:val="tab"/>
      <w:lvlText w:val="•"/>
      <w:rPr>
        <w:color w:val="3370ff"/>
      </w:rPr>
    </w:lvl>
  </w:abstractNum>
  <w:abstractNum w:abstractNumId="2468522">
    <w:lvl>
      <w:numFmt w:val="bullet"/>
      <w:suff w:val="tab"/>
      <w:lvlText w:val="•"/>
      <w:rPr>
        <w:color w:val="3370ff"/>
      </w:rPr>
    </w:lvl>
  </w:abstractNum>
  <w:abstractNum w:abstractNumId="2468523">
    <w:lvl>
      <w:numFmt w:val="bullet"/>
      <w:suff w:val="tab"/>
      <w:lvlText w:val="•"/>
      <w:rPr>
        <w:color w:val="3370ff"/>
      </w:rPr>
    </w:lvl>
  </w:abstractNum>
  <w:abstractNum w:abstractNumId="2468524">
    <w:lvl>
      <w:numFmt w:val="bullet"/>
      <w:suff w:val="tab"/>
      <w:lvlText w:val="•"/>
      <w:rPr>
        <w:color w:val="3370ff"/>
      </w:rPr>
    </w:lvl>
  </w:abstractNum>
  <w:abstractNum w:abstractNumId="2468525">
    <w:lvl>
      <w:numFmt w:val="bullet"/>
      <w:suff w:val="tab"/>
      <w:lvlText w:val="•"/>
      <w:rPr>
        <w:color w:val="3370ff"/>
      </w:rPr>
    </w:lvl>
  </w:abstractNum>
  <w:abstractNum w:abstractNumId="2468526">
    <w:lvl>
      <w:numFmt w:val="bullet"/>
      <w:suff w:val="tab"/>
      <w:lvlText w:val="•"/>
      <w:rPr>
        <w:color w:val="3370ff"/>
      </w:rPr>
    </w:lvl>
  </w:abstractNum>
  <w:abstractNum w:abstractNumId="2468527">
    <w:lvl>
      <w:numFmt w:val="bullet"/>
      <w:suff w:val="tab"/>
      <w:lvlText w:val="•"/>
      <w:rPr>
        <w:color w:val="3370ff"/>
      </w:rPr>
    </w:lvl>
  </w:abstractNum>
  <w:abstractNum w:abstractNumId="2468528">
    <w:lvl>
      <w:numFmt w:val="bullet"/>
      <w:suff w:val="tab"/>
      <w:lvlText w:val="•"/>
      <w:rPr>
        <w:color w:val="3370ff"/>
      </w:rPr>
    </w:lvl>
  </w:abstractNum>
  <w:abstractNum w:abstractNumId="2468529">
    <w:lvl>
      <w:start w:val="1"/>
      <w:numFmt w:val="decimal"/>
      <w:suff w:val="tab"/>
      <w:lvlText w:val="%1."/>
      <w:rPr>
        <w:color w:val="3370ff"/>
      </w:rPr>
    </w:lvl>
  </w:abstractNum>
  <w:abstractNum w:abstractNumId="2468530">
    <w:lvl>
      <w:start w:val="2"/>
      <w:numFmt w:val="decimal"/>
      <w:suff w:val="tab"/>
      <w:lvlText w:val="%1."/>
      <w:rPr>
        <w:color w:val="3370ff"/>
      </w:rPr>
    </w:lvl>
  </w:abstractNum>
  <w:abstractNum w:abstractNumId="2468531">
    <w:lvl>
      <w:start w:val="3"/>
      <w:numFmt w:val="decimal"/>
      <w:suff w:val="tab"/>
      <w:lvlText w:val="%1."/>
      <w:rPr>
        <w:color w:val="3370ff"/>
      </w:rPr>
    </w:lvl>
  </w:abstractNum>
  <w:abstractNum w:abstractNumId="2468532">
    <w:lvl>
      <w:start w:val="4"/>
      <w:numFmt w:val="decimal"/>
      <w:suff w:val="tab"/>
      <w:lvlText w:val="%1."/>
      <w:rPr>
        <w:color w:val="3370ff"/>
      </w:rPr>
    </w:lvl>
  </w:abstractNum>
  <w:abstractNum w:abstractNumId="2468533">
    <w:lvl>
      <w:start w:val="5"/>
      <w:numFmt w:val="decimal"/>
      <w:suff w:val="tab"/>
      <w:lvlText w:val="%1."/>
      <w:rPr>
        <w:color w:val="3370ff"/>
      </w:rPr>
    </w:lvl>
  </w:abstractNum>
  <w:abstractNum w:abstractNumId="2468534">
    <w:lvl>
      <w:start w:val="6"/>
      <w:numFmt w:val="decimal"/>
      <w:suff w:val="tab"/>
      <w:lvlText w:val="%1."/>
      <w:rPr>
        <w:color w:val="3370ff"/>
      </w:rPr>
    </w:lvl>
  </w:abstractNum>
  <w:abstractNum w:abstractNumId="2468535">
    <w:lvl>
      <w:start w:val="7"/>
      <w:numFmt w:val="decimal"/>
      <w:suff w:val="tab"/>
      <w:lvlText w:val="%1."/>
      <w:rPr>
        <w:color w:val="3370ff"/>
      </w:rPr>
    </w:lvl>
  </w:abstractNum>
  <w:abstractNum w:abstractNumId="2468536">
    <w:lvl>
      <w:numFmt w:val="bullet"/>
      <w:suff w:val="tab"/>
      <w:lvlText w:val="•"/>
      <w:rPr>
        <w:color w:val="3370ff"/>
      </w:rPr>
    </w:lvl>
  </w:abstractNum>
  <w:abstractNum w:abstractNumId="2468537">
    <w:lvl>
      <w:numFmt w:val="bullet"/>
      <w:suff w:val="tab"/>
      <w:lvlText w:val="•"/>
      <w:rPr>
        <w:color w:val="3370ff"/>
      </w:rPr>
    </w:lvl>
  </w:abstractNum>
  <w:abstractNum w:abstractNumId="2468538">
    <w:lvl>
      <w:numFmt w:val="bullet"/>
      <w:suff w:val="tab"/>
      <w:lvlText w:val="•"/>
      <w:rPr>
        <w:color w:val="3370ff"/>
      </w:rPr>
    </w:lvl>
  </w:abstractNum>
  <w:num w:numId="1">
    <w:abstractNumId w:val="2468450"/>
  </w:num>
  <w:num w:numId="2">
    <w:abstractNumId w:val="2468451"/>
  </w:num>
  <w:num w:numId="3">
    <w:abstractNumId w:val="2468452"/>
  </w:num>
  <w:num w:numId="4">
    <w:abstractNumId w:val="2468453"/>
  </w:num>
  <w:num w:numId="5">
    <w:abstractNumId w:val="2468454"/>
  </w:num>
  <w:num w:numId="6">
    <w:abstractNumId w:val="2468455"/>
  </w:num>
  <w:num w:numId="7">
    <w:abstractNumId w:val="2468456"/>
  </w:num>
  <w:num w:numId="8">
    <w:abstractNumId w:val="2468457"/>
  </w:num>
  <w:num w:numId="9">
    <w:abstractNumId w:val="2468458"/>
  </w:num>
  <w:num w:numId="10">
    <w:abstractNumId w:val="2468459"/>
  </w:num>
  <w:num w:numId="11">
    <w:abstractNumId w:val="2468460"/>
  </w:num>
  <w:num w:numId="12">
    <w:abstractNumId w:val="2468461"/>
  </w:num>
  <w:num w:numId="13">
    <w:abstractNumId w:val="2468462"/>
  </w:num>
  <w:num w:numId="14">
    <w:abstractNumId w:val="2468463"/>
  </w:num>
  <w:num w:numId="15">
    <w:abstractNumId w:val="2468464"/>
  </w:num>
  <w:num w:numId="16">
    <w:abstractNumId w:val="2468465"/>
  </w:num>
  <w:num w:numId="17">
    <w:abstractNumId w:val="2468466"/>
  </w:num>
  <w:num w:numId="18">
    <w:abstractNumId w:val="2468467"/>
  </w:num>
  <w:num w:numId="19">
    <w:abstractNumId w:val="2468468"/>
  </w:num>
  <w:num w:numId="20">
    <w:abstractNumId w:val="2468469"/>
  </w:num>
  <w:num w:numId="21">
    <w:abstractNumId w:val="2468470"/>
  </w:num>
  <w:num w:numId="22">
    <w:abstractNumId w:val="2468471"/>
  </w:num>
  <w:num w:numId="23">
    <w:abstractNumId w:val="2468472"/>
  </w:num>
  <w:num w:numId="24">
    <w:abstractNumId w:val="2468473"/>
  </w:num>
  <w:num w:numId="25">
    <w:abstractNumId w:val="2468474"/>
  </w:num>
  <w:num w:numId="26">
    <w:abstractNumId w:val="2468475"/>
  </w:num>
  <w:num w:numId="27">
    <w:abstractNumId w:val="2468476"/>
  </w:num>
  <w:num w:numId="28">
    <w:abstractNumId w:val="2468477"/>
  </w:num>
  <w:num w:numId="29">
    <w:abstractNumId w:val="2468478"/>
  </w:num>
  <w:num w:numId="30">
    <w:abstractNumId w:val="2468479"/>
  </w:num>
  <w:num w:numId="31">
    <w:abstractNumId w:val="2468480"/>
  </w:num>
  <w:num w:numId="32">
    <w:abstractNumId w:val="2468481"/>
  </w:num>
  <w:num w:numId="33">
    <w:abstractNumId w:val="2468482"/>
  </w:num>
  <w:num w:numId="34">
    <w:abstractNumId w:val="2468483"/>
  </w:num>
  <w:num w:numId="35">
    <w:abstractNumId w:val="2468484"/>
  </w:num>
  <w:num w:numId="36">
    <w:abstractNumId w:val="2468485"/>
  </w:num>
  <w:num w:numId="37">
    <w:abstractNumId w:val="2468486"/>
  </w:num>
  <w:num w:numId="38">
    <w:abstractNumId w:val="2468487"/>
  </w:num>
  <w:num w:numId="39">
    <w:abstractNumId w:val="2468488"/>
  </w:num>
  <w:num w:numId="40">
    <w:abstractNumId w:val="2468489"/>
  </w:num>
  <w:num w:numId="41">
    <w:abstractNumId w:val="2468490"/>
  </w:num>
  <w:num w:numId="42">
    <w:abstractNumId w:val="2468491"/>
  </w:num>
  <w:num w:numId="43">
    <w:abstractNumId w:val="2468492"/>
  </w:num>
  <w:num w:numId="44">
    <w:abstractNumId w:val="2468493"/>
  </w:num>
  <w:num w:numId="45">
    <w:abstractNumId w:val="2468494"/>
  </w:num>
  <w:num w:numId="46">
    <w:abstractNumId w:val="2468495"/>
  </w:num>
  <w:num w:numId="47">
    <w:abstractNumId w:val="2468496"/>
  </w:num>
  <w:num w:numId="48">
    <w:abstractNumId w:val="2468497"/>
  </w:num>
  <w:num w:numId="49">
    <w:abstractNumId w:val="2468498"/>
  </w:num>
  <w:num w:numId="50">
    <w:abstractNumId w:val="2468499"/>
  </w:num>
  <w:num w:numId="51">
    <w:abstractNumId w:val="2468500"/>
  </w:num>
  <w:num w:numId="52">
    <w:abstractNumId w:val="2468501"/>
  </w:num>
  <w:num w:numId="53">
    <w:abstractNumId w:val="2468502"/>
  </w:num>
  <w:num w:numId="54">
    <w:abstractNumId w:val="2468503"/>
  </w:num>
  <w:num w:numId="55">
    <w:abstractNumId w:val="2468504"/>
  </w:num>
  <w:num w:numId="56">
    <w:abstractNumId w:val="2468505"/>
  </w:num>
  <w:num w:numId="57">
    <w:abstractNumId w:val="2468506"/>
  </w:num>
  <w:num w:numId="58">
    <w:abstractNumId w:val="2468507"/>
  </w:num>
  <w:num w:numId="59">
    <w:abstractNumId w:val="2468508"/>
  </w:num>
  <w:num w:numId="60">
    <w:abstractNumId w:val="2468509"/>
  </w:num>
  <w:num w:numId="61">
    <w:abstractNumId w:val="2468510"/>
  </w:num>
  <w:num w:numId="62">
    <w:abstractNumId w:val="2468511"/>
  </w:num>
  <w:num w:numId="63">
    <w:abstractNumId w:val="2468512"/>
  </w:num>
  <w:num w:numId="64">
    <w:abstractNumId w:val="2468513"/>
  </w:num>
  <w:num w:numId="65">
    <w:abstractNumId w:val="2468514"/>
  </w:num>
  <w:num w:numId="66">
    <w:abstractNumId w:val="2468515"/>
  </w:num>
  <w:num w:numId="67">
    <w:abstractNumId w:val="2468516"/>
  </w:num>
  <w:num w:numId="68">
    <w:abstractNumId w:val="2468517"/>
  </w:num>
  <w:num w:numId="69">
    <w:abstractNumId w:val="2468518"/>
  </w:num>
  <w:num w:numId="70">
    <w:abstractNumId w:val="2468519"/>
  </w:num>
  <w:num w:numId="71">
    <w:abstractNumId w:val="2468520"/>
  </w:num>
  <w:num w:numId="72">
    <w:abstractNumId w:val="2468521"/>
  </w:num>
  <w:num w:numId="73">
    <w:abstractNumId w:val="2468522"/>
  </w:num>
  <w:num w:numId="74">
    <w:abstractNumId w:val="2468523"/>
  </w:num>
  <w:num w:numId="75">
    <w:abstractNumId w:val="2468524"/>
  </w:num>
  <w:num w:numId="76">
    <w:abstractNumId w:val="2468525"/>
  </w:num>
  <w:num w:numId="77">
    <w:abstractNumId w:val="2468526"/>
  </w:num>
  <w:num w:numId="78">
    <w:abstractNumId w:val="2468527"/>
  </w:num>
  <w:num w:numId="79">
    <w:abstractNumId w:val="2468528"/>
  </w:num>
  <w:num w:numId="80">
    <w:abstractNumId w:val="2468529"/>
  </w:num>
  <w:num w:numId="81">
    <w:abstractNumId w:val="2468530"/>
  </w:num>
  <w:num w:numId="82">
    <w:abstractNumId w:val="2468531"/>
  </w:num>
  <w:num w:numId="83">
    <w:abstractNumId w:val="2468532"/>
  </w:num>
  <w:num w:numId="84">
    <w:abstractNumId w:val="2468533"/>
  </w:num>
  <w:num w:numId="85">
    <w:abstractNumId w:val="2468534"/>
  </w:num>
  <w:num w:numId="86">
    <w:abstractNumId w:val="2468535"/>
  </w:num>
  <w:num w:numId="87">
    <w:abstractNumId w:val="2468536"/>
  </w:num>
  <w:num w:numId="88">
    <w:abstractNumId w:val="2468537"/>
  </w:num>
  <w:num w:numId="89">
    <w:abstractNumId w:val="2468538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2026-02-13T10:43:33Z</dcterms:created>
  <dc:creator>Apache POI</dc:creator>
</cp:coreProperties>
</file>