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NAC系统Rust编译器插件建设方案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——在编译期保障宪法约束与系统正确性的静态验证层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：NAC核心协议工程组 · 编译器与静态分析小组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</w:t>
      </w:r>
      <w:r>
        <w:rPr>
          <w:rFonts w:eastAsia="等线" w:ascii="Arial" w:cs="Arial" w:hAnsi="Arial"/>
          <w:sz w:val="22"/>
        </w:rPr>
        <w:t>：CNNL编译器白皮书、CBPP共识层规范、宪法层升级规范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核心结论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可以，并且应该为NAC系统的Rust代码库开发一套编译器插件机制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该机制不是替代CNNL编译器，而是</w:t>
      </w:r>
      <w:r>
        <w:rPr>
          <w:rFonts w:eastAsia="等线" w:ascii="Arial" w:cs="Arial" w:hAnsi="Arial"/>
          <w:b w:val="true"/>
          <w:sz w:val="22"/>
        </w:rPr>
        <w:t>在NAC节点软件、共识层、网络层、虚拟机等Rust原生组件的编译过程中，自动验证代码实现是否与宪法条款、安全规范、性能约束一致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它与CNNL编译库形成完整的双层次保障体系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CNNL编译库</w:t>
      </w:r>
      <w:r>
        <w:rPr>
          <w:rFonts w:eastAsia="等线" w:ascii="Arial" w:cs="Arial" w:hAnsi="Arial"/>
          <w:sz w:val="22"/>
        </w:rPr>
        <w:t>：保障</w:t>
      </w:r>
      <w:r>
        <w:rPr>
          <w:rFonts w:eastAsia="等线" w:ascii="Arial" w:cs="Arial" w:hAnsi="Arial"/>
          <w:b w:val="true"/>
          <w:sz w:val="22"/>
        </w:rPr>
        <w:t>宪法文本本身</w:t>
      </w:r>
      <w:r>
        <w:rPr>
          <w:rFonts w:eastAsia="等线" w:ascii="Arial" w:cs="Arial" w:hAnsi="Arial"/>
          <w:sz w:val="22"/>
        </w:rPr>
        <w:t>的逻辑正确性（立法环节）。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Rust编译器插件</w:t>
      </w:r>
      <w:r>
        <w:rPr>
          <w:rFonts w:eastAsia="等线" w:ascii="Arial" w:cs="Arial" w:hAnsi="Arial"/>
          <w:sz w:val="22"/>
        </w:rPr>
        <w:t>：保障</w:t>
      </w:r>
      <w:r>
        <w:rPr>
          <w:rFonts w:eastAsia="等线" w:ascii="Arial" w:cs="Arial" w:hAnsi="Arial"/>
          <w:b w:val="true"/>
          <w:sz w:val="22"/>
        </w:rPr>
        <w:t>宪法文本的工程实现</w:t>
      </w:r>
      <w:r>
        <w:rPr>
          <w:rFonts w:eastAsia="等线" w:ascii="Arial" w:cs="Arial" w:hAnsi="Arial"/>
          <w:sz w:val="22"/>
        </w:rPr>
        <w:t>的正确性（执法环节）。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1. 必要性分析：为何需要Rust编译器插件？</w:t>
      </w:r>
      <w:bookmarkEnd w:id="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当前保障体系的缺口</w:t>
      </w:r>
      <w:bookmarkEnd w:id="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保障环节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现有工具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覆盖范围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缺失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宪法立法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CNNL编译器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条款</w:t>
            </w:r>
            <w:r>
              <w:rPr>
                <w:rFonts w:eastAsia="等线" w:ascii="Arial" w:cs="Arial" w:hAnsi="Arial"/>
                <w:sz w:val="22"/>
              </w:rPr>
              <w:t>一致性、形式化验证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已规划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合约开发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Charter编译器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ACC-20、XTZH业务逻辑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已有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节点实现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Rust</w:t>
            </w:r>
            <w:r>
              <w:rPr>
                <w:rFonts w:eastAsia="等线" w:ascii="Arial" w:cs="Arial" w:hAnsi="Arial"/>
                <w:sz w:val="22"/>
              </w:rPr>
              <w:t>标准编译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语法正确、内存安全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 无宪法/规范专用检查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共识逻辑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单元测试+集成测试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功能正确性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 无法静态保证与CBPP参数一致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网络协议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CSNP测试套件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协议互通</w:t>
            </w:r>
            <w:r>
              <w:rPr>
                <w:rFonts w:eastAsia="等线" w:ascii="Arial" w:cs="Arial" w:hAnsi="Arial"/>
                <w:sz w:val="22"/>
              </w:rPr>
              <w:t>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 无法静态保证策略实现与宪法附录同步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痛点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CBP节点软件中硬编码的`Δt_min = 100ms`，若宪法附录修改为`150ms`，</w:t>
      </w:r>
      <w:r>
        <w:rPr>
          <w:rFonts w:eastAsia="等线" w:ascii="Arial" w:cs="Arial" w:hAnsi="Arial"/>
          <w:b w:val="true"/>
          <w:sz w:val="22"/>
        </w:rPr>
        <w:t>编译期无任何警告</w:t>
      </w:r>
      <w:r>
        <w:rPr>
          <w:rFonts w:eastAsia="等线" w:ascii="Arial" w:cs="Arial" w:hAnsi="Arial"/>
          <w:sz w:val="22"/>
        </w:rPr>
        <w:t>，依赖运维人员手动更新配置。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黄金储备管理合约中对交易所杠杆的计算公式，若与宪法条款`DYNAMIC_LEVERAGE_COEFFICIENT`定义不一致，</w:t>
      </w:r>
      <w:r>
        <w:rPr>
          <w:rFonts w:eastAsia="等线" w:ascii="Arial" w:cs="Arial" w:hAnsi="Arial"/>
          <w:b w:val="true"/>
          <w:sz w:val="22"/>
        </w:rPr>
        <w:t>只能在代码审查或运行时发现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预言机节点实现中遗漏对`Dilithium`签名的支持，但宪法已强制要求，</w:t>
      </w:r>
      <w:r>
        <w:rPr>
          <w:rFonts w:eastAsia="等线" w:ascii="Arial" w:cs="Arial" w:hAnsi="Arial"/>
          <w:b w:val="true"/>
          <w:sz w:val="22"/>
        </w:rPr>
        <w:t>编译时无法检测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Rust编译器插件正是为了填补这一缺口</w:t>
      </w:r>
      <w:r>
        <w:rPr>
          <w:rFonts w:eastAsia="等线" w:ascii="Arial" w:cs="Arial" w:hAnsi="Arial"/>
          <w:sz w:val="22"/>
        </w:rPr>
        <w:t>——将宪法条款、安全规范、性能契约</w:t>
      </w:r>
      <w:r>
        <w:rPr>
          <w:rFonts w:eastAsia="等线" w:ascii="Arial" w:cs="Arial" w:hAnsi="Arial"/>
          <w:b w:val="true"/>
          <w:sz w:val="22"/>
        </w:rPr>
        <w:t>编码为编译器可理解的静态断言</w:t>
      </w:r>
      <w:r>
        <w:rPr>
          <w:rFonts w:eastAsia="等线" w:ascii="Arial" w:cs="Arial" w:hAnsi="Arial"/>
          <w:sz w:val="22"/>
        </w:rPr>
        <w:t>，在`cargo build`时即发现问题。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1.2 与CNNL编译器的分工</w:t>
      </w:r>
      <w:bookmarkEnd w:id="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维度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CNNL编译器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Rust编译器插件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输入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.cnnl宪法条款</w:t>
            </w:r>
            <w:r>
              <w:rPr>
                <w:rFonts w:eastAsia="等线" w:ascii="Arial" w:cs="Arial" w:hAnsi="Arial"/>
                <w:sz w:val="22"/>
              </w:rPr>
              <w:t>源文件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*.rs系统实现源文件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验证对象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法律文本的逻辑自洽性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工程代码与法律的符合性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输出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NVM宪法字节码（供CEE执行）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编译错误/警告，或通过编译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执行时机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宪法提案阶段（立法）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节点软件发布前（执法）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用户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立法者、宪法法院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核心开发者、节点运维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关系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CNNL是制定规则，Rust插件是检查规则是否被正确实现</w:t>
      </w:r>
      <w:r>
        <w:rPr>
          <w:rFonts w:eastAsia="等线" w:ascii="Arial" w:cs="Arial" w:hAnsi="Arial"/>
          <w:sz w:val="22"/>
        </w:rPr>
        <w:t>。两者缺一不可。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" w:id="4"/>
      <w:r>
        <w:rPr>
          <w:rFonts w:eastAsia="等线" w:ascii="Arial" w:cs="Arial" w:hAnsi="Arial"/>
          <w:b w:val="true"/>
          <w:sz w:val="36"/>
        </w:rPr>
        <w:t>2. 技术方案：从轻量到深度</w:t>
      </w:r>
      <w:bookmarkEnd w:id="4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2.1 方案层次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根据开发成本与保障强度，提供</w:t>
      </w:r>
      <w:r>
        <w:rPr>
          <w:rFonts w:eastAsia="等线" w:ascii="Arial" w:cs="Arial" w:hAnsi="Arial"/>
          <w:b w:val="true"/>
          <w:sz w:val="22"/>
        </w:rPr>
        <w:t>三阶段演进路线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阶段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技术手段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优势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局限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推荐时间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1. 轻量级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自定义 Clippy Lint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无需修改Rust编译器，社区成熟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仅支持AST层面的模式匹配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 Q2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2. 中量级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过程宏（proc_macro）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可执行</w:t>
            </w:r>
            <w:r>
              <w:rPr>
                <w:rFonts w:eastAsia="等线" w:ascii="Arial" w:cs="Arial" w:hAnsi="Arial"/>
                <w:sz w:val="22"/>
              </w:rPr>
              <w:t>任意Rust代码进行复杂检查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需插入属性标记</w:t>
            </w:r>
            <w:r>
              <w:rPr>
                <w:rFonts w:eastAsia="等线" w:ascii="Arial" w:cs="Arial" w:hAnsi="Arial"/>
                <w:sz w:val="22"/>
              </w:rPr>
              <w:t>，侵入代码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 Q4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3. 深度定制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rustc_driver 插件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可访问类型信息、MIR、控制流图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依赖Rust编译器内部API，维护成本高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2027+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推荐策略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以Clippy Lint快速落地，以过程宏强化关键约束，保留rustc_driver作为远期战略储备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6" w:id="6"/>
      <w:r>
        <w:rPr>
          <w:rFonts w:eastAsia="等线" w:ascii="Arial" w:cs="Arial" w:hAnsi="Arial"/>
          <w:b w:val="true"/>
          <w:sz w:val="36"/>
        </w:rPr>
        <w:t>3. 阶段一：自定义Clippy Lint（2026 Q2-Q3）</w:t>
      </w:r>
      <w:bookmarkEnd w:id="6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3.1 实现方式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Clippy提供`late_pass`机制，允许第三方crate注册自定义lint。在`clippy.toml`或`deny.toml`中启用。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示例：宪法参数一致性lint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//! clippy_lint: CONSTITUTIONAL_PARAM_SYNC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declare_clippy_lint!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CONSTITUTIONAL_PARAM_SYNC,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correctness,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"detects hardcoded values that should be read from constitutional constants"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impl LateLintPass&lt;'_&gt; for ConstitutionalParamSync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fn check_expr(&amp;mut self, cx: &amp;LateContext, expr: &amp;Expr)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// 匹配 `let Δt_min = 100` 这样的赋值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if let ExprKind::Assign(ref lhs, ref rhs) = expr.kind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if let ExprKind::Path(ref qpath) = lhs.kind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if let Some(ident) = qpath.get_ident()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if ident.name == sym!(Δt_min)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if let ExprKind::Lit(ref lit) = rhs.kind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if let LitKind::Int(value, _) = lit.node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// 读取宪法附录中Δt_min的值（从本地文件或环境变量）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  let constitutional_value = load_const_parameter("CBPP_DT_MIN");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if value != constitutional_value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      span_lint(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          cx,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          CONSTITUTIONAL_PARAM_SYNC,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          expr.span,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          &amp;format!(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              "Δt_min hardcoded to {} but constitutional value is {}",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value, constitutional_value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),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      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部署</w:t>
      </w:r>
      <w:r>
        <w:rPr>
          <w:rFonts w:eastAsia="等线" w:ascii="Arial" w:cs="Arial" w:hAnsi="Arial"/>
          <w:sz w:val="22"/>
        </w:rPr>
        <w:t>：将自定义lint打包为`cargo-constitution`，集成到NAC持续集成流水线。`cargo constitution lint` 即可运行。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3.2 可检测的典型违例</w:t>
      </w:r>
      <w:bookmarkEnd w:id="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宪法条款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Rust代码违例模式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自定义Lint检测方法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CBP_HARDWARE_MIN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节点注册时硬编码4核CPU要求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匹配`hardware_score`常量，对比`constitution.h</w:t>
            </w:r>
            <w:r>
              <w:rPr>
                <w:rFonts w:eastAsia="等线" w:ascii="Arial" w:cs="Arial" w:hAnsi="Arial"/>
                <w:sz w:val="22"/>
              </w:rPr>
              <w:t>w_min_cores`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GOLD_RESERVE_AUDIT_FREQ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定时任务中使用</w:t>
            </w:r>
            <w:r>
              <w:rPr>
                <w:rFonts w:eastAsia="等线" w:ascii="Arial" w:cs="Arial" w:hAnsi="Arial"/>
                <w:sz w:val="22"/>
              </w:rPr>
              <w:t>`Duration::days(30)`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识别`tokio::time::interval`</w:t>
            </w:r>
            <w:r>
              <w:rPr>
                <w:rFonts w:eastAsia="等线" w:ascii="Arial" w:cs="Arial" w:hAnsi="Arial"/>
                <w:sz w:val="22"/>
              </w:rPr>
              <w:t>参数，与`AUDIT_INTERVAL_DAYS`比对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ORACLE_REPORTING_PENALTY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罚没金额写死`10000 XIC`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匹配`penalty_amount`字面量，与`ORACLE_ERROR_PEN</w:t>
            </w:r>
            <w:r>
              <w:rPr>
                <w:rFonts w:eastAsia="等线" w:ascii="Arial" w:cs="Arial" w:hAnsi="Arial"/>
                <w:sz w:val="22"/>
              </w:rPr>
              <w:t>ALTY`比对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XTZH_REDEMPTION_QUEUE_MAX_WAIT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队列处理函数</w:t>
            </w:r>
            <w:r>
              <w:rPr>
                <w:rFonts w:eastAsia="等线" w:ascii="Arial" w:cs="Arial" w:hAnsi="Arial"/>
                <w:sz w:val="22"/>
              </w:rPr>
              <w:t>中`if wait_time &gt; 30 * 86400`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识别`30</w:t>
            </w:r>
            <w:r>
              <w:rPr>
                <w:rFonts w:eastAsia="等线" w:ascii="Arial" w:cs="Arial" w:hAnsi="Arial"/>
                <w:sz w:val="22"/>
              </w:rPr>
              <w:t xml:space="preserve"> * 86400`模式，替换为`REDEMPTION_QUEUE_MAX_WAIT`引用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效果</w:t>
      </w:r>
      <w:r>
        <w:rPr>
          <w:rFonts w:eastAsia="等线" w:ascii="Arial" w:cs="Arial" w:hAnsi="Arial"/>
          <w:sz w:val="22"/>
        </w:rPr>
        <w:t>：无需修改Rust编译器，普通开发者`cargo check`即可收到宪法一致性警告。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9" w:id="9"/>
      <w:r>
        <w:rPr>
          <w:rFonts w:eastAsia="等线" w:ascii="Arial" w:cs="Arial" w:hAnsi="Arial"/>
          <w:b w:val="true"/>
          <w:sz w:val="36"/>
        </w:rPr>
        <w:t>4. 阶段二：过程宏驱动的宪法契约（2026 Q4-Q1）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对于无法通过简单AST模式匹配检测的复杂约束（如</w:t>
      </w:r>
      <w:r>
        <w:rPr>
          <w:rFonts w:eastAsia="等线" w:ascii="Arial" w:cs="Arial" w:hAnsi="Arial"/>
          <w:b w:val="true"/>
          <w:sz w:val="22"/>
        </w:rPr>
        <w:t>黄金覆盖率计算必须遵循125%底线</w:t>
      </w:r>
      <w:r>
        <w:rPr>
          <w:rFonts w:eastAsia="等线" w:ascii="Arial" w:cs="Arial" w:hAnsi="Arial"/>
          <w:sz w:val="22"/>
        </w:rPr>
        <w:t>），引入</w:t>
      </w:r>
      <w:r>
        <w:rPr>
          <w:rFonts w:eastAsia="等线" w:ascii="Arial" w:cs="Arial" w:hAnsi="Arial"/>
          <w:b w:val="true"/>
          <w:sz w:val="22"/>
        </w:rPr>
        <w:t>过程宏</w:t>
      </w:r>
      <w:r>
        <w:rPr>
          <w:rFonts w:eastAsia="等线" w:ascii="Arial" w:cs="Arial" w:hAnsi="Arial"/>
          <w:sz w:val="22"/>
        </w:rPr>
        <w:t>，将宪法条款“编译”为Rust代码中的静态断言。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4.1 设计：`#[constitutional]`属性宏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use nac_constitution::{constitutional, ConstitutionalState};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[constitutional(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clause = "XTZH_GOLD_COVERAGE",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condition = "coverage &gt;= 125%",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severity = "error"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fn calculate_coverage(gold_holding: u64, xtzh_supply: u64, xtzh_price: u64, w_au: u16) -&gt; f64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开发者实现的计算逻辑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(gold_holding as f64) * 10000.0 / (xtzh_supply as f64 * xtzh_price as f64 * w_au as f64)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宏展开行为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从编译期常量`CONSTITUTION_STATE`（由CNNL编译器生成）加载条款`XTZH_GOLD_COVERAGE`的当前有效约束。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在函数入口/出口插入动态检查（debug_assert!）或</w:t>
      </w:r>
      <w:r>
        <w:rPr>
          <w:rFonts w:eastAsia="等线" w:ascii="Arial" w:cs="Arial" w:hAnsi="Arial"/>
          <w:b w:val="true"/>
          <w:sz w:val="22"/>
        </w:rPr>
        <w:t>编译期常量传播后的静态断言</w:t>
      </w:r>
      <w:r>
        <w:rPr>
          <w:rFonts w:eastAsia="等线" w:ascii="Arial" w:cs="Arial" w:hAnsi="Arial"/>
          <w:sz w:val="22"/>
        </w:rPr>
        <w:t>（若参数均为常量）。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若违反约束，生成编译错误（`#![deny(warnings)]`时阻断编译）。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宪法状态内嵌</w:t>
      </w:r>
      <w:r>
        <w:rPr>
          <w:rFonts w:eastAsia="等线" w:ascii="Arial" w:cs="Arial" w:hAnsi="Arial"/>
          <w:sz w:val="22"/>
        </w:rPr>
        <w:t>：CNNL编译器每次通过修正案后，输出一个`constitution_state.rs`文件，包含所有宪法参数的常量定义及约束谓词。Rust代码通过`include!`引入，过程宏直接引用。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由CNNL编译器自动生成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mod constitutional_state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const XTZH_GOLD_COVERAGE_MIN: f64 = 1.25;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const XTZH_GOLD_COVERAGE_CLAUSE_HASH: &amp;str = "...";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fn check_gold_coverage(coverage: f64) -&gt; bool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coverage &gt;= XTZH_GOLD_COVERAGE_MIN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4.2 更复杂的场景：义务实现验证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宪法条款定义义务“CBP必须在收到有效交易后的500ms内将其纳入候选区块”。如何静态验证CBP节点实现是否满足？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无法完全静态判定</w:t>
      </w:r>
      <w:r>
        <w:rPr>
          <w:rFonts w:eastAsia="等线" w:ascii="Arial" w:cs="Arial" w:hAnsi="Arial"/>
          <w:sz w:val="22"/>
        </w:rPr>
        <w:t>（涉及运行时行为），但过程宏可以：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要求实现者</w:t>
      </w:r>
      <w:r>
        <w:rPr>
          <w:rFonts w:eastAsia="等线" w:ascii="Arial" w:cs="Arial" w:hAnsi="Arial"/>
          <w:b w:val="true"/>
          <w:sz w:val="22"/>
        </w:rPr>
        <w:t>显式标注</w:t>
      </w:r>
      <w:r>
        <w:rPr>
          <w:rFonts w:eastAsia="等线" w:ascii="Arial" w:cs="Arial" w:hAnsi="Arial"/>
          <w:sz w:val="22"/>
        </w:rPr>
        <w:t>其策略（如`#[block_producer_strategy("aggressive")]`）。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从宪法附录中读取允许的策略列表（如`["aggressive", "balanced"]`），若标注的策略不在列表中，</w:t>
      </w:r>
      <w:r>
        <w:rPr>
          <w:rFonts w:eastAsia="等线" w:ascii="Arial" w:cs="Arial" w:hAnsi="Arial"/>
          <w:b w:val="true"/>
          <w:sz w:val="22"/>
        </w:rPr>
        <w:t>编译错误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结合</w:t>
      </w:r>
      <w:r>
        <w:rPr>
          <w:rFonts w:eastAsia="等线" w:ascii="Arial" w:cs="Arial" w:hAnsi="Arial"/>
          <w:b w:val="true"/>
          <w:sz w:val="22"/>
        </w:rPr>
        <w:t>基准测试</w:t>
      </w:r>
      <w:r>
        <w:rPr>
          <w:rFonts w:eastAsia="等线" w:ascii="Arial" w:cs="Arial" w:hAnsi="Arial"/>
          <w:sz w:val="22"/>
        </w:rPr>
        <w:t>：在CI中运行性能测试，若p99延迟超过宪法阈值，</w:t>
      </w:r>
      <w:r>
        <w:rPr>
          <w:rFonts w:eastAsia="等线" w:ascii="Arial" w:cs="Arial" w:hAnsi="Arial"/>
          <w:b w:val="true"/>
          <w:sz w:val="22"/>
        </w:rPr>
        <w:t>测试失败</w:t>
      </w:r>
      <w:r>
        <w:rPr>
          <w:rFonts w:eastAsia="等线" w:ascii="Arial" w:cs="Arial" w:hAnsi="Arial"/>
          <w:sz w:val="22"/>
        </w:rPr>
        <w:t>（非编译期，但集成在`cargo test`中）。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2" w:id="12"/>
      <w:r>
        <w:rPr>
          <w:rFonts w:eastAsia="等线" w:ascii="Arial" w:cs="Arial" w:hAnsi="Arial"/>
          <w:b w:val="true"/>
          <w:sz w:val="36"/>
        </w:rPr>
        <w:t>5. 阶段三：rustc_driver深度定制（远期，2027+）</w:t>
      </w:r>
      <w:bookmarkEnd w:id="1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若未来NAC对安全性与合规性要求达到</w:t>
      </w:r>
      <w:r>
        <w:rPr>
          <w:rFonts w:eastAsia="等线" w:ascii="Arial" w:cs="Arial" w:hAnsi="Arial"/>
          <w:b w:val="true"/>
          <w:sz w:val="22"/>
        </w:rPr>
        <w:t>航天级</w:t>
      </w:r>
      <w:r>
        <w:rPr>
          <w:rFonts w:eastAsia="等线" w:ascii="Arial" w:cs="Arial" w:hAnsi="Arial"/>
          <w:sz w:val="22"/>
        </w:rPr>
        <w:t>，可考虑基于`rustc_driver`定制私有编译器分支，实现：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宪法控制流完整性</w:t>
      </w:r>
      <w:r>
        <w:rPr>
          <w:rFonts w:eastAsia="等线" w:ascii="Arial" w:cs="Arial" w:hAnsi="Arial"/>
          <w:sz w:val="22"/>
        </w:rPr>
        <w:t>：禁止在未经宪法收据验证的路径中调用关键状态修改函数。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信息流控制</w:t>
      </w:r>
      <w:r>
        <w:rPr>
          <w:rFonts w:eastAsia="等线" w:ascii="Arial" w:cs="Arial" w:hAnsi="Arial"/>
          <w:sz w:val="22"/>
        </w:rPr>
        <w:t>：确保敏感资产数据不会泄露到未经审计的日志通道。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定制编译错误</w:t>
      </w:r>
      <w:r>
        <w:rPr>
          <w:rFonts w:eastAsia="等线" w:ascii="Arial" w:cs="Arial" w:hAnsi="Arial"/>
          <w:sz w:val="22"/>
        </w:rPr>
        <w:t>：直接显示“该操作违反宪法第X条”。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依赖</w:t>
      </w:r>
      <w:r>
        <w:rPr>
          <w:rFonts w:eastAsia="等线" w:ascii="Arial" w:cs="Arial" w:hAnsi="Arial"/>
          <w:sz w:val="22"/>
        </w:rPr>
        <w:t>：Rust编译器团队尚未稳定`rustc_driver`插件ABI，此方案需NAC投入专门团队跟踪Rust nightly演进，并承担私有编译器维护成本。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推荐</w:t>
      </w:r>
      <w:r>
        <w:rPr>
          <w:rFonts w:eastAsia="等线" w:ascii="Arial" w:cs="Arial" w:hAnsi="Arial"/>
          <w:sz w:val="22"/>
        </w:rPr>
        <w:t>：在阶段一、阶段二无法满足需求前，</w:t>
      </w:r>
      <w:r>
        <w:rPr>
          <w:rFonts w:eastAsia="等线" w:ascii="Arial" w:cs="Arial" w:hAnsi="Arial"/>
          <w:b w:val="true"/>
          <w:sz w:val="22"/>
        </w:rPr>
        <w:t>不建议启动阶段三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3" w:id="13"/>
      <w:r>
        <w:rPr>
          <w:rFonts w:eastAsia="等线" w:ascii="Arial" w:cs="Arial" w:hAnsi="Arial"/>
          <w:b w:val="true"/>
          <w:sz w:val="36"/>
        </w:rPr>
        <w:t>6. 与现有工具链的集成</w:t>
      </w:r>
      <w:bookmarkEnd w:id="1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工具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集成方式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作用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cargo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通过`cargo</w:t>
            </w:r>
            <w:r>
              <w:rPr>
                <w:rFonts w:eastAsia="等线" w:ascii="Arial" w:cs="Arial" w:hAnsi="Arial"/>
                <w:sz w:val="22"/>
              </w:rPr>
              <w:t>-constitution`包装命令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一键运行所有宪法验证lint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rust-analyzer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自定义lint实时诊断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开发者在IDE中直接看到宪法</w:t>
            </w:r>
            <w:r>
              <w:rPr>
                <w:rFonts w:eastAsia="等线" w:ascii="Arial" w:cs="Arial" w:hAnsi="Arial"/>
                <w:sz w:val="22"/>
              </w:rPr>
              <w:t>一致性警告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CI/CD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GitHub Actions + `</w:t>
            </w:r>
            <w:r>
              <w:rPr>
                <w:rFonts w:eastAsia="等线" w:ascii="Arial" w:cs="Arial" w:hAnsi="Arial"/>
                <w:sz w:val="22"/>
              </w:rPr>
              <w:t>cargo constitution --deny`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阻止违反宪法的</w:t>
            </w:r>
            <w:r>
              <w:rPr>
                <w:rFonts w:eastAsia="等线" w:ascii="Arial" w:cs="Arial" w:hAnsi="Arial"/>
                <w:sz w:val="22"/>
              </w:rPr>
              <w:t>代码合入主分支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CNNL编译器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输出`constitution_state.rs`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为</w:t>
            </w:r>
            <w:r>
              <w:rPr>
                <w:rFonts w:eastAsia="等线" w:ascii="Arial" w:cs="Arial" w:hAnsi="Arial"/>
                <w:sz w:val="22"/>
              </w:rPr>
              <w:t>过程宏提供宪法参数唯一事实源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版本同步</w:t>
      </w:r>
      <w:r>
        <w:rPr>
          <w:rFonts w:eastAsia="等线" w:ascii="Arial" w:cs="Arial" w:hAnsi="Arial"/>
          <w:sz w:val="22"/>
        </w:rPr>
        <w:t>：每次宪法修正案通过后，CI自动重新生成`constitution_state.rs`，触发所有依赖该文件的crate重新编译。若代码无法通过新宪法检查，</w:t>
      </w:r>
      <w:r>
        <w:rPr>
          <w:rFonts w:eastAsia="等线" w:ascii="Arial" w:cs="Arial" w:hAnsi="Arial"/>
          <w:b w:val="true"/>
          <w:sz w:val="22"/>
        </w:rPr>
        <w:t>编译失败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4" w:id="14"/>
      <w:r>
        <w:rPr>
          <w:rFonts w:eastAsia="等线" w:ascii="Arial" w:cs="Arial" w:hAnsi="Arial"/>
          <w:b w:val="true"/>
          <w:sz w:val="36"/>
        </w:rPr>
        <w:t>7. 结论与建议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Rust编译器插件不仅是可行的，而且是NAC公链走向长期稳定、抗审查、合规内置的必然选择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我们建议：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立即立项</w:t>
      </w:r>
      <w:r>
        <w:rPr>
          <w:rFonts w:eastAsia="等线" w:ascii="Arial" w:cs="Arial" w:hAnsi="Arial"/>
          <w:sz w:val="22"/>
        </w:rPr>
        <w:t>：成立“宪法静态验证工作组”，由核心协议工程组+编译器专家组成。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2026 Q2</w:t>
      </w:r>
      <w:r>
        <w:rPr>
          <w:rFonts w:eastAsia="等线" w:ascii="Arial" w:cs="Arial" w:hAnsi="Arial"/>
          <w:sz w:val="22"/>
        </w:rPr>
        <w:t>：发布`cargo-constitution` v0.1，包含5-10个核心自定义lint，覆盖CBPP、XTZH、黄金储备的关键参数。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2026 Q4</w:t>
      </w:r>
      <w:r>
        <w:rPr>
          <w:rFonts w:eastAsia="等线" w:ascii="Arial" w:cs="Arial" w:hAnsi="Arial"/>
          <w:sz w:val="22"/>
        </w:rPr>
        <w:t>：发布`nac-constitution-macros` v0.1，支持`#[constitutional]`属性宏，完成与CNNL编译器生成的宪法状态文件的集成。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2027</w:t>
      </w:r>
      <w:r>
        <w:rPr>
          <w:rFonts w:eastAsia="等线" w:ascii="Arial" w:cs="Arial" w:hAnsi="Arial"/>
          <w:sz w:val="22"/>
        </w:rPr>
        <w:t>：根据实际使用反馈，评估rustc_driver定制成本与收益。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这项投入不是“奢侈品”，而是“救生艇”</w:t>
      </w:r>
      <w:r>
        <w:rPr>
          <w:rFonts w:eastAsia="等线" w:ascii="Arial" w:cs="Arial" w:hAnsi="Arial"/>
          <w:sz w:val="22"/>
        </w:rPr>
        <w:t>——当宪法条款数量超过100条，节点代码规模超过50万行时，没有编译期静态保障，人为错误将不可避免。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CNNL让宪法“写对”，Rust编译器插件让宪法“做对”</w:t>
      </w:r>
      <w:r>
        <w:rPr>
          <w:rFonts w:eastAsia="等线" w:ascii="Arial" w:cs="Arial" w:hAnsi="Arial"/>
          <w:sz w:val="22"/>
        </w:rPr>
        <w:t>。两者共同构成NAC数字宪法的完整技术闭环。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：NAC核心协议工程组 · 编译器与静态分析小组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：已提交宪法法院及核心开发组审议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本方案已纳入NAC 2026年度技术战略规划，编号TECH-2026-004。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413192">
    <w:lvl>
      <w:numFmt w:val="bullet"/>
      <w:suff w:val="tab"/>
      <w:lvlText w:val="•"/>
      <w:rPr>
        <w:color w:val="3370ff"/>
      </w:rPr>
    </w:lvl>
  </w:abstractNum>
  <w:abstractNum w:abstractNumId="2413193">
    <w:lvl>
      <w:numFmt w:val="bullet"/>
      <w:suff w:val="tab"/>
      <w:lvlText w:val="•"/>
      <w:rPr>
        <w:color w:val="3370ff"/>
      </w:rPr>
    </w:lvl>
  </w:abstractNum>
  <w:abstractNum w:abstractNumId="2413194">
    <w:lvl>
      <w:numFmt w:val="bullet"/>
      <w:suff w:val="tab"/>
      <w:lvlText w:val="•"/>
      <w:rPr>
        <w:color w:val="3370ff"/>
      </w:rPr>
    </w:lvl>
  </w:abstractNum>
  <w:abstractNum w:abstractNumId="2413195">
    <w:lvl>
      <w:numFmt w:val="bullet"/>
      <w:suff w:val="tab"/>
      <w:lvlText w:val="•"/>
      <w:rPr>
        <w:color w:val="3370ff"/>
      </w:rPr>
    </w:lvl>
  </w:abstractNum>
  <w:abstractNum w:abstractNumId="2413196">
    <w:lvl>
      <w:numFmt w:val="bullet"/>
      <w:suff w:val="tab"/>
      <w:lvlText w:val="•"/>
      <w:rPr>
        <w:color w:val="3370ff"/>
      </w:rPr>
    </w:lvl>
  </w:abstractNum>
  <w:abstractNum w:abstractNumId="2413197">
    <w:lvl>
      <w:start w:val="1"/>
      <w:numFmt w:val="decimal"/>
      <w:suff w:val="tab"/>
      <w:lvlText w:val="%1."/>
      <w:rPr>
        <w:color w:val="3370ff"/>
      </w:rPr>
    </w:lvl>
  </w:abstractNum>
  <w:abstractNum w:abstractNumId="2413198">
    <w:lvl>
      <w:start w:val="2"/>
      <w:numFmt w:val="decimal"/>
      <w:suff w:val="tab"/>
      <w:lvlText w:val="%1."/>
      <w:rPr>
        <w:color w:val="3370ff"/>
      </w:rPr>
    </w:lvl>
  </w:abstractNum>
  <w:abstractNum w:abstractNumId="2413199">
    <w:lvl>
      <w:start w:val="3"/>
      <w:numFmt w:val="decimal"/>
      <w:suff w:val="tab"/>
      <w:lvlText w:val="%1."/>
      <w:rPr>
        <w:color w:val="3370ff"/>
      </w:rPr>
    </w:lvl>
  </w:abstractNum>
  <w:abstractNum w:abstractNumId="2413200">
    <w:lvl>
      <w:numFmt w:val="bullet"/>
      <w:suff w:val="tab"/>
      <w:lvlText w:val="•"/>
      <w:rPr>
        <w:color w:val="3370ff"/>
      </w:rPr>
    </w:lvl>
  </w:abstractNum>
  <w:abstractNum w:abstractNumId="2413201">
    <w:lvl>
      <w:numFmt w:val="bullet"/>
      <w:suff w:val="tab"/>
      <w:lvlText w:val="•"/>
      <w:rPr>
        <w:color w:val="3370ff"/>
      </w:rPr>
    </w:lvl>
  </w:abstractNum>
  <w:abstractNum w:abstractNumId="2413202">
    <w:lvl>
      <w:numFmt w:val="bullet"/>
      <w:suff w:val="tab"/>
      <w:lvlText w:val="•"/>
      <w:rPr>
        <w:color w:val="3370ff"/>
      </w:rPr>
    </w:lvl>
  </w:abstractNum>
  <w:abstractNum w:abstractNumId="2413203">
    <w:lvl>
      <w:numFmt w:val="bullet"/>
      <w:suff w:val="tab"/>
      <w:lvlText w:val="•"/>
      <w:rPr>
        <w:color w:val="3370ff"/>
      </w:rPr>
    </w:lvl>
  </w:abstractNum>
  <w:abstractNum w:abstractNumId="2413204">
    <w:lvl>
      <w:numFmt w:val="bullet"/>
      <w:suff w:val="tab"/>
      <w:lvlText w:val="•"/>
      <w:rPr>
        <w:color w:val="3370ff"/>
      </w:rPr>
    </w:lvl>
  </w:abstractNum>
  <w:abstractNum w:abstractNumId="2413205">
    <w:lvl>
      <w:numFmt w:val="bullet"/>
      <w:suff w:val="tab"/>
      <w:lvlText w:val="•"/>
      <w:rPr>
        <w:color w:val="3370ff"/>
      </w:rPr>
    </w:lvl>
  </w:abstractNum>
  <w:abstractNum w:abstractNumId="2413206">
    <w:lvl>
      <w:start w:val="1"/>
      <w:numFmt w:val="decimal"/>
      <w:suff w:val="tab"/>
      <w:lvlText w:val="%1."/>
      <w:rPr>
        <w:color w:val="3370ff"/>
      </w:rPr>
    </w:lvl>
  </w:abstractNum>
  <w:abstractNum w:abstractNumId="2413207">
    <w:lvl>
      <w:start w:val="2"/>
      <w:numFmt w:val="decimal"/>
      <w:suff w:val="tab"/>
      <w:lvlText w:val="%1."/>
      <w:rPr>
        <w:color w:val="3370ff"/>
      </w:rPr>
    </w:lvl>
  </w:abstractNum>
  <w:abstractNum w:abstractNumId="2413208">
    <w:lvl>
      <w:start w:val="3"/>
      <w:numFmt w:val="decimal"/>
      <w:suff w:val="tab"/>
      <w:lvlText w:val="%1."/>
      <w:rPr>
        <w:color w:val="3370ff"/>
      </w:rPr>
    </w:lvl>
  </w:abstractNum>
  <w:abstractNum w:abstractNumId="2413209">
    <w:lvl>
      <w:start w:val="4"/>
      <w:numFmt w:val="decimal"/>
      <w:suff w:val="tab"/>
      <w:lvlText w:val="%1."/>
      <w:rPr>
        <w:color w:val="3370ff"/>
      </w:rPr>
    </w:lvl>
  </w:abstractNum>
  <w:num w:numId="1">
    <w:abstractNumId w:val="2413192"/>
  </w:num>
  <w:num w:numId="2">
    <w:abstractNumId w:val="2413193"/>
  </w:num>
  <w:num w:numId="3">
    <w:abstractNumId w:val="2413194"/>
  </w:num>
  <w:num w:numId="4">
    <w:abstractNumId w:val="2413195"/>
  </w:num>
  <w:num w:numId="5">
    <w:abstractNumId w:val="2413196"/>
  </w:num>
  <w:num w:numId="6">
    <w:abstractNumId w:val="2413197"/>
  </w:num>
  <w:num w:numId="7">
    <w:abstractNumId w:val="2413198"/>
  </w:num>
  <w:num w:numId="8">
    <w:abstractNumId w:val="2413199"/>
  </w:num>
  <w:num w:numId="9">
    <w:abstractNumId w:val="2413200"/>
  </w:num>
  <w:num w:numId="10">
    <w:abstractNumId w:val="2413201"/>
  </w:num>
  <w:num w:numId="11">
    <w:abstractNumId w:val="2413202"/>
  </w:num>
  <w:num w:numId="12">
    <w:abstractNumId w:val="2413203"/>
  </w:num>
  <w:num w:numId="13">
    <w:abstractNumId w:val="2413204"/>
  </w:num>
  <w:num w:numId="14">
    <w:abstractNumId w:val="2413205"/>
  </w:num>
  <w:num w:numId="15">
    <w:abstractNumId w:val="2413206"/>
  </w:num>
  <w:num w:numId="16">
    <w:abstractNumId w:val="2413207"/>
  </w:num>
  <w:num w:numId="17">
    <w:abstractNumId w:val="2413208"/>
  </w:num>
  <w:num w:numId="18">
    <w:abstractNumId w:val="2413209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2026-02-13T00:09:28Z</dcterms:created>
  <dc:creator>Apache POI</dc:creator>
</cp:coreProperties>
</file>