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  <w:pStyle w:val="MdHeading1"/>
      </w:pPr>
      <w:r>
        <w:t xml:space="preserve">NAC L0/L1层正确集成方案</w:t>
      </w:r>
    </w:p>
    <w:p>
      <w:pPr>
        <w:pStyle w:val="Heading2"/>
        <w:pStyle w:val="MdHeading2"/>
      </w:pPr>
      <w:r>
        <w:t xml:space="preserve">基于CSNP V2.0白皮书的架构设计</w:t>
      </w:r>
    </w:p>
    <w:p>
      <w:pPr>
        <w:pStyle w:val="MdParagraph"/>
      </w:pPr>
      <w:r>
        <w:rPr>
          <w:rStyle w:val="MdStrong"/>
          <w:b/>
          <w:bCs/>
        </w:rPr>
        <w:t xml:space="preserve">文档版本</w:t>
      </w:r>
      <w:r>
        <w:t xml:space="preserve">: v1.0.0</w:t>
      </w:r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创建日期</w:t>
      </w:r>
      <w:r>
        <w:t xml:space="preserve">: 2026-02-13</w:t>
      </w:r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适用范围</w:t>
      </w:r>
      <w:r>
        <w:t xml:space="preserve">: NAC公链XTZH系统L0/L1层集成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一、核心设计原则</w:t>
      </w:r>
    </w:p>
    <w:p>
      <w:pPr>
        <w:pStyle w:val="Heading3"/>
        <w:pStyle w:val="MdHeading3"/>
      </w:pPr>
      <w:r>
        <w:t xml:space="preserve">1.1 NAC原生架构约束</w:t>
      </w:r>
    </w:p>
    <w:p>
      <w:pPr>
        <w:pStyle w:val="MdParagraph"/>
      </w:pPr>
      <w:r>
        <w:t xml:space="preserve">根据项目要求，</w:t>
      </w:r>
      <w:r>
        <w:rPr>
          <w:rStyle w:val="MdStrong"/>
          <w:b/>
          <w:bCs/>
        </w:rPr>
        <w:t xml:space="preserve">所有功能必须遵循NAC四层架构</w:t>
      </w:r>
      <w:r>
        <w:t xml:space="preserve">：</w:t>
      </w:r>
    </w:p>
    <w:p>
      <w:pPr>
        <w:pStyle w:val="MdSpace"/>
        <w:spacing w:before="0" w:after="60"/>
      </w:pP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L2: 宪法治理层 (Constitutional Layer)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    └─ 定义网络规则、传播规则、惩罚条款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    └─ 使用Charter智能合约实现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 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L1: 协议层 (Protocol Layer)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    └─ UDM模块定义 (nac-udm)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    └─ NVM指令扩展 (nvm_v2)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    └─ Charter智能合约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 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L0: 网络层 (Network Layer)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    └─ CSNP网络协议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    └─ CBPP共识机制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    └─ BLS密码学基础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 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物理层: 互联网基础设施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1.2 禁止的实现方式</w:t>
      </w:r>
    </w:p>
    <w:p>
      <w:pPr>
        <w:pStyle w:val="MdParagraph"/>
      </w:pPr>
      <w:r>
        <w:t xml:space="preserve">❌ </w:t>
      </w:r>
      <w:r>
        <w:rPr>
          <w:rStyle w:val="MdStrong"/>
          <w:b/>
          <w:bCs/>
        </w:rPr>
        <w:t xml:space="preserve">禁止创建独立的Rust模块</w:t>
      </w:r>
      <w:r>
        <w:t xml:space="preserve">（如nac-bls, nac-csnp等）</w:t>
      </w:r>
      <w:r>
        <w:rPr>
          <w:rStyle w:val="MdBr"/>
        </w:rPr>
        <w:br/>
        <w:t xml:space="preserve"/>
      </w:r>
      <w:r>
        <w:t xml:space="preserve">❌ </w:t>
      </w:r>
      <w:r>
        <w:rPr>
          <w:rStyle w:val="MdStrong"/>
          <w:b/>
          <w:bCs/>
        </w:rPr>
        <w:t xml:space="preserve">禁止模仿以太坊或其他公链</w:t>
      </w:r>
      <w:r>
        <w:t xml:space="preserve">（ERC标准、Solidity语法等）</w:t>
      </w:r>
      <w:r>
        <w:rPr>
          <w:rStyle w:val="MdBr"/>
        </w:rPr>
        <w:br/>
        <w:t xml:space="preserve"/>
      </w:r>
      <w:r>
        <w:t xml:space="preserve">❌ </w:t>
      </w:r>
      <w:r>
        <w:rPr>
          <w:rStyle w:val="MdStrong"/>
          <w:b/>
          <w:bCs/>
        </w:rPr>
        <w:t xml:space="preserve">禁止绕过Charter编译器</w:t>
      </w:r>
      <w:r>
        <w:rPr>
          <w:rStyle w:val="MdBr"/>
        </w:rPr>
        <w:br/>
        <w:t xml:space="preserve"/>
      </w:r>
      <w:r>
        <w:t xml:space="preserve">❌ </w:t>
      </w:r>
      <w:r>
        <w:rPr>
          <w:rStyle w:val="MdStrong"/>
          <w:b/>
          <w:bCs/>
        </w:rPr>
        <w:t xml:space="preserve">禁止绕过UDM定义系统</w:t>
      </w:r>
      <w:r>
        <w:rPr>
          <w:rStyle w:val="MdBr"/>
        </w:rPr>
        <w:br/>
        <w:t xml:space="preserve"/>
      </w:r>
      <w:r>
        <w:t xml:space="preserve">❌ </w:t>
      </w:r>
      <w:r>
        <w:rPr>
          <w:rStyle w:val="MdStrong"/>
          <w:b/>
          <w:bCs/>
        </w:rPr>
        <w:t xml:space="preserve">禁止绕过NVM虚拟机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1.3 正确的实现方式</w:t>
      </w:r>
    </w:p>
    <w:p>
      <w:pPr>
        <w:pStyle w:val="MdParagraph"/>
      </w:pPr>
      <w:r>
        <w:t xml:space="preserve">✅ </w:t>
      </w:r>
      <w:r>
        <w:rPr>
          <w:rStyle w:val="MdStrong"/>
          <w:b/>
          <w:bCs/>
        </w:rPr>
        <w:t xml:space="preserve">在nac-udm中定义UDM模块</w:t>
      </w:r>
      <w:r>
        <w:t xml:space="preserve">（数据结构、协议格式）</w:t>
      </w:r>
      <w:r>
        <w:rPr>
          <w:rStyle w:val="MdBr"/>
        </w:rPr>
        <w:br/>
        <w:t xml:space="preserve"/>
      </w:r>
      <w:r>
        <w:t xml:space="preserve">✅ </w:t>
      </w:r>
      <w:r>
        <w:rPr>
          <w:rStyle w:val="MdStrong"/>
          <w:b/>
          <w:bCs/>
        </w:rPr>
        <w:t xml:space="preserve">在NVM中实现操作指令</w:t>
      </w:r>
      <w:r>
        <w:t xml:space="preserve">（虚拟机指令集扩展）</w:t>
      </w:r>
      <w:r>
        <w:rPr>
          <w:rStyle w:val="MdBr"/>
        </w:rPr>
        <w:br/>
        <w:t xml:space="preserve"/>
      </w:r>
      <w:r>
        <w:t xml:space="preserve">✅ </w:t>
      </w:r>
      <w:r>
        <w:rPr>
          <w:rStyle w:val="MdStrong"/>
          <w:b/>
          <w:bCs/>
        </w:rPr>
        <w:t xml:space="preserve">使用Charter语言编写智能合约</w:t>
      </w:r>
      <w:r>
        <w:t xml:space="preserve">（业务逻辑、治理规则）</w:t>
      </w:r>
      <w:r>
        <w:rPr>
          <w:rStyle w:val="MdBr"/>
        </w:rPr>
        <w:br/>
        <w:t xml:space="preserve"/>
      </w:r>
      <w:r>
        <w:t xml:space="preserve">✅ </w:t>
      </w:r>
      <w:r>
        <w:rPr>
          <w:rStyle w:val="MdStrong"/>
          <w:b/>
          <w:bCs/>
        </w:rPr>
        <w:t xml:space="preserve">使用GNACS编码系统</w:t>
      </w:r>
      <w:r>
        <w:t xml:space="preserve">（48位资产分类编码）</w:t>
      </w:r>
      <w:r>
        <w:rPr>
          <w:rStyle w:val="MdBr"/>
        </w:rPr>
        <w:br/>
        <w:t xml:space="preserve"/>
      </w:r>
      <w:r>
        <w:t xml:space="preserve">✅ </w:t>
      </w:r>
      <w:r>
        <w:rPr>
          <w:rStyle w:val="MdStrong"/>
          <w:b/>
          <w:bCs/>
        </w:rPr>
        <w:t xml:space="preserve">使用ACC-20协议</w:t>
      </w:r>
      <w:r>
        <w:t xml:space="preserve">（NAC原生资产协议）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二、CSNP V2.0核心组件映射</w:t>
      </w:r>
    </w:p>
    <w:p>
      <w:pPr>
        <w:pStyle w:val="MdParagraph"/>
      </w:pPr>
      <w:r>
        <w:t xml:space="preserve">根据CSNP V2.0白皮书，五大核心组件的正确实现方式：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2.1 全域身份目录服务 (GIDS)</w:t>
      </w:r>
    </w:p>
    <w:p>
      <w:pPr>
        <w:pStyle w:val="MdParagraph"/>
      </w:pPr>
      <w:r>
        <w:rPr>
          <w:rStyle w:val="MdStrong"/>
          <w:b/>
          <w:bCs/>
        </w:rPr>
        <w:t xml:space="preserve">实现层级</w:t>
      </w:r>
      <w:r>
        <w:t xml:space="preserve">: L1协议层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实现方式</w:t>
      </w:r>
      <w:r>
        <w:t xml:space="preserve">: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UDM定义</w:t>
      </w:r>
      <w:r>
        <w:t xml:space="preserve"> (nac-udm/src/modules/identity.rs):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UDM 0x00040001: DID身份记录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UDM 0x00040002: 多链DID映射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UDM 0x00040003: 全域信誉记录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NVM指令</w:t>
      </w:r>
      <w:r>
        <w:t xml:space="preserve"> (nvm_v2/src/instructions/identity.rs):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- 0xC0 DID_RESOLVE: 解析DID到地址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- 0xC1 DID_REGISTER: 注册多链DID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- 0xC2 REPUTATION_GET: 获取信誉分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- 0xC3 REPUTATION_UPDATE: 更新信誉分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Charter合约</w:t>
      </w:r>
      <w:r>
        <w:t xml:space="preserve"> (charter-contracts/GIDS.charter):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contract GlobalIdentityDirectory {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mapping(bytes32 =&gt; MultiChainDID) did_registry;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mapping(bytes32 =&gt; uint256) reputation_scores;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function resolveDID(bytes32 did) -&gt; Address;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function registerMultiChainDID(bytes32 root_did, ChainID chain, Address addr);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function getReputation(bytes32 did) -&gt; uint256;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}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2.2 多链自适应连接管理器 (MA-RCM)</w:t>
      </w:r>
    </w:p>
    <w:p>
      <w:pPr>
        <w:pStyle w:val="MdParagraph"/>
      </w:pPr>
      <w:r>
        <w:rPr>
          <w:rStyle w:val="MdStrong"/>
          <w:b/>
          <w:bCs/>
        </w:rPr>
        <w:t xml:space="preserve">实现层级</w:t>
      </w:r>
      <w:r>
        <w:t xml:space="preserve">: L1协议层 + L0网络层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实现方式</w:t>
      </w:r>
      <w:r>
        <w:t xml:space="preserve">: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UDM定义</w:t>
      </w:r>
      <w:r>
        <w:t xml:space="preserve"> (nac-udm/src/modules/network.rs):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UDM 0x00050001: 节点连接记录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UDM 0x00050002: 跨链连接拓扑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UDM 0x00050003: 连接策略矩阵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NVM指令</w:t>
      </w:r>
      <w:r>
        <w:t xml:space="preserve"> (nvm_v2/src/instructions/network.rs):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- 0xC4 CONN_ESTABLISH: 建立连接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- 0xC5 CONN_DISCOVER: 发现跨链节点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- 0xC6 CONN_OPTIMIZE: 优化连接拓扑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Charter合约</w:t>
      </w:r>
      <w:r>
        <w:t xml:space="preserve"> (charter-contracts/ConnectionManager.charter):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contract MultiChainConnectionManager {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mapping(NodeID =&gt; ConnectionPolicy) policies;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mapping(ChainID =&gt; NodeID[]) chain_nodes;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function establishConnection(NodeID peer, ChainID chain);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function discoverCrossChainNodes(ChainID target_chain) -&gt; NodeID[];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}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2.3 资产感知传播引擎 (AA-PE)</w:t>
      </w:r>
    </w:p>
    <w:p>
      <w:pPr>
        <w:pStyle w:val="MdParagraph"/>
      </w:pPr>
      <w:r>
        <w:rPr>
          <w:rStyle w:val="MdStrong"/>
          <w:b/>
          <w:bCs/>
        </w:rPr>
        <w:t xml:space="preserve">实现层级</w:t>
      </w:r>
      <w:r>
        <w:t xml:space="preserve">: L1协议层（核心功能）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实现方式</w:t>
      </w:r>
      <w:r>
        <w:t xml:space="preserve">: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UDM定义</w:t>
      </w:r>
      <w:r>
        <w:t xml:space="preserve"> (nac-udm/src/modules/propagation.rs):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UDM 0x00060001: GNACS传播策略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UDM 0x00060002: 资产路由规则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UDM 0x00060003: 传播优先级队列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NVM指令</w:t>
      </w:r>
      <w:r>
        <w:t xml:space="preserve"> (nvm_v2/src/instructions/propagation.rs):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- 0xC7 GNACS_PARSE: 解析GNACS编码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- 0xC8 ROUTE_DECIDE: 决定路由策略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- 0xC9 PRIORITY_CALC: 计算传播优先级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Charter合约</w:t>
      </w:r>
      <w:r>
        <w:t xml:space="preserve"> (charter-contracts/AssetPropagation.charter):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contract AssetAwarePropagationEngine {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mapping(bytes6 =&gt; PropagationStrategy) gnacs_strategies;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function parsGNACS(bytes6 gnacs_code) -&gt; AssetAttributes;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function decidePropagationStrategy(bytes6 gnacs_code) -&gt; Strategy;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function broadcastTransaction(Transaction tx, Strategy strategy);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}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2.4 碎片化交易聚合网络 (FTAN)</w:t>
      </w:r>
    </w:p>
    <w:p>
      <w:pPr>
        <w:pStyle w:val="MdParagraph"/>
      </w:pPr>
      <w:r>
        <w:rPr>
          <w:rStyle w:val="MdStrong"/>
          <w:b/>
          <w:bCs/>
        </w:rPr>
        <w:t xml:space="preserve">实现层级</w:t>
      </w:r>
      <w:r>
        <w:t xml:space="preserve">: L1协议层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实现方式</w:t>
      </w:r>
      <w:r>
        <w:t xml:space="preserve">: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UDM定义</w:t>
      </w:r>
      <w:r>
        <w:t xml:space="preserve"> (nac-udm/src/modules/fragmentation.rs):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UDM 0x00070001: 碎片化交易记录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UDM 0x00070002: 聚合节点注册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UDM 0x00070003: 批量签名验证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NVM指令</w:t>
      </w:r>
      <w:r>
        <w:t xml:space="preserve"> (nvm_v2/src/instructions/fragmentation.rs):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- 0xCA FRAG_AGGREGATE: 聚合碎片交易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- 0xCB BLS_AGG_VERIFY: 验证BLS聚合签名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- 0xCC BATCH_PROCESS: 批量处理交易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Charter合约</w:t>
      </w:r>
      <w:r>
        <w:t xml:space="preserve"> (charter-contracts/FragmentAggregation.charter):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contract FragmentedTransactionAggregator {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mapping(bytes32 =&gt; Transaction[]) fragment_pools;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mapping(Address =&gt; uint256) aggregator_stakes;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function aggregateTransactions(bytes32 fragment_token) -&gt; AggregatedTx;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function verifyAggregatedSignature(AggregatedTx tx) -&gt; bool;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}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2.5 统一跨链审计器 (UCA)</w:t>
      </w:r>
    </w:p>
    <w:p>
      <w:pPr>
        <w:pStyle w:val="MdParagraph"/>
      </w:pPr>
      <w:r>
        <w:rPr>
          <w:rStyle w:val="MdStrong"/>
          <w:b/>
          <w:bCs/>
        </w:rPr>
        <w:t xml:space="preserve">实现层级</w:t>
      </w:r>
      <w:r>
        <w:t xml:space="preserve">: L1协议层 + L2宪法层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实现方式</w:t>
      </w:r>
      <w:r>
        <w:t xml:space="preserve">: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UDM定义</w:t>
      </w:r>
      <w:r>
        <w:t xml:space="preserve"> (nac-udm/src/modules/audit.rs):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UDM 0x00080001: 跨链行为记录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UDM 0x00080002: 违规证据存储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UDM 0x00080003: 跨链惩罚记录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NVM指令</w:t>
      </w:r>
      <w:r>
        <w:t xml:space="preserve"> (nvm_v2/src/instructions/audit.rs):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- 0xCD AUDIT_RECORD: 记录跨链行为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- 0xCE AUDIT_VERIFY: 验证行为证明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- 0xCF PENALTY_APPLY: 应用跨链惩罚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Charter合约</w:t>
      </w:r>
      <w:r>
        <w:t xml:space="preserve"> (charter-contracts/CrossChainAuditor.charter):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contract UnifiedCrossChainAuditor {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mapping(NodeID =&gt; CrossChainBehavior[]) behavior_logs;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mapping(NodeID =&gt; Penalty[]) penalties;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function recordBehavior(NodeID node, ChainID chain, Action action);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function submitViolationEvidence(NodeID accused, Evidence proof);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function applyPenalty(NodeID node, Penalty penalty);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}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三、BLS签名系统集成</w:t>
      </w:r>
    </w:p>
    <w:p>
      <w:pPr>
        <w:pStyle w:val="Heading3"/>
        <w:pStyle w:val="MdHeading3"/>
      </w:pPr>
      <w:r>
        <w:t xml:space="preserve">3.1 实现层级</w:t>
      </w:r>
    </w:p>
    <w:p>
      <w:pPr>
        <w:pStyle w:val="MdParagraph"/>
      </w:pPr>
      <w:r>
        <w:rPr>
          <w:rStyle w:val="MdStrong"/>
          <w:b/>
          <w:bCs/>
        </w:rPr>
        <w:t xml:space="preserve">L0层</w:t>
      </w:r>
      <w:r>
        <w:t xml:space="preserve">: BLS密码学基础（通过NVM指令实现）</w:t>
      </w:r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L1层</w:t>
      </w:r>
      <w:r>
        <w:t xml:space="preserve">: BLS签名验证协议（通过UDM定义）</w:t>
      </w:r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L2层</w:t>
      </w:r>
      <w:r>
        <w:t xml:space="preserve">: BLS治理规则（通过Charter合约）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3.2 实现方式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UDM定义</w:t>
      </w:r>
      <w:r>
        <w:t xml:space="preserve"> (nac-udm/src/modules/crypto.rs):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UDM 0x00090001: BLS公钥记录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UDM 0x00090002: BLS签名记录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UDM 0x00090003: BLS聚合签名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NVM指令</w:t>
      </w:r>
      <w:r>
        <w:t xml:space="preserve"> (nvm_v2/src/instructions/crypto.rs):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- 0xB0 BLS_KEYGEN: 生成BLS密钥对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- 0xB1 BLS_SIGN: BLS签名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- 0xB2 BLS_VERIFY: BLS验证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- 0xB3 BLS_AGGREGATE: BLS聚合签名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Charter合约</w:t>
      </w:r>
      <w:r>
        <w:t xml:space="preserve"> (charter-contracts/BLSRegistry.charter):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contract BLSSignatureRegistry {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mapping(Address =&gt; BLSPublicKey) public_keys;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function registerBLSKey(BLSPublicKey pubkey);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function verifyBLSSignature(Message msg, BLSSignature sig, Address signer) -&gt; bool;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function verifyAggregatedSignature(Message msg, BLSSignature agg_sig, Address[] signers) -&gt; bool;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}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四、CBPP共识宪政约束集成</w:t>
      </w:r>
    </w:p>
    <w:p>
      <w:pPr>
        <w:pStyle w:val="Heading3"/>
        <w:pStyle w:val="MdHeading3"/>
      </w:pPr>
      <w:r>
        <w:t xml:space="preserve">4.1 实现层级</w:t>
      </w:r>
    </w:p>
    <w:p>
      <w:pPr>
        <w:pStyle w:val="MdParagraph"/>
      </w:pPr>
      <w:r>
        <w:rPr>
          <w:rStyle w:val="MdStrong"/>
          <w:b/>
          <w:bCs/>
        </w:rPr>
        <w:t xml:space="preserve">L1层</w:t>
      </w:r>
      <w:r>
        <w:t xml:space="preserve">: CBPP共识协议（通过UDM定义）</w:t>
      </w:r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L2层</w:t>
      </w:r>
      <w:r>
        <w:t xml:space="preserve">: 宪政约束规则（通过Charter合约）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4.2 实现方式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UDM定义</w:t>
      </w:r>
      <w:r>
        <w:t xml:space="preserve"> (nac-udm/src/modules/consensus.rs):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UDM 0x000A0001: CBP节点注册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UDM 0x000A0002: 区块生产记录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UDM 0x000A0003: 宪政约束验证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NVM指令</w:t>
      </w:r>
      <w:r>
        <w:t xml:space="preserve"> (nvm_v2/src/instructions/consensus.rs):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- 0xD0 CBP_REGISTER: 注册CBP节点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- 0xD1 BLOCK_PRODUCE: 生产区块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- 0xD2 CONST_VERIFY: 验证宪政约束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- 0xD3 RECEIPT_WEIGHT: 计算收据权重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Charter合约</w:t>
      </w:r>
      <w:r>
        <w:t xml:space="preserve"> (charter-contracts/CBPPConsensus.charter):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contract ConstitutionalBlockProduction {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mapping(Address =&gt; CBPNode) cbp_nodes;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ConstitutionalConstraints constraints;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function registerCBP(Address node, Stake stake);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function produceBlock(Block block) -&gt; bool;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function verifyConstitutionalConstraints(Block block) -&gt; bool;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function calculateReceiptWeight(Receipt[] receipts) -&gt; uint256;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}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五、NCCL宪法条款集成</w:t>
      </w:r>
    </w:p>
    <w:p>
      <w:pPr>
        <w:pStyle w:val="Heading3"/>
        <w:pStyle w:val="MdHeading3"/>
      </w:pPr>
      <w:r>
        <w:t xml:space="preserve">5.1 实现层级</w:t>
      </w:r>
    </w:p>
    <w:p>
      <w:pPr>
        <w:pStyle w:val="MdParagraph"/>
      </w:pPr>
      <w:r>
        <w:rPr>
          <w:rStyle w:val="MdStrong"/>
          <w:b/>
          <w:bCs/>
        </w:rPr>
        <w:t xml:space="preserve">L2层</w:t>
      </w:r>
      <w:r>
        <w:t xml:space="preserve">: 宪法条款定义（通过Charter合约）</w:t>
      </w:r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L1层</w:t>
      </w:r>
      <w:r>
        <w:t xml:space="preserve">: 条款验证协议（通过UDM定义）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5.2 实现方式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UDM定义</w:t>
      </w:r>
      <w:r>
        <w:t xml:space="preserve"> (nac-udm/src/modules/constitutional.rs):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UDM 0x000B0001: 宪法条款记录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UDM 0x000B0002: 条款验证规则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UDM 0x000B0003: 违宪证明记录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NVM指令</w:t>
      </w:r>
      <w:r>
        <w:t xml:space="preserve"> (nvm_v2/src/instructions/constitutional.rs):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- 0xD4 CLAUSE_LOAD: 加载宪法条款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- 0xD5 CLAUSE_VERIFY: 验证条款合规性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- 0xD6 VIOLATION_RECORD: 记录违宪行为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Charter合约</w:t>
      </w:r>
      <w:r>
        <w:t xml:space="preserve"> (charter-contracts/ConstitutionalClauses.charter):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contract NCCLConstitutionalClauses {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mapping(uint256 =&gt; Clause) clauses;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mapping(bytes32 =&gt; ViolationRecord) violations;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function defineClause(uint256 clause_id, string description, ValidationRule rule);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function verifyCompliance(Transaction tx, uint256[] applicable_clauses) -&gt; bool;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    function recordViolation(bytes32 tx_hash, uint256 clause_id, Evidence proof);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0000"/>
          <w:sz w:val="20"/>
          <w:szCs w:val="20"/>
        </w:rPr>
        <w:t xml:space="preserve">}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六、XTZH系统集成点</w:t>
      </w:r>
    </w:p>
    <w:p>
      <w:pPr>
        <w:pStyle w:val="Heading3"/>
        <w:pStyle w:val="MdHeading3"/>
      </w:pPr>
      <w:r>
        <w:t xml:space="preserve">6.1 XTZH与CSNP V2.0的集成</w:t>
      </w:r>
    </w:p>
    <w:p>
      <w:pPr>
        <w:pStyle w:val="MdParagraph"/>
      </w:pPr>
      <w:r>
        <w:t xml:space="preserve">XTZH汇率定价交易需要通过CSNP V2.0的资产感知传播引擎：</w:t>
      </w:r>
    </w:p>
    <w:p>
      <w:pPr>
        <w:pStyle w:val="MdSpace"/>
        <w:spacing w:before="0" w:after="60"/>
      </w:pP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GNACS编码</w:t>
      </w:r>
      <w:r>
        <w:t xml:space="preserve">: XTZH交易携带特殊GNACS编码（如</w:t>
      </w:r>
      <w:r>
        <w:rPr>
          <w:rStyle w:val="MdCode"/>
          <w:u w:val="single"/>
        </w:rPr>
        <w:t xml:space="preserve">9401...</w:t>
      </w:r>
      <w:r>
        <w:t xml:space="preserve">表示稳定币）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传播策略</w:t>
      </w:r>
      <w:r>
        <w:t xml:space="preserve">: AA-PE识别XTZH交易，使用高优先级即时广播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跨链同步</w:t>
      </w:r>
      <w:r>
        <w:t xml:space="preserve">: XTZH汇率需要在多链间同步，通过UCA确保一致性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6.2 XTZH与BLS签名的集成</w:t>
      </w:r>
    </w:p>
    <w:p>
      <w:pPr>
        <w:pStyle w:val="MdParagraph"/>
      </w:pPr>
      <w:r>
        <w:t xml:space="preserve">XTZH AI模型推理结果需要BLS聚合签名：</w:t>
      </w:r>
    </w:p>
    <w:p>
      <w:pPr>
        <w:pStyle w:val="MdSpace"/>
        <w:spacing w:before="0" w:after="60"/>
      </w:pP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多节点验证</w:t>
      </w:r>
      <w:r>
        <w:t xml:space="preserve">: 多个TEE节点对AI推理结果进行BLS签名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聚合验证</w:t>
      </w:r>
      <w:r>
        <w:t xml:space="preserve">: 使用NVM的BLS_AGGREGATE指令聚合签名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链上验证</w:t>
      </w:r>
      <w:r>
        <w:t xml:space="preserve">: Charter合约验证聚合签名的有效性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6.3 XTZH与CBPP共识的集成</w:t>
      </w:r>
    </w:p>
    <w:p>
      <w:pPr>
        <w:pStyle w:val="MdParagraph"/>
      </w:pPr>
      <w:r>
        <w:t xml:space="preserve">XTZH汇率更新需要通过CBPP共识确认：</w:t>
      </w:r>
    </w:p>
    <w:p>
      <w:pPr>
        <w:pStyle w:val="MdSpace"/>
        <w:spacing w:before="0" w:after="60"/>
      </w:pP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宪政约束</w:t>
      </w:r>
      <w:r>
        <w:t xml:space="preserve">: XTZH汇率变动幅度受宪法条款CR-XTZH-001约束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收据权重</w:t>
      </w:r>
      <w:r>
        <w:t xml:space="preserve">: XTZH交易的收据权重由资产锚定比例决定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快速确认</w:t>
      </w:r>
      <w:r>
        <w:t xml:space="preserve">: 高优先级XTZH交易在CBPP中优先打包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七、实施路线图</w:t>
      </w:r>
    </w:p>
    <w:p>
      <w:pPr>
        <w:pStyle w:val="Heading3"/>
        <w:pStyle w:val="MdHeading3"/>
      </w:pPr>
      <w:r>
        <w:t xml:space="preserve">Phase 1: BLS密码学基础 (当前阶段)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在nac-udm中定义BLS UDM模块 (0x00090001-0x00090003)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在NVM中实现BLS指令 (0xB0-0xB3)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编写BLSRegistry.charter合约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集成测试BLS签名和聚合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Phase 2: CSNP网络协议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在nac-udm中定义GIDS/MA-RCM/AA-PE UDM模块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在NVM中实现网络操作指令 (0xC0-0xC9)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编写CSNP相关Charter合约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测试资产感知传播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Phase 3: CBPP共识增强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在nac-udm中定义CBPP UDM模块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在NVM中实现共识指令 (0xD0-0xD3)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编写CBPPConsensus.charter合约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测试宪政约束验证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Phase 4: NCCL宪法条款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在nac-udm中定义宪法条款UDM模块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在NVM中实现条款验证指令 (0xD4-0xD6)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编写ConstitutionalClauses.charter合约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测试违宪检测机制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Phase 5: 碎片化交易聚合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在nac-udm中定义FTAN UDM模块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在NVM中实现聚合指令 (0xCA-0xCC)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编写FragmentAggregation.charter合约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测试批量交易处理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Phase 6: 跨链审计系统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在nac-udm中定义UCA UDM模块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在NVM中实现审计指令 (0xCD-0xCF)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编写CrossChainAuditor.charter合约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测试跨链违规检测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Phase 7: 系统集成测试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XTZH + CSNP集成测试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XTZH + BLS集成测试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XTZH + CBPP集成测试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全链路压力测试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Phase 8: 打包交付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生成完整文档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打包所有模块（含编译产物）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生成交付报告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八、关键技术决策</w:t>
      </w:r>
    </w:p>
    <w:p>
      <w:pPr>
        <w:pStyle w:val="Heading3"/>
        <w:pStyle w:val="MdHeading3"/>
      </w:pPr>
      <w:r>
        <w:t xml:space="preserve">8.1 为什么不能创建独立模块？</w:t>
      </w:r>
    </w:p>
    <w:p>
      <w:pPr>
        <w:pStyle w:val="MdParagraph"/>
      </w:pPr>
      <w:r>
        <w:t xml:space="preserve">NAC公链的核心设计哲学是</w:t>
      </w:r>
      <w:r>
        <w:rPr>
          <w:rStyle w:val="MdStrong"/>
          <w:b/>
          <w:bCs/>
        </w:rPr>
        <w:t xml:space="preserve">统一的虚拟机驱动架构</w:t>
      </w:r>
      <w:r>
        <w:t xml:space="preserve">：</w:t>
      </w:r>
    </w:p>
    <w:p>
      <w:pPr>
        <w:pStyle w:val="MdSpace"/>
        <w:spacing w:before="0" w:after="60"/>
      </w:pP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统一执行环境</w:t>
      </w:r>
      <w:r>
        <w:t xml:space="preserve">: 所有操作必须通过NVM执行，确保确定性和可审计性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统一数据模型</w:t>
      </w:r>
      <w:r>
        <w:t xml:space="preserve">: 所有数据必须通过UDM定义，确保跨模块互操作性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统一编程语言</w:t>
      </w:r>
      <w:r>
        <w:t xml:space="preserve">: 所有业务逻辑必须用Charter编写，确保安全性和合规性</w:t>
      </w:r>
    </w:p>
    <w:p>
      <w:pPr>
        <w:pStyle w:val="MdSpace"/>
        <w:spacing w:before="0" w:after="60"/>
      </w:pPr>
    </w:p>
    <w:p>
      <w:pPr>
        <w:pStyle w:val="MdParagraph"/>
      </w:pPr>
      <w:r>
        <w:t xml:space="preserve">创建独立Rust模块会：</w:t>
      </w:r>
    </w:p>
    <w:p>
      <w:pPr>
        <w:pStyle w:val="MdListItem"/>
        <w:numPr>
          <w:ilvl w:val="0"/>
          <w:numId w:val="3"/>
        </w:numPr>
      </w:pPr>
      <w:r>
        <w:t xml:space="preserve">❌ 绕过NVM的执行控制</w:t>
      </w:r>
    </w:p>
    <w:p>
      <w:pPr>
        <w:pStyle w:val="MdListItem"/>
        <w:numPr>
          <w:ilvl w:val="0"/>
          <w:numId w:val="3"/>
        </w:numPr>
      </w:pPr>
      <w:r>
        <w:t xml:space="preserve">❌ 破坏UDM的数据一致性</w:t>
      </w:r>
    </w:p>
    <w:p>
      <w:pPr>
        <w:pStyle w:val="MdListItem"/>
        <w:numPr>
          <w:ilvl w:val="0"/>
          <w:numId w:val="3"/>
        </w:numPr>
      </w:pPr>
      <w:r>
        <w:t xml:space="preserve">❌ 引入不受Charter约束的逻辑</w:t>
      </w:r>
    </w:p>
    <w:p>
      <w:pPr>
        <w:pStyle w:val="MdListItem"/>
        <w:numPr>
          <w:ilvl w:val="0"/>
          <w:numId w:val="3"/>
        </w:numPr>
      </w:pPr>
      <w:r>
        <w:t xml:space="preserve">❌ 违背NAC的宪政治理原则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8.2 UDM vs Rust Struct</w:t>
      </w: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特性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UDM定义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Rust Struct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执行环境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NVM虚拟机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原生Rust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数据验证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自动UDM验证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手动验证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跨模块访问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统一UDM接口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直接内存访问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宪政约束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自动应用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无约束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Charter可见性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完全可见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不可见</w:t>
            </w:r>
          </w:p>
        </w:tc>
      </w:tr>
    </w:tbl>
    <w:p>
      <w:pPr>
        <w:pStyle w:val="Heading3"/>
        <w:pStyle w:val="MdHeading3"/>
      </w:pPr>
      <w:r>
        <w:t xml:space="preserve">8.3 NVM指令 vs Rust函数</w:t>
      </w: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特性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NVM指令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Rust函数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调用方式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字节码调用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直接调用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Gas计量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自动计量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无计量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权限控制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NVM权限系统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无权限控制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可审计性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完全可审计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难以审计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Charter集成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原生支持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需要FFI</w:t>
            </w:r>
          </w:p>
        </w:tc>
      </w:tr>
    </w:tbl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九、总结</w:t>
      </w:r>
    </w:p>
    <w:p>
      <w:pPr>
        <w:pStyle w:val="MdParagraph"/>
      </w:pPr>
      <w:r>
        <w:t xml:space="preserve">本方案确保所有L0/L1层功能都通过NAC原生架构实现：</w:t>
      </w:r>
    </w:p>
    <w:p>
      <w:pPr>
        <w:pStyle w:val="MdSpace"/>
        <w:spacing w:before="0" w:after="60"/>
      </w:pPr>
    </w:p>
    <w:p>
      <w:pPr>
        <w:pStyle w:val="MdParagraph"/>
      </w:pPr>
      <w:r>
        <w:t xml:space="preserve">✅ </w:t>
      </w:r>
      <w:r>
        <w:rPr>
          <w:rStyle w:val="MdStrong"/>
          <w:b/>
          <w:bCs/>
        </w:rPr>
        <w:t xml:space="preserve">数据层</w:t>
      </w:r>
      <w:r>
        <w:t xml:space="preserve">: 使用UDM定义所有数据结构</w:t>
      </w:r>
      <w:r>
        <w:rPr>
          <w:rStyle w:val="MdBr"/>
        </w:rPr>
        <w:br/>
        <w:t xml:space="preserve"/>
      </w:r>
      <w:r>
        <w:t xml:space="preserve">✅ </w:t>
      </w:r>
      <w:r>
        <w:rPr>
          <w:rStyle w:val="MdStrong"/>
          <w:b/>
          <w:bCs/>
        </w:rPr>
        <w:t xml:space="preserve">执行层</w:t>
      </w:r>
      <w:r>
        <w:t xml:space="preserve">: 使用NVM指令实现所有操作</w:t>
      </w:r>
      <w:r>
        <w:rPr>
          <w:rStyle w:val="MdBr"/>
        </w:rPr>
        <w:br/>
        <w:t xml:space="preserve"/>
      </w:r>
      <w:r>
        <w:t xml:space="preserve">✅ </w:t>
      </w:r>
      <w:r>
        <w:rPr>
          <w:rStyle w:val="MdStrong"/>
          <w:b/>
          <w:bCs/>
        </w:rPr>
        <w:t xml:space="preserve">逻辑层</w:t>
      </w:r>
      <w:r>
        <w:t xml:space="preserve">: 使用Charter合约实现所有业务逻辑</w:t>
      </w:r>
      <w:r>
        <w:rPr>
          <w:rStyle w:val="MdBr"/>
        </w:rPr>
        <w:br/>
        <w:t xml:space="preserve"/>
      </w:r>
      <w:r>
        <w:t xml:space="preserve">✅ </w:t>
      </w:r>
      <w:r>
        <w:rPr>
          <w:rStyle w:val="MdStrong"/>
          <w:b/>
          <w:bCs/>
        </w:rPr>
        <w:t xml:space="preserve">治理层</w:t>
      </w:r>
      <w:r>
        <w:t xml:space="preserve">: 使用宪法条款约束所有行为</w:t>
      </w:r>
    </w:p>
    <w:p>
      <w:pPr>
        <w:pStyle w:val="MdSpace"/>
        <w:spacing w:before="0" w:after="60"/>
      </w:pPr>
    </w:p>
    <w:p>
      <w:pPr>
        <w:pStyle w:val="MdParagraph"/>
      </w:pPr>
      <w:r>
        <w:t xml:space="preserve">这是NAC公链区别于以太坊等公链的</w:t>
      </w:r>
      <w:r>
        <w:rPr>
          <w:rStyle w:val="MdStrong"/>
          <w:b/>
          <w:bCs/>
        </w:rPr>
        <w:t xml:space="preserve">根本性架构优势</w:t>
      </w:r>
      <w:r>
        <w:t xml:space="preserve">，必须严格遵守。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文档状态</w:t>
      </w:r>
      <w:r>
        <w:t xml:space="preserve">: ✅ 已完成</w:t>
      </w:r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下一步</w:t>
      </w:r>
      <w:r>
        <w:t xml:space="preserve">: 开始Phase 1 - BLS密码学基础实现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decimal"/>
      <w:lvlText w:val="%1"/>
      <w:lvlJc w:val="left"/>
      <w:pPr>
        <w:ind w:left="720" w:hanging="360"/>
      </w:pPr>
    </w:lvl>
    <w:lvl w:ilvl="1" w15:tentative="1">
      <w:start w:val="1"/>
      <w:numFmt w:val="decimal"/>
      <w:lvlText w:val="%1.%2"/>
      <w:lvlJc w:val="left"/>
      <w:pPr>
        <w:ind w:left="1440" w:hanging="360"/>
      </w:pPr>
    </w:lvl>
    <w:lvl w:ilvl="2" w15:tentative="1">
      <w:start w:val="1"/>
      <w:numFmt w:val="decimal"/>
      <w:lvlText w:val="%1.%2.%3"/>
      <w:lvlJc w:val="left"/>
      <w:pPr>
        <w:ind w:left="2160" w:hanging="360"/>
      </w:pPr>
    </w:lvl>
    <w:lvl w:ilvl="3" w15:tentative="1">
      <w:start w:val="1"/>
      <w:numFmt w:val="decimal"/>
      <w:lvlText w:val="%4)"/>
      <w:lvlJc w:val="left"/>
      <w:pPr>
        <w:ind w:left="2880" w:hanging="360"/>
      </w:pPr>
    </w:lvl>
    <w:lvl w:ilvl="4" w15:tentative="1">
      <w:start w:val="1"/>
      <w:numFmt w:val="decimal"/>
      <w:lvlText w:val="%5)"/>
      <w:lvlJc w:val="left"/>
      <w:pPr>
        <w:ind w:left="3600" w:hanging="360"/>
      </w:pPr>
    </w:lvl>
    <w:lvl w:ilvl="5" w15:tentative="1">
      <w:start w:val="1"/>
      <w:numFmt w:val="decimal"/>
      <w:lvlText w:val="%6)"/>
      <w:lvlJc w:val="left"/>
      <w:pPr>
        <w:ind w:left="4320" w:hanging="360"/>
      </w:pPr>
    </w:lvl>
    <w:lvl w:ilvl="6" w15:tentative="1">
      <w:start w:val="1"/>
      <w:numFmt w:val="decimal"/>
      <w:lvlText w:val="%7)"/>
      <w:lvlJc w:val="left"/>
      <w:pPr>
        <w:ind w:left="5040" w:hanging="360"/>
      </w:pPr>
    </w:lvl>
    <w:lvl w:ilvl="7" w15:tentative="1">
      <w:start w:val="1"/>
      <w:numFmt w:val="decimal"/>
      <w:lvlText w:val="%8)"/>
      <w:lvlJc w:val="left"/>
      <w:pPr>
        <w:ind w:left="5760" w:hanging="360"/>
      </w:pPr>
    </w:lvl>
    <w:lvl w:ilvl="8" w15:tentative="1">
      <w:start w:val="1"/>
      <w:numFmt w:val="decimal"/>
      <w:lvlText w:val="%9)"/>
      <w:lvlJc w:val="left"/>
      <w:pPr>
        <w:ind w:left="648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  <w:lvl w:ilvl="1" w15:tentative="1">
      <w:start w:val="1"/>
      <w:numFmt w:val="bullet"/>
      <w:lvlText w:val="◦"/>
      <w:lvlJc w:val="left"/>
      <w:pPr>
        <w:ind w:left="1440" w:hanging="360"/>
      </w:pPr>
    </w:lvl>
    <w:lvl w:ilvl="2" w15:tentative="1">
      <w:start w:val="1"/>
      <w:numFmt w:val="bullet"/>
      <w:lvlText w:val="•"/>
      <w:lvlJc w:val="left"/>
      <w:pPr>
        <w:ind w:left="2160" w:hanging="360"/>
      </w:pPr>
    </w:lvl>
    <w:lvl w:ilvl="3" w15:tentative="1">
      <w:start w:val="1"/>
      <w:numFmt w:val="bullet"/>
      <w:lvlText w:val="◦"/>
      <w:lvlJc w:val="left"/>
      <w:pPr>
        <w:ind w:left="2880" w:hanging="360"/>
      </w:pPr>
    </w:lvl>
    <w:lvl w:ilvl="4" w15:tentative="1">
      <w:start w:val="1"/>
      <w:numFmt w:val="bullet"/>
      <w:lvlText w:val="•"/>
      <w:lvlJc w:val="left"/>
      <w:pPr>
        <w:ind w:left="3600" w:hanging="360"/>
      </w:pPr>
    </w:lvl>
    <w:lvl w:ilvl="5" w15:tentative="1">
      <w:start w:val="1"/>
      <w:numFmt w:val="bullet"/>
      <w:lvlText w:val="◦"/>
      <w:lvlJc w:val="left"/>
      <w:pPr>
        <w:ind w:left="4320" w:hanging="360"/>
      </w:pPr>
    </w:lvl>
    <w:lvl w:ilvl="6" w15:tentative="1">
      <w:start w:val="1"/>
      <w:numFmt w:val="bullet"/>
      <w:lvlText w:val="•"/>
      <w:lvlJc w:val="left"/>
      <w:pPr>
        <w:ind w:left="504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sz w:val="24"/>
        <w:szCs w:val="24"/>
      </w:rPr>
    </w:rPrDefault>
    <w:pPrDefault>
      <w:pPr>
        <w:spacing w:lineRule="auto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 w:color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MdSpace">
    <w:name w:val="MdSpace"/>
    <w:basedOn w:val="Normal"/>
    <w:next w:val="Normal"/>
    <w:qFormat/>
    <w:pPr>
      <w:spacing w:before="0" w:after="0"/>
    </w:pPr>
    <w:rPr>
      <w:sz w:val="12"/>
      <w:szCs w:val="12"/>
    </w:rPr>
  </w:style>
  <w:style w:type="paragraph" w:styleId="MdCode">
    <w:name w:val="MdCode"/>
    <w:basedOn w:val="Normal"/>
    <w:next w:val="Normal"/>
    <w:qFormat/>
    <w:pPr>
      <w:pBdr>
        <w:top w:val="single" w:color="A5A5A5" w:sz="1" w:space="8"/>
        <w:bottom w:val="single" w:color="A5A5A5" w:sz="1" w:space="8"/>
        <w:left w:val="single" w:color="A5A5A5" w:sz="1" w:space="8"/>
        <w:right w:val="single" w:color="A5A5A5" w:sz="1" w:space="8"/>
      </w:pBdr>
      <w:spacing w:before="200" w:after="200"/>
    </w:pPr>
    <w:rPr>
      <w:rFonts w:ascii="Courier New" w:cs="Courier New" w:eastAsia="Courier New" w:hAnsi="Courier New"/>
      <w:color w:val="70AD47"/>
      <w:sz w:val="22"/>
      <w:szCs w:val="22"/>
    </w:rPr>
  </w:style>
  <w:style w:type="paragraph" w:styleId="MdHr">
    <w:name w:val="MdHr"/>
    <w:basedOn w:val="Normal"/>
    <w:next w:val="Normal"/>
    <w:qFormat/>
    <w:pPr>
      <w:pBdr>
        <w:bottom w:val="single" w:color="A5A5A5" w:sz="1" w:space="1"/>
      </w:pBdr>
      <w:spacing w:before="240" w:after="240"/>
    </w:pPr>
  </w:style>
  <w:style w:type="paragraph" w:styleId="MdBlockquote">
    <w:name w:val="MdBlockquote"/>
    <w:basedOn w:val="Normal"/>
    <w:next w:val="Normal"/>
    <w:qFormat/>
    <w:pPr>
      <w:pBdr>
        <w:left w:val="single" w:color="A5A5A5" w:sz="20" w:space="12"/>
      </w:pBdr>
      <w:spacing w:before="200" w:after="200"/>
      <w:ind w:left="360"/>
    </w:pPr>
    <w:rPr>
      <w:i/>
      <w:iCs/>
      <w:color w:val="666666"/>
    </w:rPr>
  </w:style>
  <w:style w:type="paragraph" w:styleId="MdHtml">
    <w:name w:val="MdHtml"/>
    <w:basedOn w:val="Normal"/>
    <w:next w:val="Normal"/>
    <w:qFormat/>
    <w:rPr>
      <w:rFonts w:ascii="Courier New" w:cs="Courier New" w:eastAsia="Courier New" w:hAnsi="Courier New"/>
      <w:color w:val="ED7D31"/>
    </w:rPr>
  </w:style>
  <w:style w:type="paragraph" w:styleId="MdDef">
    <w:name w:val="MdDef"/>
    <w:basedOn w:val="Normal"/>
    <w:next w:val="Normal"/>
    <w:qFormat/>
    <w:pPr>
      <w:ind w:left="720" w:hanging="360"/>
    </w:pPr>
  </w:style>
  <w:style w:type="paragraph" w:styleId="MdParagraph">
    <w:name w:val="MdParagraph"/>
    <w:basedOn w:val="Normal"/>
    <w:next w:val="Normal"/>
    <w:qFormat/>
    <w:pPr>
      <w:spacing w:before="120" w:after="120"/>
    </w:pPr>
  </w:style>
  <w:style w:type="paragraph" w:styleId="MdText">
    <w:name w:val="MdText"/>
    <w:basedOn w:val="Normal"/>
    <w:next w:val="Normal"/>
    <w:qFormat/>
  </w:style>
  <w:style w:type="paragraph" w:styleId="MdFootnote">
    <w:name w:val="MdFootnote"/>
    <w:basedOn w:val="Normal"/>
    <w:next w:val="Normal"/>
    <w:qFormat/>
    <w:rPr>
      <w:vertAlign w:val="superscript"/>
    </w:rPr>
  </w:style>
  <w:style w:type="paragraph" w:styleId="MdListItem">
    <w:name w:val="MdListItem"/>
    <w:basedOn w:val="Normal"/>
    <w:next w:val="Normal"/>
    <w:qFormat/>
    <w:pPr>
      <w:spacing w:before="60" w:after="60"/>
      <w:ind w:left="720" w:hanging="360"/>
    </w:pPr>
  </w:style>
  <w:style w:type="paragraph" w:styleId="MdTable">
    <w:name w:val="MdTable"/>
    <w:basedOn w:val="Normal"/>
    <w:next w:val="Normal"/>
    <w:qFormat/>
    <w:pPr>
      <w:spacing w:before="60" w:after="60"/>
    </w:pPr>
  </w:style>
  <w:style w:type="paragraph" w:styleId="MdTableHeader">
    <w:name w:val="MdTableHeader"/>
    <w:basedOn w:val="Normal"/>
    <w:next w:val="Normal"/>
    <w:qFormat/>
    <w:pPr>
      <w:spacing w:before="60" w:after="60"/>
    </w:pPr>
    <w:rPr>
      <w:b/>
      <w:bCs/>
      <w:sz w:val="22"/>
      <w:szCs w:val="22"/>
    </w:rPr>
  </w:style>
  <w:style w:type="paragraph" w:styleId="MdTableCell">
    <w:name w:val="MdTableCell"/>
    <w:basedOn w:val="Normal"/>
    <w:next w:val="Normal"/>
    <w:qFormat/>
    <w:pPr>
      <w:spacing w:before="40" w:after="40"/>
    </w:pPr>
    <w:rPr>
      <w:sz w:val="20"/>
      <w:szCs w:val="20"/>
    </w:rPr>
  </w:style>
  <w:style w:type="paragraph" w:styleId="MdHeading1">
    <w:name w:val="MdHeading1"/>
    <w:basedOn w:val="Normal"/>
    <w:next w:val="Normal"/>
    <w:qFormat/>
    <w:pPr>
      <w:keepNext/>
      <w:spacing w:before="480" w:after="240"/>
      <w:outlineLvl w:val="0"/>
    </w:pPr>
    <w:rPr>
      <w:b/>
      <w:bCs/>
      <w:sz w:val="36"/>
      <w:szCs w:val="36"/>
    </w:rPr>
  </w:style>
  <w:style w:type="paragraph" w:styleId="MdHeading2">
    <w:name w:val="MdHeading2"/>
    <w:basedOn w:val="Normal"/>
    <w:next w:val="Normal"/>
    <w:qFormat/>
    <w:pPr>
      <w:keepNext/>
      <w:spacing w:before="400" w:after="200"/>
      <w:outlineLvl w:val="1"/>
    </w:pPr>
    <w:rPr>
      <w:b/>
      <w:bCs/>
      <w:sz w:val="32"/>
      <w:szCs w:val="32"/>
    </w:rPr>
  </w:style>
  <w:style w:type="paragraph" w:styleId="MdHeading3">
    <w:name w:val="MdHeading3"/>
    <w:basedOn w:val="Normal"/>
    <w:next w:val="Normal"/>
    <w:qFormat/>
    <w:pPr>
      <w:keepNext/>
      <w:spacing w:before="320" w:after="160"/>
      <w:outlineLvl w:val="2"/>
    </w:pPr>
    <w:rPr>
      <w:b/>
      <w:bCs/>
      <w:sz w:val="28"/>
      <w:szCs w:val="28"/>
    </w:rPr>
  </w:style>
  <w:style w:type="paragraph" w:styleId="MdHeading4">
    <w:name w:val="MdHeading4"/>
    <w:basedOn w:val="Normal"/>
    <w:next w:val="Normal"/>
    <w:qFormat/>
    <w:pPr>
      <w:keepNext/>
      <w:spacing w:before="280" w:after="140"/>
      <w:outlineLvl w:val="3"/>
    </w:pPr>
    <w:rPr>
      <w:b/>
      <w:bCs/>
      <w:sz w:val="26"/>
      <w:szCs w:val="26"/>
    </w:rPr>
  </w:style>
  <w:style w:type="paragraph" w:styleId="MdHeading5">
    <w:name w:val="MdHeading5"/>
    <w:basedOn w:val="Normal"/>
    <w:next w:val="Normal"/>
    <w:qFormat/>
    <w:pPr>
      <w:keepNext/>
      <w:spacing w:before="240" w:after="120"/>
      <w:outlineLvl w:val="4"/>
    </w:pPr>
    <w:rPr>
      <w:b/>
      <w:bCs/>
      <w:i/>
      <w:iCs/>
      <w:sz w:val="24"/>
      <w:szCs w:val="24"/>
    </w:rPr>
  </w:style>
  <w:style w:type="paragraph" w:styleId="MdHeading6">
    <w:name w:val="MdHeading6"/>
    <w:basedOn w:val="Normal"/>
    <w:next w:val="Normal"/>
    <w:qFormat/>
    <w:pPr>
      <w:keepNext/>
      <w:spacing w:before="240" w:after="120"/>
      <w:outlineLvl w:val="5"/>
    </w:pPr>
    <w:rPr>
      <w:b w:val="false"/>
      <w:bCs w:val="false"/>
      <w:i/>
      <w:iCs/>
      <w:sz w:val="24"/>
      <w:szCs w:val="24"/>
    </w:rPr>
  </w:style>
  <w:style w:type="character" w:styleId="MdTag">
    <w:name w:val="MdTag"/>
    <w:basedOn w:val="Normal"/>
    <w:next w:val="Normal"/>
    <w:uiPriority w:val="99"/>
    <w:unhideWhenUsed/>
    <w:qFormat/>
    <w:rPr>
      <w:rFonts w:ascii="Courier New" w:cs="Courier New" w:eastAsia="Courier New" w:hAnsi="Courier New"/>
      <w:color w:val="ED7D31"/>
    </w:rPr>
  </w:style>
  <w:style w:type="character" w:styleId="MdLink">
    <w:name w:val="MdLink"/>
    <w:basedOn w:val="Normal"/>
    <w:next w:val="Normal"/>
    <w:uiPriority w:val="99"/>
    <w:unhideWhenUsed/>
    <w:qFormat/>
    <w:rPr>
      <w:color w:val="0563C1"/>
      <w:u w:val="single"/>
    </w:rPr>
  </w:style>
  <w:style w:type="character" w:styleId="MdStrong">
    <w:name w:val="MdStrong"/>
    <w:basedOn w:val="Normal"/>
    <w:next w:val="Normal"/>
    <w:uiPriority w:val="99"/>
    <w:unhideWhenUsed/>
    <w:qFormat/>
    <w:rPr>
      <w:b/>
      <w:bCs/>
    </w:rPr>
  </w:style>
  <w:style w:type="character" w:styleId="MdEm">
    <w:name w:val="MdEm"/>
    <w:basedOn w:val="Normal"/>
    <w:next w:val="Normal"/>
    <w:uiPriority w:val="99"/>
    <w:unhideWhenUsed/>
    <w:qFormat/>
    <w:rPr>
      <w:i/>
      <w:iCs/>
    </w:rPr>
  </w:style>
  <w:style w:type="character" w:styleId="MdCodespan">
    <w:name w:val="MdCodespan"/>
    <w:basedOn w:val="Normal"/>
    <w:next w:val="Normal"/>
    <w:uiPriority w:val="99"/>
    <w:unhideWhenUsed/>
    <w:qFormat/>
    <w:rPr>
      <w:rFonts w:ascii="Courier New" w:cs="Courier New" w:eastAsia="Courier New" w:hAnsi="Courier New"/>
      <w:color w:val="70AD47"/>
    </w:rPr>
  </w:style>
  <w:style w:type="character" w:styleId="MdDel">
    <w:name w:val="MdDel"/>
    <w:basedOn w:val="Normal"/>
    <w:next w:val="Normal"/>
    <w:uiPriority w:val="99"/>
    <w:unhideWhenUsed/>
    <w:qFormat/>
    <w:rPr>
      <w:strike/>
    </w:rPr>
  </w:style>
  <w:style w:type="character" w:styleId="MdBr">
    <w:name w:val="MdBr"/>
    <w:basedOn w:val="Normal"/>
    <w:next w:val="Normal"/>
    <w:uiPriority w:val="99"/>
    <w:unhideWhenUsed/>
    <w:qFormat/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Converted Document</dc:title>
  <dc:creator>md2docx converter</dc:creator>
  <dc:description>Converted from Markdown</dc:description>
  <cp:lastModifiedBy>Un-named</cp:lastModifiedBy>
  <cp:revision>1</cp:revision>
  <dcterms:created xsi:type="dcterms:W3CDTF">2026-02-12T22:06:08.824Z</dcterms:created>
  <dcterms:modified xsi:type="dcterms:W3CDTF">2026-02-12T22:06:08.824Z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