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Rust命名规范（NAC概念映射与语义约定）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版本：</w:t>
      </w:r>
      <w:r>
        <w:rPr>
          <w:rFonts w:eastAsia="等线" w:ascii="Arial" w:cs="Arial" w:hAnsi="Arial"/>
          <w:sz w:val="22"/>
        </w:rPr>
        <w:t>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制定方：</w:t>
      </w:r>
      <w:r>
        <w:rPr>
          <w:rFonts w:eastAsia="等线" w:ascii="Arial" w:cs="Arial" w:hAnsi="Arial"/>
          <w:sz w:val="22"/>
        </w:rPr>
        <w:t>NAC宪法静态验证工作组 · 编码规范委员会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生效日期：</w:t>
      </w:r>
      <w:r>
        <w:rPr>
          <w:rFonts w:eastAsia="等线" w:ascii="Arial" w:cs="Arial" w:hAnsi="Arial"/>
          <w:sz w:val="22"/>
        </w:rPr>
        <w:t>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关联文档：</w:t>
      </w:r>
      <w:r>
        <w:rPr>
          <w:rFonts w:eastAsia="等线" w:ascii="Arial" w:cs="Arial" w:hAnsi="Arial"/>
          <w:sz w:val="22"/>
        </w:rPr>
        <w:t>CNNL语言规范v1.0、legalis-core v0.8、NAC宪法增补条款43条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设计哲学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公链的 Rust 代码库承载了 数字宪法的工程实现。命名不仅是开发者的便利工具，更是法律概念与代码实体的一一对应契约。因此，NAC 的 Rust 命名规范必须满足：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可追溯性：从变量名、函数名、类型名应能直接回溯到对应的宪法条款或治理参数。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一致性：相同宪法概念在不同模块中出现时必须使用完全相同的命名。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工具友好：便于静态分析工具（如 cargo-constitution）进行模式匹配与违例检测。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人本可读：即使非核心技术成员（如宪法法院法官）也能通过命名理解代码意图。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本规范作为 NAC 宪法技术宪章 的组成部分，所有贡献者必须遵守，违反规范的 PR 将无法通过 CI 合并检查。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命名空间与顶层模块结构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 NAC 核心 Rust 代码必须置于 nac:: 根命名空间下，并按以下领域模块组织：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370"/>
        <w:gridCol w:w="2370"/>
        <w:gridCol w:w="3555"/>
      </w:tblGrid>
      <w:tr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模块路径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领域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宪法绑定</w:t>
            </w:r>
          </w:p>
        </w:tc>
      </w:tr>
      <w:tr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nac::constitution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宪法状态、宪法收据、宪法法院接口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全部条款</w:t>
            </w:r>
          </w:p>
        </w:tc>
      </w:tr>
      <w:tr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nac::cbpp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共识层（区块生产、流体区块）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CONS_* 系列条款</w:t>
            </w:r>
          </w:p>
        </w:tc>
      </w:tr>
      <w:tr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nac::csnp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网络层（GIDS、AA‑PE、FTAN）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NET_* 系列条款</w:t>
            </w:r>
          </w:p>
        </w:tc>
      </w:tr>
      <w:tr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nac::xtzh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稳定币系统（铸造、赎回、黄金储备）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XTZH_* 系列条款</w:t>
            </w:r>
          </w:p>
        </w:tc>
      </w:tr>
      <w:tr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nac::acc20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资产协议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ASSET_* 系列条款</w:t>
            </w:r>
          </w:p>
        </w:tc>
      </w:tr>
      <w:tr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nac::cnnl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宪法编译器接口（仅限工具链）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——</w:t>
            </w:r>
          </w:p>
        </w:tc>
      </w:tr>
      <w:tr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nac::legalis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legalis-core 适配层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——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禁止：</w:t>
      </w:r>
      <w:r>
        <w:rPr>
          <w:rFonts w:eastAsia="等线" w:ascii="Arial" w:cs="Arial" w:hAnsi="Arial"/>
          <w:sz w:val="22"/>
        </w:rPr>
        <w:t>在根模块直接定义 NAC 核心类型；不得出现 cbpp_constants.rs 等扁平化命名。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2. 宪法参数常量</w:t>
      </w:r>
      <w:bookmarkEnd w:id="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2.1 命名格式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```text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&lt;条款组&gt;_&lt;具体参数名&gt;_&lt;后缀（可选）&gt;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全大写蛇形（SCREAMING_SNAKE_CASE）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必须与宪法状态文件（constitutional_state.json）中的 name 字段完全一致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必须放置在对应领域模块的 parameters 子模块中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nac::cbpp::parameters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const CBPP_DT_MIN: u64 = 100;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const CBPP_DT_MAX: u64 = 2000;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nac::xtzh::parameters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const XTZH_GOLD_COVERAGE_MIN: f64 = 1.25;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const REDEMPTION_QUEUE_MAX_DAYS: u64 = 30;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nac::csnp::parameters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const NET_CBP_MIN_PEERS: usize = 12;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const NET_GNACS_STRATEGY_CACHE_TTL: u64 = 14400;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2.2 附加元数据（可选）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可通过 #[constitutional] 属性宏附加条款ID：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#[constitutional(clause = "CONS_FLUID_BLOCK")]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const CBPP_DT_MIN: u64 = 100;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3. 宪法条款标识符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条款 ID 是全大写蛇形，与 CNNL 源文件中的 clause 定义严格一致。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模式：</w:t>
      </w:r>
      <w:r>
        <w:rPr>
          <w:rFonts w:eastAsia="等线" w:ascii="Arial" w:cs="Arial" w:hAnsi="Arial"/>
          <w:sz w:val="22"/>
        </w:rPr>
        <w:t>&lt;领域&gt;_&lt;核心概念&gt;_&lt;修饰&gt;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```text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XTZH_GOLD_COVERAGE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CBP_HARDWARE_MIN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CONS_CR_MANDATORY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NET_CROSS_CHAIN_RELAY_BOND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禁止：</w:t>
      </w:r>
      <w:r>
        <w:rPr>
          <w:rFonts w:eastAsia="等线" w:ascii="Arial" w:cs="Arial" w:hAnsi="Arial"/>
          <w:sz w:val="22"/>
        </w:rPr>
        <w:t>在代码中硬编码条款 ID 字符串，必须通过宪法状态文件导入或使用 constitutional::clause! 宏。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✅ 正确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use constitutional_state::clauses::XTZH_GOLD_COVERAGE;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✅ 正确（宏展开为常量）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constitutional::clause!(XTZH_GOLD_COVERAGE);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❌ 错误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const CLAUSE: &amp;str = "XTZH_GOLD_COVERAGE";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6" w:id="6"/>
      <w:r>
        <w:rPr>
          <w:rFonts w:eastAsia="等线" w:ascii="Arial" w:cs="Arial" w:hAnsi="Arial"/>
          <w:b w:val="true"/>
          <w:sz w:val="36"/>
        </w:rPr>
        <w:t>4. 宪法谓词函数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谓词函数是对宪法条款条件部分的直接 Rust 实现，用于编译期验证或运行时收据检查。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4.1 命名格式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必须与条款 ID 完全相同（全大写蛇形），置于 predicates 子模块中。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nac::xtzh::predicates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fn XTZH_GOLD_COVERAGE(coverage: f64) -&gt; bool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coverage &gt;= parameters::XTZH_GOLD_COVERAGE_MIN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理由：</w:t>
      </w:r>
      <w:r>
        <w:rPr>
          <w:rFonts w:eastAsia="等线" w:ascii="Arial" w:cs="Arial" w:hAnsi="Arial"/>
          <w:sz w:val="22"/>
        </w:rPr>
        <w:t>当开发者看到 XTZH_GOLD_COVERAGE(coverage) 时，立即意识到这是宪法条款的直接实现，不是业务逻辑函数。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4.2 参数与返回值</w:t>
      </w:r>
      <w:bookmarkEnd w:id="8"/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参数：必须是宪法条款涉及的实体状态（如覆盖率、硬件核心数、节点区域）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返回值：必须是 bool（表示合规/违宪）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不允许：</w:t>
      </w:r>
      <w:r>
        <w:rPr>
          <w:rFonts w:eastAsia="等线" w:ascii="Arial" w:cs="Arial" w:hAnsi="Arial"/>
          <w:sz w:val="22"/>
        </w:rPr>
        <w:t>panic、返回 Result、执行 I/O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4.3 自动生成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 编译器应自动生成这些谓词函数并存入 constitutional_state.rs，禁止开发者手动编写。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b w:val="true"/>
          <w:sz w:val="36"/>
        </w:rPr>
        <w:t>5. 宪法收据与宪法执行引擎接口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370"/>
        <w:gridCol w:w="2370"/>
        <w:gridCol w:w="3555"/>
      </w:tblGrid>
      <w:tr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类型/函数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命名规则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示例</w:t>
            </w:r>
          </w:p>
        </w:tc>
      </w:tr>
      <w:tr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宪法收据结构体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ConstitutionalReceipt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pub struct ConstitutionalReceipt { ... }</w:t>
            </w:r>
          </w:p>
        </w:tc>
      </w:tr>
      <w:tr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收据验证函数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verify_receipt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fn verify_receipt(cr: &amp;ConstitutionalReceipt) -&gt; bool</w:t>
            </w:r>
          </w:p>
        </w:tc>
      </w:tr>
      <w:tr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宪法执行引擎客户端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CeeClient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pub struct CeeClient { ... }</w:t>
            </w:r>
          </w:p>
        </w:tc>
      </w:tr>
      <w:tr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签发收据方法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issue_receipt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fn issue_receipt(&amp;self, tx_hash: Hash) -&gt; Result&lt;ConstitutionalReceipt&gt;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注意：</w:t>
      </w:r>
      <w:r>
        <w:rPr>
          <w:rFonts w:eastAsia="等线" w:ascii="Arial" w:cs="Arial" w:hAnsi="Arial"/>
          <w:sz w:val="22"/>
        </w:rPr>
        <w:t>ConstitutionalReceipt 是 NAC 系统级类型，不允许在其他模块被重新定义。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1" w:id="11"/>
      <w:r>
        <w:rPr>
          <w:rFonts w:eastAsia="等线" w:ascii="Arial" w:cs="Arial" w:hAnsi="Arial"/>
          <w:b w:val="true"/>
          <w:sz w:val="36"/>
        </w:rPr>
        <w:t>6. 共识与网络层核心类型</w:t>
      </w:r>
      <w:bookmarkEnd w:id="1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770"/>
        <w:gridCol w:w="2130"/>
        <w:gridCol w:w="2010"/>
        <w:gridCol w:w="2370"/>
      </w:tblGrid>
      <w:tr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概念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Rust 类型名</w:t>
            </w:r>
          </w:p>
        </w:tc>
        <w:tc>
          <w:tcPr>
            <w:tcW w:w="20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枚举变体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字段命名</w:t>
            </w:r>
          </w:p>
        </w:tc>
      </w:tr>
      <w:tr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 节点信息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CBPInfo</w:t>
            </w:r>
          </w:p>
        </w:tc>
        <w:tc>
          <w:tcPr>
            <w:tcW w:w="20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—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node_id, public_key, region, reputation</w:t>
            </w:r>
          </w:p>
        </w:tc>
      </w:tr>
      <w:tr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节点区域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Region</w:t>
            </w:r>
          </w:p>
        </w:tc>
        <w:tc>
          <w:tcPr>
            <w:tcW w:w="20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Asia, NorthAmerica, Europe, Other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—</w:t>
            </w:r>
          </w:p>
        </w:tc>
      </w:tr>
      <w:tr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流体区块头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FluidBlockHeader</w:t>
            </w:r>
          </w:p>
        </w:tc>
        <w:tc>
          <w:tcPr>
            <w:tcW w:w="20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—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parent_hash, epoch, round, producer_id</w:t>
            </w:r>
          </w:p>
        </w:tc>
      </w:tr>
      <w:tr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 编码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GnacsCode（新类型）</w:t>
            </w:r>
          </w:p>
        </w:tc>
        <w:tc>
          <w:tcPr>
            <w:tcW w:w="20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—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内部[u8; 48]</w:t>
            </w:r>
          </w:p>
        </w:tc>
      </w:tr>
      <w:tr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资产传播策略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PropagationStrategy</w:t>
            </w:r>
          </w:p>
        </w:tc>
        <w:tc>
          <w:tcPr>
            <w:tcW w:w="20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ImmediateBroadcast, DirectedPush, AlertChannel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—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命名原则：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使用完整单词，避免缩写（例外：CBP、GNACS 作为约定术语保留）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枚举变体以帕斯卡命名，无需前缀（如 Region::Asia 而非 Region::AsiaRegion）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2" w:id="12"/>
      <w:r>
        <w:rPr>
          <w:rFonts w:eastAsia="等线" w:ascii="Arial" w:cs="Arial" w:hAnsi="Arial"/>
          <w:b w:val="true"/>
          <w:sz w:val="36"/>
        </w:rPr>
        <w:t>7. XTZH 稳定币系统</w:t>
      </w:r>
      <w:bookmarkEnd w:id="1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770"/>
        <w:gridCol w:w="2130"/>
        <w:gridCol w:w="2010"/>
        <w:gridCol w:w="2370"/>
      </w:tblGrid>
      <w:tr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概念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Rust 类型名</w:t>
            </w:r>
          </w:p>
        </w:tc>
        <w:tc>
          <w:tcPr>
            <w:tcW w:w="20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字段/方法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说明</w:t>
            </w:r>
          </w:p>
        </w:tc>
      </w:tr>
      <w:tr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 金额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XtzhAmount（u64 新类型）</w:t>
            </w:r>
          </w:p>
        </w:tc>
        <w:tc>
          <w:tcPr>
            <w:tcW w:w="20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from_raw, as_raw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精度 1e6</w:t>
            </w:r>
          </w:p>
        </w:tc>
      </w:tr>
      <w:tr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汇率记录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XtzhRate</w:t>
            </w:r>
          </w:p>
        </w:tc>
        <w:tc>
          <w:tcPr>
            <w:tcW w:w="20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rate_sdr, w_fx, w_au, w_com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与宪法状态文件对齐</w:t>
            </w:r>
          </w:p>
        </w:tc>
      </w:tr>
      <w:tr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黄金储备管理器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GoldReserveManager</w:t>
            </w:r>
          </w:p>
        </w:tc>
        <w:tc>
          <w:tcPr>
            <w:tcW w:w="20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get_coverage, auto_deleverage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—</w:t>
            </w:r>
          </w:p>
        </w:tc>
      </w:tr>
      <w:tr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赎回队列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RedemptionQueue</w:t>
            </w:r>
          </w:p>
        </w:tc>
        <w:tc>
          <w:tcPr>
            <w:tcW w:w="20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push, process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—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金额类型：</w:t>
      </w:r>
      <w:r>
        <w:rPr>
          <w:rFonts w:eastAsia="等线" w:ascii="Arial" w:cs="Arial" w:hAnsi="Arial"/>
          <w:sz w:val="22"/>
        </w:rPr>
        <w:t>必须使用新类型，禁止直接传递 u64。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struct XtzhAmount(u64);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impl XtzhAmount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const fn from_raw(raw: u64) -&gt; Self { Self(raw)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const fn as_raw(&amp;self) -&gt; u64 { self.0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3" w:id="13"/>
      <w:r>
        <w:rPr>
          <w:rFonts w:eastAsia="等线" w:ascii="Arial" w:cs="Arial" w:hAnsi="Arial"/>
          <w:b w:val="true"/>
          <w:sz w:val="36"/>
        </w:rPr>
        <w:t>8. 错误类型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所有公开错误类型必须以 Error 结尾，并实现 std::error::Error。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模块化错误：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nac::cbpp::error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enum CBPError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InsufficientHardware { required: u64, actual: u64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ConstitutionViolation { clause_id: &amp;'static str, details: String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ReceiptInvalid(ReceiptError),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nac::xtzh::error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enum XtzhError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CoverageTooLow { current: f64, required: f64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RedemptionQueueFull,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OraclePenaltyFailed,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宪法违例专用错误变体：</w:t>
      </w:r>
      <w:r>
        <w:rPr>
          <w:rFonts w:eastAsia="等线" w:ascii="Arial" w:cs="Arial" w:hAnsi="Arial"/>
          <w:sz w:val="22"/>
        </w:rPr>
        <w:t>必须使用 ConstitutionViolation 统一包装，便于上层捕获并生成宪法报告。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4" w:id="14"/>
      <w:r>
        <w:rPr>
          <w:rFonts w:eastAsia="等线" w:ascii="Arial" w:cs="Arial" w:hAnsi="Arial"/>
          <w:b w:val="true"/>
          <w:sz w:val="36"/>
        </w:rPr>
        <w:t>9. 宏命名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提供的所有过程宏或声明宏必须遵循：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770"/>
        <w:gridCol w:w="2130"/>
        <w:gridCol w:w="1425"/>
        <w:gridCol w:w="2955"/>
      </w:tblGrid>
      <w:tr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宏类别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命名风格</w:t>
            </w:r>
          </w:p>
        </w:tc>
        <w:tc>
          <w:tcPr>
            <w:tcW w:w="14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前缀</w:t>
            </w:r>
          </w:p>
        </w:tc>
        <w:tc>
          <w:tcPr>
            <w:tcW w:w="29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示例</w:t>
            </w:r>
          </w:p>
        </w:tc>
      </w:tr>
      <w:tr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宪法契约宏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蛇形小写</w:t>
            </w:r>
          </w:p>
        </w:tc>
        <w:tc>
          <w:tcPr>
            <w:tcW w:w="14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constitutional_</w:t>
            </w:r>
          </w:p>
        </w:tc>
        <w:tc>
          <w:tcPr>
            <w:tcW w:w="29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constitutional_assert!, constitutional_require!</w:t>
            </w:r>
          </w:p>
        </w:tc>
      </w:tr>
      <w:tr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宪法状态访问宏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蛇形小写</w:t>
            </w:r>
          </w:p>
        </w:tc>
        <w:tc>
          <w:tcPr>
            <w:tcW w:w="14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constitution_</w:t>
            </w:r>
          </w:p>
        </w:tc>
        <w:tc>
          <w:tcPr>
            <w:tcW w:w="29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constitution_param!, constitution_clause!</w:t>
            </w:r>
          </w:p>
        </w:tc>
      </w:tr>
      <w:tr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测试辅助宏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蛇形小写</w:t>
            </w:r>
          </w:p>
        </w:tc>
        <w:tc>
          <w:tcPr>
            <w:tcW w:w="14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test_</w:t>
            </w:r>
          </w:p>
        </w:tc>
        <w:tc>
          <w:tcPr>
            <w:tcW w:w="29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test_constitutional_failure!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注意：</w:t>
      </w:r>
      <w:r>
        <w:rPr>
          <w:rFonts w:eastAsia="等线" w:ascii="Arial" w:cs="Arial" w:hAnsi="Arial"/>
          <w:sz w:val="22"/>
        </w:rPr>
        <w:t>宏命名必须显式包含 constitutional 或 constitution 前缀，避免与其他库宏冲突。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5" w:id="15"/>
      <w:r>
        <w:rPr>
          <w:rFonts w:eastAsia="等线" w:ascii="Arial" w:cs="Arial" w:hAnsi="Arial"/>
          <w:b w:val="true"/>
          <w:sz w:val="36"/>
        </w:rPr>
        <w:t>10. 与宪法状态文件的命名一致性检查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原则：</w:t>
      </w:r>
      <w:r>
        <w:rPr>
          <w:rFonts w:eastAsia="等线" w:ascii="Arial" w:cs="Arial" w:hAnsi="Arial"/>
          <w:sz w:val="22"/>
        </w:rPr>
        <w:t>Rust 代码中出现的宪法参数名、条款 ID、谓词函数名，必须与 constitutional_state.json 中的官方定义完全一致。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强制工具：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 cargo-constitution 中添加 naming_convention Lint，定期扫描 Rust 代码库：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检查 parameters::XXX 是否在宪法状态文件中存在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检查 predicates::XXX 是否对应宪法条款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检查硬编码字符串 "XTZH_GOLD_COVERAGE" 等是否应当替换为常量引用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违例处理：</w:t>
      </w:r>
      <w:r>
        <w:rPr>
          <w:rFonts w:eastAsia="等线" w:ascii="Arial" w:cs="Arial" w:hAnsi="Arial"/>
          <w:sz w:val="22"/>
        </w:rPr>
        <w:t>任何命名不一致都将导致编译警告（由 cargo constitution 触发），CI 配置为 --deny 后直接阻断合并。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6" w:id="16"/>
      <w:r>
        <w:rPr>
          <w:rFonts w:eastAsia="等线" w:ascii="Arial" w:cs="Arial" w:hAnsi="Arial"/>
          <w:b w:val="true"/>
          <w:sz w:val="36"/>
        </w:rPr>
        <w:t>11. 版本演进与弃用</w:t>
      </w:r>
      <w:bookmarkEnd w:id="16"/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宪法参数、条款 ID 一经发布，永不更名。如需调整语义，应通过宪法修正案引入新常量，旧常量标记为 #[deprecated] 并保留至少两个宪法纪元。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类型、函数、模块的命名修改需遵循 Rust 标准弃用流程，且必须通过宪法法院技术委员会批准。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7" w:id="17"/>
      <w:r>
        <w:rPr>
          <w:rFonts w:eastAsia="等线" w:ascii="Arial" w:cs="Arial" w:hAnsi="Arial"/>
          <w:b w:val="true"/>
          <w:sz w:val="36"/>
        </w:rPr>
        <w:t>12. 代码示例：完整模块布局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crates/xtzh/src/lib.rs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mod parameters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const XTZH_GOLD_COVERAGE_MIN: f64 = 1.25;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mod predicates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use super::parameters::XTZH_GOLD_COVERAGE_MIN;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XTZH_GOLD_COVERAGE(coverage: f64) -&gt; bool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coverage &gt;= XTZH_GOLD_COVERAGE_MIN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mod reserve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use crate::{parameters, predicates};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struct GoldReserveManager { ...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impl GoldReserveManager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#[constitutional(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clause = "XTZH_GOLD_COVERAGE",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condition = "coverage &gt;= parameters::XTZH_GOLD_COVERAGE_MIN",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severity = "error"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pub fn check_coverage(&amp;self) -&gt; f64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let coverage = self.calculate_coverage();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// 宏展开后自动插入宪法断言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coverage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本规范即日起生效，所有 NAC 核心 Rust 代码库必须遵守。现有代码将给予 90 天过渡期，期间 CI 仅报告警告，2026年5月15日后升级为错误。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违反本规范即视为技术性违宪，宪法法院保留对相关 PR 的否决权。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制定人：</w:t>
      </w:r>
      <w:r>
        <w:rPr>
          <w:rFonts w:eastAsia="等线" w:ascii="Arial" w:cs="Arial" w:hAnsi="Arial"/>
          <w:sz w:val="22"/>
        </w:rPr>
        <w:t>NAC宪法静态验证工作组 · 编码规范委员会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最后更新：</w:t>
      </w:r>
      <w:r>
        <w:rPr>
          <w:rFonts w:eastAsia="等线" w:ascii="Arial" w:cs="Arial" w:hAnsi="Arial"/>
          <w:sz w:val="22"/>
        </w:rPr>
        <w:t>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文档状态：</w:t>
      </w:r>
      <w:r>
        <w:rPr>
          <w:rFonts w:eastAsia="等线" w:ascii="Arial" w:cs="Arial" w:hAnsi="Arial"/>
          <w:sz w:val="22"/>
        </w:rPr>
        <w:t>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100524">
    <w:lvl>
      <w:numFmt w:val="bullet"/>
      <w:suff w:val="tab"/>
      <w:lvlText w:val="•"/>
      <w:rPr>
        <w:color w:val="3370ff"/>
      </w:rPr>
    </w:lvl>
  </w:abstractNum>
  <w:abstractNum w:abstractNumId="100525">
    <w:lvl>
      <w:numFmt w:val="bullet"/>
      <w:suff w:val="tab"/>
      <w:lvlText w:val="•"/>
      <w:rPr>
        <w:color w:val="3370ff"/>
      </w:rPr>
    </w:lvl>
  </w:abstractNum>
  <w:abstractNum w:abstractNumId="100526">
    <w:lvl>
      <w:numFmt w:val="bullet"/>
      <w:suff w:val="tab"/>
      <w:lvlText w:val="•"/>
      <w:rPr>
        <w:color w:val="3370ff"/>
      </w:rPr>
    </w:lvl>
  </w:abstractNum>
  <w:abstractNum w:abstractNumId="100527">
    <w:lvl>
      <w:numFmt w:val="bullet"/>
      <w:suff w:val="tab"/>
      <w:lvlText w:val="•"/>
      <w:rPr>
        <w:color w:val="3370ff"/>
      </w:rPr>
    </w:lvl>
  </w:abstractNum>
  <w:abstractNum w:abstractNumId="100528">
    <w:lvl>
      <w:numFmt w:val="bullet"/>
      <w:suff w:val="tab"/>
      <w:lvlText w:val="•"/>
      <w:rPr>
        <w:color w:val="3370ff"/>
      </w:rPr>
    </w:lvl>
  </w:abstractNum>
  <w:abstractNum w:abstractNumId="100529">
    <w:lvl>
      <w:numFmt w:val="bullet"/>
      <w:suff w:val="tab"/>
      <w:lvlText w:val="•"/>
      <w:rPr>
        <w:color w:val="3370ff"/>
      </w:rPr>
    </w:lvl>
  </w:abstractNum>
  <w:abstractNum w:abstractNumId="100530">
    <w:lvl>
      <w:numFmt w:val="bullet"/>
      <w:suff w:val="tab"/>
      <w:lvlText w:val="•"/>
      <w:rPr>
        <w:color w:val="3370ff"/>
      </w:rPr>
    </w:lvl>
  </w:abstractNum>
  <w:abstractNum w:abstractNumId="100531">
    <w:lvl>
      <w:numFmt w:val="bullet"/>
      <w:suff w:val="tab"/>
      <w:lvlText w:val="•"/>
      <w:rPr>
        <w:color w:val="3370ff"/>
      </w:rPr>
    </w:lvl>
  </w:abstractNum>
  <w:abstractNum w:abstractNumId="100532">
    <w:lvl>
      <w:numFmt w:val="bullet"/>
      <w:suff w:val="tab"/>
      <w:lvlText w:val="•"/>
      <w:rPr>
        <w:color w:val="3370ff"/>
      </w:rPr>
    </w:lvl>
  </w:abstractNum>
  <w:abstractNum w:abstractNumId="100533">
    <w:lvl>
      <w:numFmt w:val="bullet"/>
      <w:suff w:val="tab"/>
      <w:lvlText w:val="•"/>
      <w:rPr>
        <w:color w:val="3370ff"/>
      </w:rPr>
    </w:lvl>
  </w:abstractNum>
  <w:abstractNum w:abstractNumId="100534">
    <w:lvl>
      <w:numFmt w:val="bullet"/>
      <w:suff w:val="tab"/>
      <w:lvlText w:val="•"/>
      <w:rPr>
        <w:color w:val="3370ff"/>
      </w:rPr>
    </w:lvl>
  </w:abstractNum>
  <w:abstractNum w:abstractNumId="100535">
    <w:lvl>
      <w:numFmt w:val="bullet"/>
      <w:suff w:val="tab"/>
      <w:lvlText w:val="•"/>
      <w:rPr>
        <w:color w:val="3370ff"/>
      </w:rPr>
    </w:lvl>
  </w:abstractNum>
  <w:abstractNum w:abstractNumId="100536">
    <w:lvl>
      <w:numFmt w:val="bullet"/>
      <w:suff w:val="tab"/>
      <w:lvlText w:val="•"/>
      <w:rPr>
        <w:color w:val="3370ff"/>
      </w:rPr>
    </w:lvl>
  </w:abstractNum>
  <w:abstractNum w:abstractNumId="100537">
    <w:lvl>
      <w:numFmt w:val="bullet"/>
      <w:suff w:val="tab"/>
      <w:lvlText w:val="•"/>
      <w:rPr>
        <w:color w:val="3370ff"/>
      </w:rPr>
    </w:lvl>
  </w:abstractNum>
  <w:abstractNum w:abstractNumId="100538">
    <w:lvl>
      <w:numFmt w:val="bullet"/>
      <w:suff w:val="tab"/>
      <w:lvlText w:val="•"/>
      <w:rPr>
        <w:color w:val="3370ff"/>
      </w:rPr>
    </w:lvl>
  </w:abstractNum>
  <w:num w:numId="1">
    <w:abstractNumId w:val="100524"/>
  </w:num>
  <w:num w:numId="2">
    <w:abstractNumId w:val="100525"/>
  </w:num>
  <w:num w:numId="3">
    <w:abstractNumId w:val="100526"/>
  </w:num>
  <w:num w:numId="4">
    <w:abstractNumId w:val="100527"/>
  </w:num>
  <w:num w:numId="5">
    <w:abstractNumId w:val="100528"/>
  </w:num>
  <w:num w:numId="6">
    <w:abstractNumId w:val="100529"/>
  </w:num>
  <w:num w:numId="7">
    <w:abstractNumId w:val="100530"/>
  </w:num>
  <w:num w:numId="8">
    <w:abstractNumId w:val="100531"/>
  </w:num>
  <w:num w:numId="9">
    <w:abstractNumId w:val="100532"/>
  </w:num>
  <w:num w:numId="10">
    <w:abstractNumId w:val="100533"/>
  </w:num>
  <w:num w:numId="11">
    <w:abstractNumId w:val="100534"/>
  </w:num>
  <w:num w:numId="12">
    <w:abstractNumId w:val="100535"/>
  </w:num>
  <w:num w:numId="13">
    <w:abstractNumId w:val="100536"/>
  </w:num>
  <w:num w:numId="14">
    <w:abstractNumId w:val="100537"/>
  </w:num>
  <w:num w:numId="15">
    <w:abstractNumId w:val="100538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2026-02-13T00:37:20Z</dcterms:created>
  <dc:creator>Apache POI</dc:creator>
</cp:coreProperties>
</file>